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73A6" w14:textId="77777777" w:rsidR="00C72A84" w:rsidRPr="00306706" w:rsidRDefault="00C72A84" w:rsidP="00C72A84">
      <w:pPr>
        <w:pBdr>
          <w:bottom w:val="single" w:sz="6" w:space="1" w:color="auto"/>
        </w:pBdr>
        <w:jc w:val="both"/>
        <w:rPr>
          <w:rFonts w:cs="Arial"/>
          <w:i/>
          <w:iCs/>
          <w:szCs w:val="24"/>
          <w:lang w:val="pt-BR"/>
        </w:rPr>
      </w:pPr>
    </w:p>
    <w:p w14:paraId="29E84653" w14:textId="77777777" w:rsidR="00C72A84" w:rsidRPr="00306706" w:rsidRDefault="00C72A84" w:rsidP="00C72A84">
      <w:pPr>
        <w:jc w:val="both"/>
        <w:rPr>
          <w:rFonts w:cs="Arial"/>
          <w:b/>
          <w:bCs/>
          <w:szCs w:val="24"/>
          <w:lang w:val="pt-BR"/>
        </w:rPr>
      </w:pPr>
    </w:p>
    <w:p w14:paraId="5CAEE114" w14:textId="4139C5C1" w:rsidR="00C72A84" w:rsidRPr="00306706" w:rsidRDefault="00C72A84" w:rsidP="00C72A84">
      <w:pPr>
        <w:jc w:val="both"/>
        <w:rPr>
          <w:rFonts w:cs="Arial"/>
          <w:b/>
          <w:bCs/>
          <w:szCs w:val="24"/>
          <w:lang w:val="pt-BR"/>
        </w:rPr>
      </w:pPr>
    </w:p>
    <w:p w14:paraId="6064462B" w14:textId="01E4BD49" w:rsidR="00306706" w:rsidRPr="00306706" w:rsidRDefault="00306706" w:rsidP="00C72A84">
      <w:pPr>
        <w:jc w:val="both"/>
        <w:rPr>
          <w:rFonts w:cs="Arial"/>
          <w:b/>
          <w:bCs/>
          <w:szCs w:val="24"/>
          <w:lang w:val="pt-BR"/>
        </w:rPr>
      </w:pPr>
    </w:p>
    <w:p w14:paraId="3F3E4EF2" w14:textId="546760F3" w:rsidR="00306706" w:rsidRPr="00306706" w:rsidRDefault="00306706" w:rsidP="00C72A84">
      <w:pPr>
        <w:jc w:val="both"/>
        <w:rPr>
          <w:rFonts w:cs="Arial"/>
          <w:b/>
          <w:bCs/>
          <w:szCs w:val="24"/>
          <w:lang w:val="pt-BR"/>
        </w:rPr>
      </w:pPr>
    </w:p>
    <w:p w14:paraId="1CFF1C40" w14:textId="77777777" w:rsidR="00306706" w:rsidRPr="00306706" w:rsidRDefault="00306706" w:rsidP="00C72A84">
      <w:pPr>
        <w:jc w:val="both"/>
        <w:rPr>
          <w:rFonts w:cs="Arial"/>
          <w:b/>
          <w:bCs/>
          <w:szCs w:val="24"/>
          <w:lang w:val="pt-BR"/>
        </w:rPr>
      </w:pPr>
    </w:p>
    <w:p w14:paraId="78B1393B" w14:textId="5E193FD8" w:rsidR="00EF1451" w:rsidRPr="004E7F2D" w:rsidRDefault="006949C4" w:rsidP="00306706">
      <w:pPr>
        <w:pStyle w:val="NormalWeb"/>
        <w:spacing w:before="0" w:beforeAutospacing="0" w:after="150" w:afterAutospacing="0"/>
        <w:jc w:val="both"/>
        <w:rPr>
          <w:rFonts w:ascii="Arial" w:hAnsi="Arial" w:cs="Arial"/>
          <w:color w:val="919298"/>
          <w:sz w:val="21"/>
          <w:szCs w:val="21"/>
        </w:rPr>
      </w:pPr>
      <w:r w:rsidRPr="00306706">
        <w:rPr>
          <w:rFonts w:ascii="Arial" w:hAnsi="Arial" w:cs="Arial"/>
          <w:b/>
          <w:bCs/>
        </w:rPr>
        <w:t>ÁREA TEMÁTICA:</w:t>
      </w:r>
      <w:r w:rsidRPr="00306706">
        <w:rPr>
          <w:rFonts w:ascii="Arial" w:hAnsi="Arial" w:cs="Arial"/>
        </w:rPr>
        <w:t xml:space="preserve"> </w:t>
      </w:r>
      <w:r w:rsidR="004E7F2D" w:rsidRPr="004E7F2D">
        <w:rPr>
          <w:rFonts w:ascii="Arial" w:hAnsi="Arial" w:cs="Arial"/>
        </w:rPr>
        <w:t>Cooperativismo</w:t>
      </w:r>
    </w:p>
    <w:p w14:paraId="4BC6D138" w14:textId="41ED922E" w:rsidR="00572D56" w:rsidRPr="00306706" w:rsidRDefault="00572D56" w:rsidP="00306706">
      <w:pPr>
        <w:jc w:val="both"/>
        <w:rPr>
          <w:rFonts w:cs="Arial"/>
          <w:szCs w:val="24"/>
          <w:lang w:val="pt-BR"/>
        </w:rPr>
      </w:pPr>
    </w:p>
    <w:p w14:paraId="1FBB17DA" w14:textId="77777777" w:rsidR="00EF1451" w:rsidRPr="00306706" w:rsidRDefault="00EF1451" w:rsidP="00306706">
      <w:pPr>
        <w:spacing w:line="279" w:lineRule="auto"/>
        <w:jc w:val="center"/>
        <w:rPr>
          <w:rFonts w:eastAsia="Times New Roman" w:cs="Arial"/>
          <w:b/>
          <w:bCs/>
          <w:szCs w:val="24"/>
          <w:lang w:val="pt-BR"/>
        </w:rPr>
      </w:pPr>
      <w:r w:rsidRPr="00306706">
        <w:rPr>
          <w:rFonts w:eastAsia="Times New Roman" w:cs="Arial"/>
          <w:b/>
          <w:bCs/>
          <w:szCs w:val="24"/>
          <w:lang w:val="pt-BR"/>
        </w:rPr>
        <w:t>UM GUIA PRÁTICO PARA SOBREVIVÊNCIA DOS EMPREENDIMENTOS ECONÔMICOS SOLIDÁRIOS EM COMUNIDADES TRADICIONAIS</w:t>
      </w:r>
    </w:p>
    <w:p w14:paraId="369F8613" w14:textId="20E76623" w:rsidR="00C72A84" w:rsidRPr="00306706" w:rsidRDefault="00C72A84" w:rsidP="00C72A84">
      <w:pPr>
        <w:jc w:val="both"/>
        <w:rPr>
          <w:rFonts w:cs="Arial"/>
          <w:szCs w:val="24"/>
          <w:lang w:val="pt-BR"/>
        </w:rPr>
      </w:pPr>
    </w:p>
    <w:p w14:paraId="508E8E6D" w14:textId="6F990C32" w:rsidR="00572D56" w:rsidRPr="00306706" w:rsidRDefault="006949C4" w:rsidP="00C72A84">
      <w:pPr>
        <w:jc w:val="both"/>
        <w:rPr>
          <w:rFonts w:cs="Arial"/>
          <w:szCs w:val="24"/>
          <w:lang w:val="pt-BR"/>
        </w:rPr>
      </w:pPr>
      <w:r w:rsidRPr="00306706">
        <w:rPr>
          <w:rFonts w:cs="Arial"/>
          <w:szCs w:val="24"/>
          <w:lang w:val="pt-BR"/>
        </w:rPr>
        <w:br w:type="page"/>
      </w:r>
    </w:p>
    <w:p w14:paraId="07FAC285" w14:textId="77777777" w:rsidR="00572D56" w:rsidRPr="00306706" w:rsidRDefault="006949C4" w:rsidP="00C72A84">
      <w:pPr>
        <w:pStyle w:val="Ttulo1"/>
        <w:jc w:val="both"/>
        <w:rPr>
          <w:rFonts w:ascii="Arial" w:hAnsi="Arial" w:cs="Arial"/>
          <w:color w:val="auto"/>
          <w:sz w:val="24"/>
          <w:szCs w:val="24"/>
          <w:lang w:val="pt-BR"/>
        </w:rPr>
      </w:pPr>
      <w:r w:rsidRPr="00306706">
        <w:rPr>
          <w:rFonts w:ascii="Arial" w:hAnsi="Arial" w:cs="Arial"/>
          <w:color w:val="auto"/>
          <w:sz w:val="24"/>
          <w:szCs w:val="24"/>
          <w:lang w:val="pt-BR"/>
        </w:rPr>
        <w:lastRenderedPageBreak/>
        <w:t>Resumo</w:t>
      </w:r>
    </w:p>
    <w:p w14:paraId="1B41F84C" w14:textId="77777777" w:rsidR="00F34C19" w:rsidRPr="00306706" w:rsidRDefault="00F34C19" w:rsidP="00F34C19">
      <w:pPr>
        <w:spacing w:after="0"/>
        <w:ind w:left="360"/>
        <w:jc w:val="both"/>
        <w:rPr>
          <w:rFonts w:cs="Arial"/>
          <w:b/>
          <w:bCs/>
          <w:szCs w:val="24"/>
          <w:lang w:val="pt-BR"/>
        </w:rPr>
      </w:pPr>
    </w:p>
    <w:p w14:paraId="3F4DAF87" w14:textId="1E37EFA3" w:rsidR="005753F9" w:rsidRPr="00306706" w:rsidRDefault="005753F9" w:rsidP="00EF1451">
      <w:pPr>
        <w:spacing w:after="0"/>
        <w:jc w:val="both"/>
        <w:rPr>
          <w:rFonts w:cs="Arial"/>
          <w:b/>
          <w:bCs/>
          <w:szCs w:val="24"/>
          <w:lang w:val="pt-BR"/>
        </w:rPr>
      </w:pPr>
      <w:r w:rsidRPr="00306706">
        <w:rPr>
          <w:rFonts w:cs="Arial"/>
          <w:b/>
          <w:bCs/>
          <w:szCs w:val="24"/>
          <w:lang w:val="pt-BR"/>
        </w:rPr>
        <w:t>Tema e contexto do estudo:</w:t>
      </w:r>
    </w:p>
    <w:p w14:paraId="67098E64" w14:textId="4569A277" w:rsidR="005753F9" w:rsidRPr="00306706" w:rsidRDefault="00EF1451" w:rsidP="00EF1451">
      <w:pPr>
        <w:spacing w:after="0"/>
        <w:jc w:val="both"/>
        <w:rPr>
          <w:rFonts w:cs="Arial"/>
          <w:szCs w:val="24"/>
          <w:lang w:val="pt-BR"/>
        </w:rPr>
      </w:pPr>
      <w:r w:rsidRPr="00306706">
        <w:rPr>
          <w:rFonts w:eastAsia="Times New Roman" w:cs="Arial"/>
          <w:szCs w:val="24"/>
          <w:lang w:val="pt-BR"/>
        </w:rPr>
        <w:t xml:space="preserve">A governança corporativa e o envolvimento de </w:t>
      </w:r>
      <w:r w:rsidRPr="00306706">
        <w:rPr>
          <w:rFonts w:eastAsia="Times New Roman" w:cs="Arial"/>
          <w:i/>
          <w:iCs/>
          <w:szCs w:val="24"/>
          <w:lang w:val="pt-BR"/>
        </w:rPr>
        <w:t>stakeholders</w:t>
      </w:r>
      <w:r w:rsidRPr="00306706">
        <w:rPr>
          <w:rFonts w:eastAsia="Times New Roman" w:cs="Arial"/>
          <w:szCs w:val="24"/>
          <w:lang w:val="pt-BR"/>
        </w:rPr>
        <w:t>, tanto internos quanto externos (como universidades, bancos de fomento e poder público), são cruciais para o fortalecimento e a independência d</w:t>
      </w:r>
      <w:r w:rsidR="00306706" w:rsidRPr="00306706">
        <w:rPr>
          <w:rFonts w:eastAsia="Times New Roman" w:cs="Arial"/>
          <w:szCs w:val="24"/>
          <w:lang w:val="pt-BR"/>
        </w:rPr>
        <w:t xml:space="preserve">a Economia Social e Solidária (ESS) </w:t>
      </w:r>
      <w:r w:rsidRPr="00306706">
        <w:rPr>
          <w:rFonts w:eastAsia="Times New Roman" w:cs="Arial"/>
          <w:szCs w:val="24"/>
          <w:lang w:val="pt-BR"/>
        </w:rPr>
        <w:t>em comunidades tradicionais.</w:t>
      </w:r>
    </w:p>
    <w:p w14:paraId="7AD61677" w14:textId="77777777" w:rsidR="00EF1451" w:rsidRPr="00306706" w:rsidRDefault="005753F9" w:rsidP="00EF1451">
      <w:pPr>
        <w:spacing w:after="0"/>
        <w:jc w:val="both"/>
        <w:rPr>
          <w:rFonts w:cs="Arial"/>
          <w:szCs w:val="24"/>
          <w:lang w:val="pt-BR"/>
        </w:rPr>
      </w:pPr>
      <w:r w:rsidRPr="00306706">
        <w:rPr>
          <w:rFonts w:cs="Arial"/>
          <w:b/>
          <w:bCs/>
          <w:szCs w:val="24"/>
          <w:lang w:val="pt-BR"/>
        </w:rPr>
        <w:t>Objetivo da pesquisa:</w:t>
      </w:r>
    </w:p>
    <w:p w14:paraId="00834EAC" w14:textId="01D01C26" w:rsidR="005753F9" w:rsidRPr="00306706" w:rsidRDefault="00306706" w:rsidP="00EF1451">
      <w:pPr>
        <w:spacing w:after="0"/>
        <w:jc w:val="both"/>
        <w:rPr>
          <w:rFonts w:cs="Arial"/>
          <w:szCs w:val="24"/>
          <w:lang w:val="pt-BR"/>
        </w:rPr>
      </w:pPr>
      <w:r w:rsidRPr="00306706">
        <w:rPr>
          <w:rFonts w:eastAsia="Times New Roman" w:cs="Arial"/>
          <w:szCs w:val="24"/>
          <w:lang w:val="pt-BR"/>
        </w:rPr>
        <w:t xml:space="preserve">Nesse sentido, </w:t>
      </w:r>
      <w:r w:rsidR="00EF1451" w:rsidRPr="00306706">
        <w:rPr>
          <w:rFonts w:eastAsia="Times New Roman" w:cs="Arial"/>
          <w:szCs w:val="24"/>
          <w:lang w:val="pt-BR"/>
        </w:rPr>
        <w:t>buscar</w:t>
      </w:r>
      <w:r w:rsidRPr="00306706">
        <w:rPr>
          <w:rFonts w:eastAsia="Times New Roman" w:cs="Arial"/>
          <w:szCs w:val="24"/>
          <w:lang w:val="pt-BR"/>
        </w:rPr>
        <w:t>-se</w:t>
      </w:r>
      <w:r w:rsidR="00EF1451" w:rsidRPr="00306706">
        <w:rPr>
          <w:rFonts w:eastAsia="Times New Roman" w:cs="Arial"/>
          <w:szCs w:val="24"/>
          <w:lang w:val="pt-BR"/>
        </w:rPr>
        <w:t xml:space="preserve"> ações </w:t>
      </w:r>
      <w:r w:rsidRPr="00306706">
        <w:rPr>
          <w:rFonts w:eastAsia="Times New Roman" w:cs="Arial"/>
          <w:szCs w:val="24"/>
          <w:lang w:val="pt-BR"/>
        </w:rPr>
        <w:t xml:space="preserve">que </w:t>
      </w:r>
      <w:r w:rsidR="00EF1451" w:rsidRPr="00306706">
        <w:rPr>
          <w:rFonts w:eastAsia="Times New Roman" w:cs="Arial"/>
          <w:szCs w:val="24"/>
          <w:lang w:val="pt-BR"/>
        </w:rPr>
        <w:t>fortaleçam o ecossistema dos ESS com mais políticas públicas, mais fomento, mais cooperativas, etc</w:t>
      </w:r>
      <w:r w:rsidR="00EF1451" w:rsidRPr="00306706">
        <w:rPr>
          <w:rFonts w:eastAsia="Times New Roman" w:cs="Arial"/>
          <w:szCs w:val="24"/>
          <w:lang w:val="pt-BR"/>
        </w:rPr>
        <w:t xml:space="preserve">. Para isso, </w:t>
      </w:r>
      <w:r w:rsidRPr="00306706">
        <w:rPr>
          <w:rFonts w:eastAsia="Times New Roman" w:cs="Arial"/>
          <w:szCs w:val="24"/>
          <w:lang w:val="pt-BR"/>
        </w:rPr>
        <w:t>desenvolveu</w:t>
      </w:r>
      <w:r w:rsidR="00EF1451" w:rsidRPr="00306706">
        <w:rPr>
          <w:rFonts w:eastAsia="Times New Roman" w:cs="Arial"/>
          <w:szCs w:val="24"/>
          <w:lang w:val="pt-BR"/>
        </w:rPr>
        <w:t xml:space="preserve">-se um guia para servir de base para o </w:t>
      </w:r>
      <w:r w:rsidRPr="00306706">
        <w:rPr>
          <w:rFonts w:eastAsia="Times New Roman" w:cs="Arial"/>
          <w:szCs w:val="24"/>
          <w:lang w:val="pt-BR"/>
        </w:rPr>
        <w:t>resiliência</w:t>
      </w:r>
      <w:r w:rsidR="00EF1451" w:rsidRPr="00306706">
        <w:rPr>
          <w:rFonts w:eastAsia="Times New Roman" w:cs="Arial"/>
          <w:szCs w:val="24"/>
          <w:lang w:val="pt-BR"/>
        </w:rPr>
        <w:t xml:space="preserve"> destes </w:t>
      </w:r>
      <w:proofErr w:type="spellStart"/>
      <w:r w:rsidR="00EF1451" w:rsidRPr="00306706">
        <w:rPr>
          <w:rFonts w:eastAsia="Times New Roman" w:cs="Arial"/>
          <w:szCs w:val="24"/>
          <w:lang w:val="pt-BR"/>
        </w:rPr>
        <w:t>empreendimentos</w:t>
      </w:r>
      <w:proofErr w:type="spellEnd"/>
      <w:r w:rsidR="00EF1451" w:rsidRPr="00306706">
        <w:rPr>
          <w:rFonts w:eastAsia="Times New Roman" w:cs="Arial"/>
          <w:szCs w:val="24"/>
          <w:lang w:val="pt-BR"/>
        </w:rPr>
        <w:t>.</w:t>
      </w:r>
    </w:p>
    <w:p w14:paraId="0B8E4DA9" w14:textId="77777777" w:rsidR="005753F9" w:rsidRPr="00306706" w:rsidRDefault="005753F9" w:rsidP="00EF1451">
      <w:pPr>
        <w:spacing w:after="0"/>
        <w:jc w:val="both"/>
        <w:rPr>
          <w:rFonts w:cs="Arial"/>
          <w:b/>
          <w:bCs/>
          <w:szCs w:val="24"/>
          <w:lang w:val="pt-BR"/>
        </w:rPr>
      </w:pPr>
      <w:r w:rsidRPr="00306706">
        <w:rPr>
          <w:rFonts w:cs="Arial"/>
          <w:b/>
          <w:bCs/>
          <w:szCs w:val="24"/>
          <w:lang w:val="pt-BR"/>
        </w:rPr>
        <w:t>Metodologia utilizada:</w:t>
      </w:r>
    </w:p>
    <w:p w14:paraId="6D461094" w14:textId="23371907" w:rsidR="005753F9" w:rsidRPr="00306706" w:rsidRDefault="00306706" w:rsidP="00EF1451">
      <w:pPr>
        <w:spacing w:after="0"/>
        <w:jc w:val="both"/>
        <w:rPr>
          <w:rFonts w:cs="Arial"/>
          <w:szCs w:val="24"/>
          <w:lang w:val="pt-BR"/>
        </w:rPr>
      </w:pPr>
      <w:r w:rsidRPr="00306706">
        <w:rPr>
          <w:rFonts w:cs="Arial"/>
          <w:szCs w:val="24"/>
          <w:lang w:val="pt-BR"/>
        </w:rPr>
        <w:t>Foi realizado uma</w:t>
      </w:r>
      <w:r w:rsidR="00EF1451" w:rsidRPr="00306706">
        <w:rPr>
          <w:rFonts w:cs="Arial"/>
          <w:szCs w:val="24"/>
          <w:lang w:val="pt-BR"/>
        </w:rPr>
        <w:t xml:space="preserve"> revisão da </w:t>
      </w:r>
      <w:r w:rsidRPr="00306706">
        <w:rPr>
          <w:rFonts w:cs="Arial"/>
          <w:szCs w:val="24"/>
          <w:lang w:val="pt-BR"/>
        </w:rPr>
        <w:t>literatura</w:t>
      </w:r>
      <w:r w:rsidR="00EF1451" w:rsidRPr="00306706">
        <w:rPr>
          <w:rFonts w:cs="Arial"/>
          <w:szCs w:val="24"/>
          <w:lang w:val="pt-BR"/>
        </w:rPr>
        <w:t xml:space="preserve"> sobre ESS lincando com as atividades dentro das comunidades indígenas</w:t>
      </w:r>
      <w:r w:rsidRPr="00306706">
        <w:rPr>
          <w:rFonts w:cs="Arial"/>
          <w:szCs w:val="24"/>
          <w:lang w:val="pt-BR"/>
        </w:rPr>
        <w:t>, destacando as principais fragilidades</w:t>
      </w:r>
      <w:r w:rsidR="00EF1451" w:rsidRPr="00306706">
        <w:rPr>
          <w:rFonts w:cs="Arial"/>
          <w:szCs w:val="24"/>
          <w:lang w:val="pt-BR"/>
        </w:rPr>
        <w:t xml:space="preserve"> e extraindo boas prática</w:t>
      </w:r>
      <w:r w:rsidRPr="00306706">
        <w:rPr>
          <w:rFonts w:cs="Arial"/>
          <w:szCs w:val="24"/>
          <w:lang w:val="pt-BR"/>
        </w:rPr>
        <w:t>s</w:t>
      </w:r>
      <w:r w:rsidR="00EF1451" w:rsidRPr="00306706">
        <w:rPr>
          <w:rFonts w:cs="Arial"/>
          <w:szCs w:val="24"/>
          <w:lang w:val="pt-BR"/>
        </w:rPr>
        <w:t xml:space="preserve"> a fim de fornecer um guia para</w:t>
      </w:r>
      <w:r w:rsidRPr="00306706">
        <w:rPr>
          <w:rFonts w:cs="Arial"/>
          <w:szCs w:val="24"/>
          <w:lang w:val="pt-BR"/>
        </w:rPr>
        <w:t xml:space="preserve"> qualquer empreendimento nascente. </w:t>
      </w:r>
    </w:p>
    <w:p w14:paraId="35857C6C" w14:textId="77777777" w:rsidR="005753F9" w:rsidRPr="00306706" w:rsidRDefault="005753F9" w:rsidP="00EF1451">
      <w:pPr>
        <w:spacing w:after="0"/>
        <w:jc w:val="both"/>
        <w:rPr>
          <w:rFonts w:cs="Arial"/>
          <w:szCs w:val="24"/>
          <w:lang w:val="pt-BR"/>
        </w:rPr>
      </w:pPr>
    </w:p>
    <w:p w14:paraId="216953A9" w14:textId="77777777" w:rsidR="005753F9" w:rsidRPr="00306706" w:rsidRDefault="005753F9" w:rsidP="00EF1451">
      <w:pPr>
        <w:spacing w:after="0"/>
        <w:jc w:val="both"/>
        <w:rPr>
          <w:rFonts w:cs="Arial"/>
          <w:b/>
          <w:bCs/>
          <w:szCs w:val="24"/>
          <w:lang w:val="pt-BR"/>
        </w:rPr>
      </w:pPr>
      <w:r w:rsidRPr="00306706">
        <w:rPr>
          <w:rFonts w:cs="Arial"/>
          <w:b/>
          <w:bCs/>
          <w:szCs w:val="24"/>
          <w:lang w:val="pt-BR"/>
        </w:rPr>
        <w:t>Principais resultados:</w:t>
      </w:r>
    </w:p>
    <w:p w14:paraId="60BB300B" w14:textId="2D18C081" w:rsidR="005753F9" w:rsidRPr="00306706" w:rsidRDefault="00306706" w:rsidP="00306706">
      <w:pPr>
        <w:spacing w:after="0"/>
        <w:jc w:val="both"/>
        <w:rPr>
          <w:rFonts w:cs="Arial"/>
          <w:szCs w:val="24"/>
          <w:lang w:val="pt-BR"/>
        </w:rPr>
      </w:pPr>
      <w:r w:rsidRPr="00306706">
        <w:rPr>
          <w:rFonts w:cs="Arial"/>
          <w:szCs w:val="24"/>
          <w:lang w:val="pt-BR"/>
        </w:rPr>
        <w:t xml:space="preserve">Destaca-se que as maiores dificuldades estão relacionadas ao acesso a recursos, seja por falta de capacitação ou por poucas políticas públicas, e por falta de apoio de stakeholders externos, seja para financiar ou para capacitar. </w:t>
      </w:r>
    </w:p>
    <w:p w14:paraId="5B745E41" w14:textId="77777777" w:rsidR="005753F9" w:rsidRPr="00306706" w:rsidRDefault="005753F9" w:rsidP="00EF1451">
      <w:pPr>
        <w:spacing w:after="0"/>
        <w:ind w:left="360"/>
        <w:jc w:val="both"/>
        <w:rPr>
          <w:rFonts w:cs="Arial"/>
          <w:szCs w:val="24"/>
          <w:lang w:val="pt-BR"/>
        </w:rPr>
      </w:pPr>
    </w:p>
    <w:p w14:paraId="0C0432CC" w14:textId="77777777" w:rsidR="005753F9" w:rsidRPr="00306706" w:rsidRDefault="005753F9" w:rsidP="00EF1451">
      <w:pPr>
        <w:spacing w:after="0"/>
        <w:jc w:val="both"/>
        <w:rPr>
          <w:rFonts w:cs="Arial"/>
          <w:b/>
          <w:bCs/>
          <w:szCs w:val="24"/>
          <w:lang w:val="pt-BR"/>
        </w:rPr>
      </w:pPr>
      <w:r w:rsidRPr="00306706">
        <w:rPr>
          <w:rFonts w:cs="Arial"/>
          <w:b/>
          <w:bCs/>
          <w:szCs w:val="24"/>
          <w:lang w:val="pt-BR"/>
        </w:rPr>
        <w:t>Conclusões e contribuições:</w:t>
      </w:r>
    </w:p>
    <w:p w14:paraId="462B58D9" w14:textId="77777777" w:rsidR="00EF1451" w:rsidRPr="00306706" w:rsidRDefault="00EF1451" w:rsidP="00EF1451">
      <w:pPr>
        <w:spacing w:before="240" w:after="240"/>
        <w:jc w:val="both"/>
        <w:rPr>
          <w:rFonts w:eastAsia="Times New Roman" w:cs="Arial"/>
          <w:szCs w:val="24"/>
          <w:lang w:val="pt-BR"/>
        </w:rPr>
      </w:pPr>
      <w:r w:rsidRPr="00306706">
        <w:rPr>
          <w:rFonts w:eastAsia="Times New Roman" w:cs="Arial"/>
          <w:szCs w:val="24"/>
          <w:lang w:val="pt-BR"/>
        </w:rPr>
        <w:t xml:space="preserve">Conclui-se que o fortalecimento e a sobrevivência dos empreendimentos econômicos solidários em comunidades tradicionais dependem intrinsecamente da colaboração com os </w:t>
      </w:r>
      <w:r w:rsidRPr="00306706">
        <w:rPr>
          <w:rFonts w:eastAsia="Times New Roman" w:cs="Arial"/>
          <w:i/>
          <w:iCs/>
          <w:szCs w:val="24"/>
          <w:lang w:val="pt-BR"/>
        </w:rPr>
        <w:t xml:space="preserve">stakeholders, </w:t>
      </w:r>
      <w:r w:rsidRPr="00306706">
        <w:rPr>
          <w:rFonts w:eastAsia="Times New Roman" w:cs="Arial"/>
          <w:szCs w:val="24"/>
          <w:lang w:val="pt-BR"/>
        </w:rPr>
        <w:t>universidades principalmente, e da implementação deste guia como forma de constituir uma sólida estrutura de governança, garantindo transparência e a capacidade de gerar e demonstrar valor social.</w:t>
      </w:r>
    </w:p>
    <w:p w14:paraId="144CED78" w14:textId="77777777" w:rsidR="005753F9" w:rsidRPr="00306706" w:rsidRDefault="005753F9" w:rsidP="005753F9">
      <w:pPr>
        <w:ind w:left="360"/>
        <w:jc w:val="both"/>
        <w:rPr>
          <w:rFonts w:cs="Arial"/>
          <w:szCs w:val="24"/>
          <w:lang w:val="pt-BR"/>
        </w:rPr>
      </w:pPr>
    </w:p>
    <w:p w14:paraId="5AEA7460" w14:textId="77777777" w:rsidR="00C72A84" w:rsidRPr="00306706" w:rsidRDefault="00C72A84" w:rsidP="00C72A84">
      <w:pPr>
        <w:jc w:val="both"/>
        <w:rPr>
          <w:rFonts w:cs="Arial"/>
          <w:b/>
          <w:bCs/>
          <w:szCs w:val="24"/>
          <w:lang w:val="pt-BR"/>
        </w:rPr>
      </w:pPr>
    </w:p>
    <w:p w14:paraId="522D76FE" w14:textId="77777777" w:rsidR="00306706" w:rsidRPr="00306706" w:rsidRDefault="006949C4" w:rsidP="00306706">
      <w:pPr>
        <w:jc w:val="both"/>
        <w:rPr>
          <w:rFonts w:eastAsia="Times New Roman" w:cs="Arial"/>
          <w:szCs w:val="24"/>
          <w:lang w:val="pt-BR"/>
        </w:rPr>
      </w:pPr>
      <w:r w:rsidRPr="00306706">
        <w:rPr>
          <w:rFonts w:cs="Arial"/>
          <w:b/>
          <w:bCs/>
          <w:szCs w:val="24"/>
          <w:lang w:val="pt-BR"/>
        </w:rPr>
        <w:t>Palavras-chave:</w:t>
      </w:r>
      <w:r w:rsidRPr="00306706">
        <w:rPr>
          <w:rFonts w:cs="Arial"/>
          <w:szCs w:val="24"/>
          <w:lang w:val="pt-BR"/>
        </w:rPr>
        <w:t xml:space="preserve"> </w:t>
      </w:r>
      <w:r w:rsidR="00306706" w:rsidRPr="00306706">
        <w:rPr>
          <w:rFonts w:eastAsia="Times New Roman" w:cs="Arial"/>
          <w:szCs w:val="24"/>
          <w:lang w:val="pt-BR"/>
        </w:rPr>
        <w:t>Empreendimentos Econômico Solidários; Stakeholders; Governança.</w:t>
      </w:r>
    </w:p>
    <w:p w14:paraId="3508740D" w14:textId="353ADD65" w:rsidR="00572D56" w:rsidRPr="00306706" w:rsidRDefault="006949C4" w:rsidP="00C72A84">
      <w:pPr>
        <w:jc w:val="both"/>
        <w:rPr>
          <w:rFonts w:cs="Arial"/>
          <w:szCs w:val="24"/>
          <w:lang w:val="pt-BR"/>
        </w:rPr>
      </w:pPr>
      <w:r w:rsidRPr="00306706">
        <w:rPr>
          <w:rFonts w:cs="Arial"/>
          <w:szCs w:val="24"/>
          <w:lang w:val="pt-BR"/>
        </w:rPr>
        <w:br w:type="page"/>
      </w:r>
    </w:p>
    <w:p w14:paraId="3B6F37CB"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lastRenderedPageBreak/>
        <w:t>1. O CONTEXTO DOS EMPREENDIMENTOS ECONÔMICOS SOLIDÁRIOS</w:t>
      </w:r>
    </w:p>
    <w:p w14:paraId="34BC2922"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p>
    <w:p w14:paraId="3182D4A5"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Os Empreendimentos Econômicos Solidárias (EES) surgem frente</w:t>
      </w:r>
      <w:r w:rsidRPr="00306706">
        <w:rPr>
          <w:rFonts w:eastAsia="Times New Roman" w:cs="Arial"/>
          <w:szCs w:val="24"/>
          <w:lang w:val="pt-BR"/>
        </w:rPr>
        <w:t xml:space="preserve"> à hegemonia da economia de mercado, configurando-se com estratégias de natureza associativa, cooperativa e mutualista visando garantir condições dignas de subsistência a amplos segmentos sociais (</w:t>
      </w:r>
      <w:proofErr w:type="spellStart"/>
      <w:r w:rsidRPr="00306706">
        <w:rPr>
          <w:rFonts w:eastAsia="Times New Roman" w:cs="Arial"/>
          <w:color w:val="212529"/>
          <w:szCs w:val="24"/>
          <w:lang w:val="pt-BR"/>
        </w:rPr>
        <w:t>Gaiger</w:t>
      </w:r>
      <w:proofErr w:type="spellEnd"/>
      <w:r w:rsidRPr="00306706">
        <w:rPr>
          <w:rFonts w:eastAsia="Times New Roman" w:cs="Arial"/>
          <w:color w:val="212529"/>
          <w:szCs w:val="24"/>
          <w:lang w:val="pt-BR"/>
        </w:rPr>
        <w:t>, 2021)</w:t>
      </w:r>
      <w:r w:rsidRPr="00306706">
        <w:rPr>
          <w:rFonts w:eastAsia="Times New Roman" w:cs="Arial"/>
          <w:szCs w:val="24"/>
          <w:lang w:val="pt-BR"/>
        </w:rPr>
        <w:t xml:space="preserve">. </w:t>
      </w:r>
      <w:r w:rsidRPr="00306706">
        <w:rPr>
          <w:rFonts w:eastAsia="Times New Roman" w:cs="Arial"/>
          <w:color w:val="212529"/>
          <w:szCs w:val="24"/>
          <w:lang w:val="pt-BR"/>
        </w:rPr>
        <w:t>Para que sua influência cresça dentro da economia, especialmente em termos de ajudar grupos marginalizados em sua luta contra a dominação capitalista, será necessário aumentar sua viabilidade econômica (</w:t>
      </w:r>
      <w:proofErr w:type="spellStart"/>
      <w:r w:rsidRPr="00306706">
        <w:rPr>
          <w:rFonts w:eastAsia="Times New Roman" w:cs="Arial"/>
          <w:color w:val="212529"/>
          <w:szCs w:val="24"/>
          <w:lang w:val="pt-BR"/>
        </w:rPr>
        <w:t>Guttmann</w:t>
      </w:r>
      <w:proofErr w:type="spellEnd"/>
      <w:r w:rsidRPr="00306706">
        <w:rPr>
          <w:rFonts w:eastAsia="Times New Roman" w:cs="Arial"/>
          <w:color w:val="212529"/>
          <w:szCs w:val="24"/>
          <w:lang w:val="pt-BR"/>
        </w:rPr>
        <w:t xml:space="preserve">, 2021). </w:t>
      </w:r>
      <w:r w:rsidRPr="00306706">
        <w:rPr>
          <w:rFonts w:eastAsia="Times New Roman" w:cs="Arial"/>
          <w:szCs w:val="24"/>
          <w:lang w:val="pt-BR"/>
        </w:rPr>
        <w:t>O principal resultado da efetividade desses empreendimentos é a criação de valor social (</w:t>
      </w:r>
      <w:proofErr w:type="spellStart"/>
      <w:r w:rsidRPr="00306706">
        <w:rPr>
          <w:rFonts w:eastAsia="Times New Roman" w:cs="Arial"/>
          <w:color w:val="212529"/>
          <w:szCs w:val="24"/>
          <w:lang w:val="pt-BR"/>
        </w:rPr>
        <w:t>Catala</w:t>
      </w:r>
      <w:proofErr w:type="spellEnd"/>
      <w:r w:rsidRPr="00306706">
        <w:rPr>
          <w:rFonts w:eastAsia="Times New Roman" w:cs="Arial"/>
          <w:color w:val="212529"/>
          <w:szCs w:val="24"/>
          <w:lang w:val="pt-BR"/>
        </w:rPr>
        <w:t xml:space="preserve"> et al., 2023).</w:t>
      </w:r>
    </w:p>
    <w:p w14:paraId="032488E0"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Essa criação de valor é justamente a principal dificuldade destes EES, principalmente pela questão econômica. Segundo </w:t>
      </w:r>
      <w:proofErr w:type="spellStart"/>
      <w:r w:rsidRPr="00306706">
        <w:rPr>
          <w:rFonts w:eastAsia="Times New Roman" w:cs="Arial"/>
          <w:color w:val="212529"/>
          <w:szCs w:val="24"/>
          <w:lang w:val="pt-BR"/>
        </w:rPr>
        <w:t>Shyshkova</w:t>
      </w:r>
      <w:proofErr w:type="spellEnd"/>
      <w:r w:rsidRPr="00306706">
        <w:rPr>
          <w:rFonts w:eastAsia="Times New Roman" w:cs="Arial"/>
          <w:color w:val="212529"/>
          <w:szCs w:val="24"/>
          <w:lang w:val="pt-BR"/>
        </w:rPr>
        <w:t xml:space="preserve"> et al. (2022), a economia solidária precisa estar focada principalmente em alcançar a estabilidade do sistema econômico. Esta realidade é uma luta diária de sobrevivência vivida pelas comunidades indígenas localizadas no município de Barra do Corda no Estado do Maranhão, uma vez que estes </w:t>
      </w:r>
      <w:proofErr w:type="spellStart"/>
      <w:r w:rsidRPr="00306706">
        <w:rPr>
          <w:rFonts w:eastAsia="Times New Roman" w:cs="Arial"/>
          <w:color w:val="212529"/>
          <w:szCs w:val="24"/>
          <w:lang w:val="pt-BR"/>
        </w:rPr>
        <w:t>empreendimentos</w:t>
      </w:r>
      <w:proofErr w:type="spellEnd"/>
      <w:r w:rsidRPr="00306706">
        <w:rPr>
          <w:rFonts w:eastAsia="Times New Roman" w:cs="Arial"/>
          <w:color w:val="212529"/>
          <w:szCs w:val="24"/>
          <w:lang w:val="pt-BR"/>
        </w:rPr>
        <w:t xml:space="preserve"> necessitam de um corpo estrutural mínimo para um funcionamento efetivo. </w:t>
      </w:r>
    </w:p>
    <w:p w14:paraId="2BA39F11" w14:textId="77777777" w:rsidR="00306706" w:rsidRPr="00306706" w:rsidRDefault="00306706" w:rsidP="00070D2C">
      <w:pPr>
        <w:shd w:val="clear" w:color="auto" w:fill="FFFFFF"/>
        <w:spacing w:after="240" w:line="240" w:lineRule="auto"/>
        <w:ind w:firstLine="708"/>
        <w:jc w:val="both"/>
        <w:rPr>
          <w:rFonts w:eastAsia="Times New Roman" w:cs="Arial"/>
          <w:szCs w:val="24"/>
          <w:lang w:val="pt-BR"/>
        </w:rPr>
      </w:pPr>
      <w:r w:rsidRPr="00306706">
        <w:rPr>
          <w:rFonts w:eastAsia="Times New Roman" w:cs="Arial"/>
          <w:color w:val="212529"/>
          <w:szCs w:val="24"/>
          <w:lang w:val="pt-BR"/>
        </w:rPr>
        <w:t xml:space="preserve">Em visita a uma comunidade indígena (Aldeia </w:t>
      </w:r>
      <w:proofErr w:type="spellStart"/>
      <w:r w:rsidRPr="00306706">
        <w:rPr>
          <w:rFonts w:eastAsia="Times New Roman" w:cs="Arial"/>
          <w:color w:val="212529"/>
          <w:szCs w:val="24"/>
          <w:lang w:val="pt-BR"/>
        </w:rPr>
        <w:t>Kwarahy</w:t>
      </w:r>
      <w:proofErr w:type="spellEnd"/>
      <w:r w:rsidRPr="00306706">
        <w:rPr>
          <w:rFonts w:eastAsia="Times New Roman" w:cs="Arial"/>
          <w:color w:val="212529"/>
          <w:szCs w:val="24"/>
          <w:lang w:val="pt-BR"/>
        </w:rPr>
        <w:t xml:space="preserve">), uma das comunidades dentre outras diversas localizadas município de Barra do Corda no Estado do Maranhão, durante o desenvolvimento de uma atividade de extensão realizada por professores do Instituto Federal do Maranhão - Campus Barra do Corda, ouviu-se a seguinte frase de uma Cacique: “não queremos o pão, queremos a semente”. Esta frase reflete a necessidade de inserção e manutenção das pessoas daquela comunidade tradicional no ambiente de Economia Social e Solidária (ESS). </w:t>
      </w:r>
    </w:p>
    <w:p w14:paraId="3F1A10AA"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Percebe-se um distanciamento em relação a estes </w:t>
      </w:r>
      <w:proofErr w:type="spellStart"/>
      <w:r w:rsidRPr="00306706">
        <w:rPr>
          <w:rFonts w:eastAsia="Times New Roman" w:cs="Arial"/>
          <w:color w:val="212529"/>
          <w:szCs w:val="24"/>
          <w:lang w:val="pt-BR"/>
        </w:rPr>
        <w:t>empreendimentos</w:t>
      </w:r>
      <w:proofErr w:type="spellEnd"/>
      <w:r w:rsidRPr="00306706">
        <w:rPr>
          <w:rFonts w:eastAsia="Times New Roman" w:cs="Arial"/>
          <w:color w:val="212529"/>
          <w:szCs w:val="24"/>
          <w:lang w:val="pt-BR"/>
        </w:rPr>
        <w:t xml:space="preserve">, muita das vezes por desconhecimento ou de uma melhor compreensão de seu papel e forma de atuação. Segundo Battisti Telles et al. (2020), estes </w:t>
      </w:r>
      <w:proofErr w:type="spellStart"/>
      <w:r w:rsidRPr="00306706">
        <w:rPr>
          <w:rFonts w:eastAsia="Times New Roman" w:cs="Arial"/>
          <w:color w:val="212529"/>
          <w:szCs w:val="24"/>
          <w:lang w:val="pt-BR"/>
        </w:rPr>
        <w:t>empreendimentos</w:t>
      </w:r>
      <w:proofErr w:type="spellEnd"/>
      <w:r w:rsidRPr="00306706">
        <w:rPr>
          <w:rFonts w:eastAsia="Times New Roman" w:cs="Arial"/>
          <w:color w:val="212529"/>
          <w:szCs w:val="24"/>
          <w:lang w:val="pt-BR"/>
        </w:rPr>
        <w:t xml:space="preserve"> devem ser moldados por meio dos valores do trabalho, da igualdade de direitos, da democracia, da liberdade, da dignidade humana e da justiça social. Em outras palavras, devem adotar um modelo de governança coorporativa que envolva a participação ativa e permanente de todas as partes interessadas (</w:t>
      </w:r>
      <w:r w:rsidRPr="00306706">
        <w:rPr>
          <w:rFonts w:eastAsia="Times New Roman" w:cs="Arial"/>
          <w:i/>
          <w:iCs/>
          <w:color w:val="212529"/>
          <w:szCs w:val="24"/>
          <w:lang w:val="pt-BR"/>
        </w:rPr>
        <w:t>stakeholders</w:t>
      </w:r>
      <w:r w:rsidRPr="00306706">
        <w:rPr>
          <w:rFonts w:eastAsia="Times New Roman" w:cs="Arial"/>
          <w:color w:val="212529"/>
          <w:szCs w:val="24"/>
          <w:lang w:val="pt-BR"/>
        </w:rPr>
        <w:t xml:space="preserve">). </w:t>
      </w:r>
    </w:p>
    <w:p w14:paraId="65FE3128"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De forma mais detalhada, há uma necessidade e dependência de stakeholders, principalmente os externos, para manutenção e desenvolvimento desses empreendimentos solidários, pois essas organizações de economia solidária ainda não estão prontas para caminhar com as próprias “pernas” seja devido à falta de uma formação educacional necessária para desenvolver novos projetos, seja por escassez de conhecimento especializado em administração ou pela falta de recursos para incentivar o aprimoramento e desenvolvimento do negócio. Ou seja, os programas de empreendedorismo social não terão sucesso sem o envolvimento das partes interessadas (</w:t>
      </w:r>
      <w:proofErr w:type="spellStart"/>
      <w:r w:rsidRPr="00306706">
        <w:rPr>
          <w:rFonts w:eastAsia="Times New Roman" w:cs="Arial"/>
          <w:color w:val="212529"/>
          <w:szCs w:val="24"/>
          <w:lang w:val="pt-BR"/>
        </w:rPr>
        <w:t>Setiawan</w:t>
      </w:r>
      <w:proofErr w:type="spellEnd"/>
      <w:r w:rsidRPr="00306706">
        <w:rPr>
          <w:rFonts w:eastAsia="Times New Roman" w:cs="Arial"/>
          <w:color w:val="212529"/>
          <w:szCs w:val="24"/>
          <w:lang w:val="pt-BR"/>
        </w:rPr>
        <w:t xml:space="preserve"> et al., 2023). E como esses </w:t>
      </w:r>
      <w:r w:rsidRPr="00306706">
        <w:rPr>
          <w:rFonts w:eastAsia="Times New Roman" w:cs="Arial"/>
          <w:color w:val="212529"/>
          <w:szCs w:val="24"/>
          <w:lang w:val="pt-BR"/>
        </w:rPr>
        <w:lastRenderedPageBreak/>
        <w:t>empreendimentos podem criar independência? As partes interessadas são o caminho para essa independência? Quem irá tomar a frente?</w:t>
      </w:r>
    </w:p>
    <w:p w14:paraId="63B0BED8"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Acredita-se que essa mudança de </w:t>
      </w:r>
      <w:proofErr w:type="spellStart"/>
      <w:r w:rsidRPr="00306706">
        <w:rPr>
          <w:rFonts w:eastAsia="Times New Roman" w:cs="Arial"/>
          <w:color w:val="212529"/>
          <w:szCs w:val="24"/>
          <w:lang w:val="pt-BR"/>
        </w:rPr>
        <w:t>paradígma</w:t>
      </w:r>
      <w:proofErr w:type="spellEnd"/>
      <w:r w:rsidRPr="00306706">
        <w:rPr>
          <w:rFonts w:eastAsia="Times New Roman" w:cs="Arial"/>
          <w:color w:val="212529"/>
          <w:szCs w:val="24"/>
          <w:lang w:val="pt-BR"/>
        </w:rPr>
        <w:t xml:space="preserve"> pode ser efetivada através da implementação de uma estrutura de governança corporativa com participação ativa das partes interessadas com a academia sendo o protagonista inicial e indispensável nesta primeira fase. Compreende-se assim como </w:t>
      </w:r>
      <w:proofErr w:type="spellStart"/>
      <w:r w:rsidRPr="00306706">
        <w:rPr>
          <w:rFonts w:eastAsia="Times New Roman" w:cs="Arial"/>
          <w:color w:val="212529"/>
          <w:szCs w:val="24"/>
          <w:lang w:val="pt-BR"/>
        </w:rPr>
        <w:t>Ndlovu</w:t>
      </w:r>
      <w:proofErr w:type="spellEnd"/>
      <w:r w:rsidRPr="00306706">
        <w:rPr>
          <w:rFonts w:eastAsia="Times New Roman" w:cs="Arial"/>
          <w:color w:val="212529"/>
          <w:szCs w:val="24"/>
          <w:lang w:val="pt-BR"/>
        </w:rPr>
        <w:t xml:space="preserve"> e </w:t>
      </w:r>
      <w:proofErr w:type="spellStart"/>
      <w:r w:rsidRPr="00306706">
        <w:rPr>
          <w:rFonts w:eastAsia="Times New Roman" w:cs="Arial"/>
          <w:color w:val="212529"/>
          <w:szCs w:val="24"/>
          <w:lang w:val="pt-BR"/>
        </w:rPr>
        <w:t>Lefera</w:t>
      </w:r>
      <w:proofErr w:type="spellEnd"/>
      <w:r w:rsidRPr="00306706">
        <w:rPr>
          <w:rFonts w:eastAsia="Times New Roman" w:cs="Arial"/>
          <w:color w:val="212529"/>
          <w:szCs w:val="24"/>
          <w:lang w:val="pt-BR"/>
        </w:rPr>
        <w:t xml:space="preserve"> (2024) que a governança dos Empreendimentos de Economia Solidária é capaz de garantir que essas organizações sejam capazes de cumprir sua promessa de trazer mudanças positivas junto com suas comunidades.</w:t>
      </w:r>
    </w:p>
    <w:p w14:paraId="0E965337"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Para ajudar no fortalecimento e sobrevivência desses empreendimentos, propõem-se um guia para fortalecimento desses empreendimentos de economia solidária (comunidades indígenas da região de Barra do Corda) com ações de governança envolvendo a atuação dos stakeholders, principalmente pelos quesitos de atuação para captação de recursos, formas de gestão, parcerias com universidades etc. Com base nos princípios de economia solidária acredita-se que este guia pode contribuir para independência e fortalecimento no longo prazo desses empreendimentos.</w:t>
      </w:r>
    </w:p>
    <w:p w14:paraId="38032A4A"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p>
    <w:p w14:paraId="6C7A3365"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t>2. O INSTITUTO FEDERAL DO MARANHÃO ATUANDO JUNTO ÀS COMUNIDADES TRADICIONAIS EM BARRA DO CORDA (MA)</w:t>
      </w:r>
    </w:p>
    <w:p w14:paraId="271293B7"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p>
    <w:p w14:paraId="0EB9AE39"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O Instituto Federal do Maranhão (IFMA) é uma instituição pública educacional que trabalha sobre o tripé Ensino, Pesquisa e Extensão. No Maranhão há um total de 35 campi espalhados pelo Estado. Devido a peculiaridade geográfica de cada região, cada campus possui públicos diversos que precisam ser atendidos, conforme vocação e potencialidade local. No município de Barra do Corda (MA) há forte presença de comunidades indígenas e por conseguinte carece de projeto e trabalhos nesta área. </w:t>
      </w:r>
    </w:p>
    <w:p w14:paraId="045D72EA"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No município de Barra do Corda, há comunidades indígenas dos povos Guajajara e </w:t>
      </w:r>
      <w:proofErr w:type="spellStart"/>
      <w:r w:rsidRPr="00306706">
        <w:rPr>
          <w:rFonts w:eastAsia="Times New Roman" w:cs="Arial"/>
          <w:color w:val="212529"/>
          <w:szCs w:val="24"/>
          <w:lang w:val="pt-BR"/>
        </w:rPr>
        <w:t>Kanela</w:t>
      </w:r>
      <w:proofErr w:type="spellEnd"/>
      <w:r w:rsidRPr="00306706">
        <w:rPr>
          <w:rFonts w:eastAsia="Times New Roman" w:cs="Arial"/>
          <w:color w:val="212529"/>
          <w:szCs w:val="24"/>
          <w:lang w:val="pt-BR"/>
        </w:rPr>
        <w:t xml:space="preserve">. O município possui comunidades indígenas diversas como Cana Brava, Porquinhos e </w:t>
      </w:r>
      <w:proofErr w:type="spellStart"/>
      <w:r w:rsidRPr="00306706">
        <w:rPr>
          <w:rFonts w:eastAsia="Times New Roman" w:cs="Arial"/>
          <w:color w:val="212529"/>
          <w:szCs w:val="24"/>
          <w:lang w:val="pt-BR"/>
        </w:rPr>
        <w:t>Rodeador</w:t>
      </w:r>
      <w:proofErr w:type="spellEnd"/>
      <w:r w:rsidRPr="00306706">
        <w:rPr>
          <w:rFonts w:eastAsia="Times New Roman" w:cs="Arial"/>
          <w:color w:val="212529"/>
          <w:szCs w:val="24"/>
          <w:lang w:val="pt-BR"/>
        </w:rPr>
        <w:t xml:space="preserve">, além de parte da comunidade Indígena </w:t>
      </w:r>
      <w:proofErr w:type="spellStart"/>
      <w:r w:rsidRPr="00306706">
        <w:rPr>
          <w:rFonts w:eastAsia="Times New Roman" w:cs="Arial"/>
          <w:color w:val="212529"/>
          <w:szCs w:val="24"/>
          <w:lang w:val="pt-BR"/>
        </w:rPr>
        <w:t>Kanela</w:t>
      </w:r>
      <w:proofErr w:type="spellEnd"/>
      <w:r w:rsidRPr="00306706">
        <w:rPr>
          <w:rFonts w:eastAsia="Times New Roman" w:cs="Arial"/>
          <w:color w:val="212529"/>
          <w:szCs w:val="24"/>
          <w:lang w:val="pt-BR"/>
        </w:rPr>
        <w:t>, que se estende também pelo município vizinho de Fernando Falcão. Dados do IBGE de 2022 indicam que 5.335 indígenas, aproximadamente, residem em áreas do município, com alguns vivendo em área urbana. Importante destacar que cada comunidade possui peculiaridades, porém quando o assunto é economia social e solidária o problema é comum.</w:t>
      </w:r>
    </w:p>
    <w:p w14:paraId="100E22F3"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Visando amparar minorias como essas e outras, o IFMA através de resolução interna (Resolução CONSUP nº 008/2010, de 20 de janeiro de 2010) instituiu o Núcleo de Estudos Afro-brasileiros e Indígenas (NEABI) com o objetivo de promover a discussão e a pesquisa sobre a temática étnico-racial, com foco em estudos afro-brasileiros e indígenas, contribuindo para a inclusão e a diversidade nessas comunidades.</w:t>
      </w:r>
    </w:p>
    <w:p w14:paraId="095F70A3"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lastRenderedPageBreak/>
        <w:t>Desde então, o IFMA vem desempenho papel pioneiro e importante na inserção dessas comunidades com acesso à educação e levando alternativas através de projetos de extensão ligados a Economia Social e Solidária visando contribuir para o desenvolvimento local. Porém essas iniciativas ainda são incipientes e carecem de um maior apoio social.</w:t>
      </w:r>
    </w:p>
    <w:p w14:paraId="2D70E513"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p>
    <w:p w14:paraId="5F10C4CB"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t>3. DIFICULDADES QUE AFETAM A SOBREVIVÊNCIA DOS EMPREENDIMENTOS ECONÔMICO SOLIDÁRIOS (EES) EM COMUNIDADES TRADICIONAIS</w:t>
      </w:r>
    </w:p>
    <w:p w14:paraId="215A971C"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p>
    <w:p w14:paraId="2B63CE36" w14:textId="77777777" w:rsidR="00306706" w:rsidRPr="00306706" w:rsidRDefault="00306706" w:rsidP="00070D2C">
      <w:pPr>
        <w:spacing w:line="240" w:lineRule="auto"/>
        <w:ind w:firstLine="708"/>
        <w:jc w:val="both"/>
        <w:rPr>
          <w:rFonts w:eastAsia="Times New Roman" w:cs="Arial"/>
          <w:szCs w:val="24"/>
          <w:lang w:val="pt-BR"/>
        </w:rPr>
      </w:pPr>
      <w:r w:rsidRPr="00306706">
        <w:rPr>
          <w:rFonts w:eastAsia="Times New Roman" w:cs="Arial"/>
          <w:szCs w:val="24"/>
          <w:lang w:val="pt-BR"/>
        </w:rPr>
        <w:t>Mesmo possuindo grande potencial transformador e com crescente relevância, os Empreendimentos Económicos Solidários dentro das comunidades indígenas enfrentam muitas dificuldades no seu funcionamento o que cria um obstáculo para o seu fortalecimento, expansão, capacidade de alcance, autonomia e sustentabilidade. Os problemas vão desde dificuldades em precificar produtos artesanais para venda, passando por falta de conhecimento na constituição de associações e cooperativas até a como conseguir apoio de parceiros para garantir renda direcionada às comunidades.</w:t>
      </w:r>
    </w:p>
    <w:p w14:paraId="2EEABA92" w14:textId="77777777" w:rsidR="00306706" w:rsidRPr="00306706" w:rsidRDefault="00306706" w:rsidP="00070D2C">
      <w:pPr>
        <w:shd w:val="clear" w:color="auto" w:fill="FFFFFF"/>
        <w:spacing w:after="240" w:line="240" w:lineRule="auto"/>
        <w:ind w:firstLine="708"/>
        <w:jc w:val="both"/>
        <w:rPr>
          <w:rFonts w:eastAsia="Times New Roman" w:cs="Arial"/>
          <w:szCs w:val="24"/>
          <w:lang w:val="pt-BR"/>
        </w:rPr>
      </w:pPr>
      <w:r w:rsidRPr="00306706">
        <w:rPr>
          <w:rFonts w:eastAsia="Times New Roman" w:cs="Arial"/>
          <w:szCs w:val="24"/>
          <w:lang w:val="pt-BR"/>
        </w:rPr>
        <w:t>Estes desafios envolvem desde questões internas de gestão e governação, até fatores externos relacionados com o ambiente de mercado, o acesso a fontes de recursos (financiamentos) e a políticas públicas. Entender sobre estas dificuldades é tarefa crucial para delinear estratégias eficazes de apoio e fortalecimento nessas comunidades.</w:t>
      </w:r>
    </w:p>
    <w:p w14:paraId="7E043B6B" w14:textId="77777777" w:rsidR="00306706" w:rsidRPr="00306706" w:rsidRDefault="00306706" w:rsidP="00070D2C">
      <w:pPr>
        <w:shd w:val="clear" w:color="auto" w:fill="FFFFFF"/>
        <w:spacing w:after="240" w:line="240" w:lineRule="auto"/>
        <w:ind w:firstLine="708"/>
        <w:jc w:val="both"/>
        <w:rPr>
          <w:rFonts w:eastAsia="Times New Roman" w:cs="Arial"/>
          <w:szCs w:val="24"/>
          <w:lang w:val="pt-BR"/>
        </w:rPr>
      </w:pPr>
      <w:r w:rsidRPr="00306706">
        <w:rPr>
          <w:rFonts w:eastAsia="Times New Roman" w:cs="Arial"/>
          <w:szCs w:val="24"/>
          <w:lang w:val="pt-BR"/>
        </w:rPr>
        <w:t>Em uma das visitas realizada nas comunidades foi identificado certa dificuldade na precificação de produtos artesanais. Algumas mulheres indígenas não sabiam informar o preço de produtos como bijuterias e redes de dormir.</w:t>
      </w:r>
    </w:p>
    <w:p w14:paraId="0368638C" w14:textId="77777777" w:rsidR="00306706" w:rsidRPr="00306706" w:rsidRDefault="00306706" w:rsidP="00070D2C">
      <w:pPr>
        <w:shd w:val="clear" w:color="auto" w:fill="FFFFFF"/>
        <w:spacing w:after="240" w:line="240" w:lineRule="auto"/>
        <w:ind w:firstLine="708"/>
        <w:jc w:val="both"/>
        <w:rPr>
          <w:rFonts w:eastAsia="Times New Roman" w:cs="Arial"/>
          <w:szCs w:val="24"/>
          <w:lang w:val="pt-BR"/>
        </w:rPr>
      </w:pPr>
      <w:r w:rsidRPr="00306706">
        <w:rPr>
          <w:rFonts w:eastAsia="Times New Roman" w:cs="Arial"/>
          <w:szCs w:val="24"/>
          <w:lang w:val="pt-BR"/>
        </w:rPr>
        <w:t>Na realidade isso é um problema de formação educacional. Muitos indígenas não possuem sequer ensino médio completo, outros apresentam dificuldade com a língua portuguesa, além de muitos não terem acesso a recursos tecnológicos úteis na aprendizagem e essenciais para o trabalho hoje em dia. Incrementa-se a essa situação a distância geográfica e acesso aos centros urbanos.</w:t>
      </w:r>
    </w:p>
    <w:p w14:paraId="56BFA615"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szCs w:val="24"/>
          <w:lang w:val="pt-BR"/>
        </w:rPr>
        <w:t xml:space="preserve">Esse problema de formação é comum nos mais diversos Empreendimentos de Economia Social e Solidária. </w:t>
      </w:r>
      <w:r w:rsidRPr="00306706">
        <w:rPr>
          <w:rFonts w:eastAsia="Times New Roman" w:cs="Arial"/>
          <w:color w:val="212529"/>
          <w:szCs w:val="24"/>
          <w:lang w:val="pt-BR"/>
        </w:rPr>
        <w:t>Estes ainda não possuem a expertise de priorizar o investimento em conhecimento. Segundo Silva et al. (2024), essas organizações devem priorizar a gestão do conhecimento na tentativa de aumentar sua resiliência diante dos desafios econômicos, sociais e ambientais.</w:t>
      </w:r>
    </w:p>
    <w:p w14:paraId="115364A0"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Essa máxima já impera no mundo acadêmico. A capacidade de absorção influencia positivamente o desempenho social (Silva et al., 2024). Não há uma priorização de capacidade de aprendizagem e busca de </w:t>
      </w:r>
      <w:r w:rsidRPr="00306706">
        <w:rPr>
          <w:rFonts w:eastAsia="Times New Roman" w:cs="Arial"/>
          <w:color w:val="212529"/>
          <w:szCs w:val="24"/>
          <w:lang w:val="pt-BR"/>
        </w:rPr>
        <w:lastRenderedPageBreak/>
        <w:t>conhecimento pelos participantes seja por questão cultural, por dificuldades ou por questões de acesso à aprendizagem. Isso acaba por dificultar a constituição de associações ou cooperativas de forma organizada justamente pela falta de conhecimento.</w:t>
      </w:r>
    </w:p>
    <w:p w14:paraId="4747FE4E"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Outra dificuldade está relacionada a falta de políticas públicas voltadas para a economia social e solidária. Segundo Da Silva (2011), as políticas públicas de economia solidária ainda são limitadas, fragmentadas e com pouca abrangência, aquém da necessidade real daqueles que fazem a economia solidária no Brasil.</w:t>
      </w:r>
    </w:p>
    <w:p w14:paraId="2FF3C84F"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Importante destacar que essas políticas públicas não necessariamente precisam partir de órgãos públicos. Qualquer parte interessada relacionada à Economia Social e Solidária pode e deve realizar ações em prol desses empreendimentos. Empresas privadas, pesquisadores, governo, universidades (públicas e privadas), bancos comunitários, redes de cooperativas e outras redes de economia social e solidária são partes legitimas para participar e apoiar esses empreendimentos.</w:t>
      </w:r>
    </w:p>
    <w:p w14:paraId="36584D9A"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Diversas empresas privadas já oferecem editais de fomento para financiar ações em prol do fortalecimento desses empreendimentos, porém a falta de utilização de normas e procedimentos de governança é um obstáculo crítico. Definir regras claras de governança desde o início de um Empreendimento de Economia Solidária é particularmente relevante porque pode ser um dos principais determinantes do sucesso em trazer melhorias para a comunidade (</w:t>
      </w:r>
      <w:proofErr w:type="spellStart"/>
      <w:r w:rsidRPr="00306706">
        <w:rPr>
          <w:rFonts w:eastAsia="Times New Roman" w:cs="Arial"/>
          <w:color w:val="212529"/>
          <w:szCs w:val="24"/>
          <w:lang w:val="pt-BR"/>
        </w:rPr>
        <w:t>Marconatto</w:t>
      </w:r>
      <w:proofErr w:type="spellEnd"/>
      <w:r w:rsidRPr="00306706">
        <w:rPr>
          <w:rFonts w:eastAsia="Times New Roman" w:cs="Arial"/>
          <w:color w:val="212529"/>
          <w:szCs w:val="24"/>
          <w:lang w:val="pt-BR"/>
        </w:rPr>
        <w:t xml:space="preserve"> et al., 2020).</w:t>
      </w:r>
    </w:p>
    <w:p w14:paraId="74A5CAAF"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Quem vai ajudar, como ajudar e por quanto tempo ajudar ainda é uma dificuldade nos empreendimentos de economia solidária, principalmente quando se fala em comunidades indígenas. Parte deste problema pode estar relacionado a falta de colaboração de parceiros responsáveis por essa difusão de conhecimento. Sabe-se que instrução é uma das principais carências dessas organizações. A Universidade Pública, neste cenário, poder ter grande contribuição como lócus para agregar os variados membros da comunidade e para articular, por meio de seus pilares ensino-pesquisa-extensão, as diferentes ações construídas e desenvolvidas de maneira parceria entre os membros de redes de Economia Solidária (Ferro et al., 2020).</w:t>
      </w:r>
    </w:p>
    <w:p w14:paraId="175D8F31"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Num primeiro momento, como política pública, a academia pode contribuir no nascedouro dos empreendimentos. É responsável por capacitar, orientar e atuar de forma conjunto até as comunidades começarem a caminhar sozinhas. Vale destacar que há dependência das universidades em obtenção de recursos para incentivar esses empreendimentos. Muitas vezes estes são conseguidos via editais de fomento que garantem a captação de recursos, isto é, as universidades dependem de parceiros dispostos a “ajudar a causa”. Nesse sentido, </w:t>
      </w:r>
      <w:proofErr w:type="spellStart"/>
      <w:r w:rsidRPr="00306706">
        <w:rPr>
          <w:rFonts w:eastAsia="Times New Roman" w:cs="Arial"/>
          <w:color w:val="212529"/>
          <w:szCs w:val="24"/>
          <w:lang w:val="pt-BR"/>
        </w:rPr>
        <w:t>Ndlovu</w:t>
      </w:r>
      <w:proofErr w:type="spellEnd"/>
      <w:r w:rsidRPr="00306706">
        <w:rPr>
          <w:rFonts w:eastAsia="Times New Roman" w:cs="Arial"/>
          <w:color w:val="212529"/>
          <w:szCs w:val="24"/>
          <w:lang w:val="pt-BR"/>
        </w:rPr>
        <w:t xml:space="preserve"> e </w:t>
      </w:r>
      <w:proofErr w:type="spellStart"/>
      <w:r w:rsidRPr="00306706">
        <w:rPr>
          <w:rFonts w:eastAsia="Times New Roman" w:cs="Arial"/>
          <w:color w:val="212529"/>
          <w:szCs w:val="24"/>
          <w:lang w:val="pt-BR"/>
        </w:rPr>
        <w:t>Lefera</w:t>
      </w:r>
      <w:proofErr w:type="spellEnd"/>
      <w:r w:rsidRPr="00306706">
        <w:rPr>
          <w:rFonts w:eastAsia="Times New Roman" w:cs="Arial"/>
          <w:color w:val="212529"/>
          <w:szCs w:val="24"/>
          <w:lang w:val="pt-BR"/>
        </w:rPr>
        <w:t xml:space="preserve"> (2024) argumentam sobre falta colaboração entre a universidade e outros setores. Esta afirmação pode induzir que há uma rede de apoio para as universidades desenvolverem políticas de economia solidária, mas essa não é a realidade. </w:t>
      </w:r>
    </w:p>
    <w:p w14:paraId="7B4B08C3"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lastRenderedPageBreak/>
        <w:t>A universidade é apenas uma parte importante nesse processo. É necessário a engrenagem interna dos próprios empreendedores se organizando em formas de associação ou cooperativas com objetivos comuns. Essa agregação constitui a outra etapa no fortalecimento desses empreendimentos. Só então após um funcionamento regular é que será possível constituir um ecossistema sólido de economia solidária com objetivos comuns ao alcance de resultados sociais.</w:t>
      </w:r>
    </w:p>
    <w:p w14:paraId="089C295D"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Apesar da distância de um modelo forte de Economia Social e Solidária, há um ecossistema que vem crescendo e se desenvolvendo em diversas localidades a nível mundial, fazendo com que </w:t>
      </w:r>
      <w:proofErr w:type="spellStart"/>
      <w:r w:rsidRPr="00306706">
        <w:rPr>
          <w:rFonts w:eastAsia="Times New Roman" w:cs="Arial"/>
          <w:color w:val="212529"/>
          <w:szCs w:val="24"/>
          <w:lang w:val="pt-BR"/>
        </w:rPr>
        <w:t>empreendimentos</w:t>
      </w:r>
      <w:proofErr w:type="spellEnd"/>
      <w:r w:rsidRPr="00306706">
        <w:rPr>
          <w:rFonts w:eastAsia="Times New Roman" w:cs="Arial"/>
          <w:color w:val="212529"/>
          <w:szCs w:val="24"/>
          <w:lang w:val="pt-BR"/>
        </w:rPr>
        <w:t xml:space="preserve"> econômicos solidários atuem como parceiros das partes interessadas, isto é, atuando em redes de apoio colaborativas.  As organizações em redes influenciam positivamente o desempenho das Empresas de Economia Solidária (EES), enfrentando desafios como capacidade limitada de produção e acesso ao mercado, ao mesmo tempo em que promovem valores cooperativos e associativos (Soares et al., 2016).</w:t>
      </w:r>
    </w:p>
    <w:p w14:paraId="69EB8676"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Este trabalho colaborativo em rede fortalece o apoio no desenvolvimento local. É uma peça fundamental na consolidação, isto é, uma contribuição para que os pequenos produtores se fortaleçam e caminhem sozinhos. É um passo para desenvolver outra tarefa desafiadora. Conseguir medir os resultados, pois ainda não há uma cultura solida, nem instrumentos eficientes utilizados para medir e acompanhar os resultados destes empreendimentos no longo prazo. A tarefa de medir o impacto social continua pendente pela maioria das organizações (Guzmán et al. 2025).</w:t>
      </w:r>
    </w:p>
    <w:p w14:paraId="0B92471E"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p>
    <w:p w14:paraId="05BF131B"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t>4. GOVERNANÇA CORPORATIVA: O FORMATO IDEAL DOS EMPREENDIMENTOS ECONÔMICOS SOLIDÁRIOS EM COMUNIDADES TRADICIONAIS</w:t>
      </w:r>
    </w:p>
    <w:p w14:paraId="0E4CB80C"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Em uma economia solidária funcional, as pessoas comuns desempenham um papel ativo na formação de todas as dimensões da vida humana: econômica, social, cultural, política e ambiental (</w:t>
      </w:r>
      <w:proofErr w:type="spellStart"/>
      <w:r w:rsidRPr="00306706">
        <w:rPr>
          <w:rFonts w:eastAsia="Times New Roman" w:cs="Arial"/>
          <w:color w:val="212529"/>
          <w:szCs w:val="24"/>
          <w:lang w:val="pt-BR"/>
        </w:rPr>
        <w:t>Shyshkova</w:t>
      </w:r>
      <w:proofErr w:type="spellEnd"/>
      <w:r w:rsidRPr="00306706">
        <w:rPr>
          <w:rFonts w:eastAsia="Times New Roman" w:cs="Arial"/>
          <w:color w:val="212529"/>
          <w:szCs w:val="24"/>
          <w:lang w:val="pt-BR"/>
        </w:rPr>
        <w:t xml:space="preserve"> et al., 2022). Assim, para que essas organizações operem de forma competitiva e mais eficaz, devem direcionar ativamente suas estratégias a fim de atenderem às demandas das partes interessadas (Hernández-</w:t>
      </w:r>
      <w:proofErr w:type="spellStart"/>
      <w:r w:rsidRPr="00306706">
        <w:rPr>
          <w:rFonts w:eastAsia="Times New Roman" w:cs="Arial"/>
          <w:color w:val="212529"/>
          <w:szCs w:val="24"/>
          <w:lang w:val="pt-BR"/>
        </w:rPr>
        <w:t>Arzaba</w:t>
      </w:r>
      <w:proofErr w:type="spellEnd"/>
      <w:r w:rsidRPr="00306706">
        <w:rPr>
          <w:rFonts w:eastAsia="Times New Roman" w:cs="Arial"/>
          <w:color w:val="212529"/>
          <w:szCs w:val="24"/>
          <w:lang w:val="pt-BR"/>
        </w:rPr>
        <w:t xml:space="preserve"> et al., 2022). Uma vez que estes </w:t>
      </w:r>
      <w:r w:rsidRPr="00306706">
        <w:rPr>
          <w:rFonts w:eastAsia="Times New Roman" w:cs="Arial"/>
          <w:i/>
          <w:iCs/>
          <w:color w:val="212529"/>
          <w:szCs w:val="24"/>
          <w:lang w:val="pt-BR"/>
        </w:rPr>
        <w:t xml:space="preserve">stakeholders </w:t>
      </w:r>
      <w:r w:rsidRPr="00306706">
        <w:rPr>
          <w:rFonts w:eastAsia="Times New Roman" w:cs="Arial"/>
          <w:color w:val="212529"/>
          <w:szCs w:val="24"/>
          <w:lang w:val="pt-BR"/>
        </w:rPr>
        <w:t xml:space="preserve">são considerados partes de fundamental importância na formação de um ecossistema empreendedor para os Empreendimentos de Economia Solidária (EES) e essenciais para sua emancipação (Morais e </w:t>
      </w:r>
      <w:proofErr w:type="spellStart"/>
      <w:r w:rsidRPr="00306706">
        <w:rPr>
          <w:rFonts w:eastAsia="Times New Roman" w:cs="Arial"/>
          <w:color w:val="212529"/>
          <w:szCs w:val="24"/>
          <w:lang w:val="pt-BR"/>
        </w:rPr>
        <w:t>Bacic</w:t>
      </w:r>
      <w:proofErr w:type="spellEnd"/>
      <w:r w:rsidRPr="00306706">
        <w:rPr>
          <w:rFonts w:eastAsia="Times New Roman" w:cs="Arial"/>
          <w:color w:val="212529"/>
          <w:szCs w:val="24"/>
          <w:lang w:val="pt-BR"/>
        </w:rPr>
        <w:t>, 2020).</w:t>
      </w:r>
    </w:p>
    <w:p w14:paraId="303D518B"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 A força dessas organizações de Economia Social e Solidária reside na sua proximidade com as populações, no seu conhecimento do terreno, no seu método de funcionamento flexível que lhes permite intervir de forma rápida e eficaz (Latifa </w:t>
      </w:r>
      <w:proofErr w:type="gramStart"/>
      <w:r w:rsidRPr="00306706">
        <w:rPr>
          <w:rFonts w:eastAsia="Times New Roman" w:cs="Arial"/>
          <w:color w:val="212529"/>
          <w:szCs w:val="24"/>
          <w:lang w:val="pt-BR"/>
        </w:rPr>
        <w:t xml:space="preserve">e  </w:t>
      </w:r>
      <w:proofErr w:type="spellStart"/>
      <w:r w:rsidRPr="00306706">
        <w:rPr>
          <w:rFonts w:eastAsia="Times New Roman" w:cs="Arial"/>
          <w:color w:val="212529"/>
          <w:szCs w:val="24"/>
          <w:lang w:val="pt-BR"/>
        </w:rPr>
        <w:t>Angade</w:t>
      </w:r>
      <w:proofErr w:type="spellEnd"/>
      <w:proofErr w:type="gramEnd"/>
      <w:r w:rsidRPr="00306706">
        <w:rPr>
          <w:rFonts w:eastAsia="Times New Roman" w:cs="Arial"/>
          <w:color w:val="212529"/>
          <w:szCs w:val="24"/>
          <w:lang w:val="pt-BR"/>
        </w:rPr>
        <w:t>, 2022). É necessário governança e unidade para o fortalecimento.</w:t>
      </w:r>
    </w:p>
    <w:p w14:paraId="3B6E0947"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lastRenderedPageBreak/>
        <w:t>Essa governança e seus vínculos com a democracia têm ocupado um lugar cada vez maior nos debates, tanto do ponto de vista da diversificação dos atores, especialmente nas cooperativas, quanto da participação dos usuários em atividades culturais (</w:t>
      </w:r>
      <w:proofErr w:type="spellStart"/>
      <w:r w:rsidRPr="00306706">
        <w:rPr>
          <w:rFonts w:eastAsia="Times New Roman" w:cs="Arial"/>
          <w:color w:val="212529"/>
          <w:szCs w:val="24"/>
          <w:lang w:val="pt-BR"/>
        </w:rPr>
        <w:t>Ferraton</w:t>
      </w:r>
      <w:proofErr w:type="spellEnd"/>
      <w:r w:rsidRPr="00306706">
        <w:rPr>
          <w:rFonts w:eastAsia="Times New Roman" w:cs="Arial"/>
          <w:color w:val="212529"/>
          <w:szCs w:val="24"/>
          <w:lang w:val="pt-BR"/>
        </w:rPr>
        <w:t xml:space="preserve"> et al., 2024).</w:t>
      </w:r>
    </w:p>
    <w:p w14:paraId="0766C316"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Para </w:t>
      </w:r>
      <w:proofErr w:type="spellStart"/>
      <w:r w:rsidRPr="00306706">
        <w:rPr>
          <w:rFonts w:eastAsia="Times New Roman" w:cs="Arial"/>
          <w:color w:val="212529"/>
          <w:szCs w:val="24"/>
          <w:lang w:val="pt-BR"/>
        </w:rPr>
        <w:t>Marconatto</w:t>
      </w:r>
      <w:proofErr w:type="spellEnd"/>
      <w:r w:rsidRPr="00306706">
        <w:rPr>
          <w:rFonts w:eastAsia="Times New Roman" w:cs="Arial"/>
          <w:color w:val="212529"/>
          <w:szCs w:val="24"/>
          <w:lang w:val="pt-BR"/>
        </w:rPr>
        <w:t xml:space="preserve"> et al. (2020), a governança dos EES é um fator importante em sua eficácia para produzir mudanças positivas para suas comunidades e não deve ser negligenciada. Somente através dela, é que será possível haver um fortalecimento desses empreendimentos. Além disso, ela exige o envolvimento de fenômenos como inovação social, do empreendedorismo social e da cooperação (</w:t>
      </w:r>
      <w:proofErr w:type="spellStart"/>
      <w:r w:rsidRPr="00306706">
        <w:rPr>
          <w:rFonts w:eastAsia="Times New Roman" w:cs="Arial"/>
          <w:color w:val="212529"/>
          <w:szCs w:val="24"/>
          <w:lang w:val="pt-BR"/>
        </w:rPr>
        <w:t>Catala</w:t>
      </w:r>
      <w:proofErr w:type="spellEnd"/>
      <w:r w:rsidRPr="00306706">
        <w:rPr>
          <w:rFonts w:eastAsia="Times New Roman" w:cs="Arial"/>
          <w:color w:val="212529"/>
          <w:szCs w:val="24"/>
          <w:lang w:val="pt-BR"/>
        </w:rPr>
        <w:t xml:space="preserve"> et al., 2023).</w:t>
      </w:r>
    </w:p>
    <w:p w14:paraId="0C56D1C0"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O fortalecimento da governança também parte da criação e desenvolvimento de um ecossistema, neste caso um voltado para Economia Social e Solidária (ESS). É necessário estrutura do ecossistema que se baseia em redes de cooperação, permitindo geração de sinergias e foco na construção de objetivos comuns que criem valor social (</w:t>
      </w:r>
      <w:proofErr w:type="spellStart"/>
      <w:r w:rsidRPr="00306706">
        <w:rPr>
          <w:rFonts w:eastAsia="Times New Roman" w:cs="Arial"/>
          <w:color w:val="212529"/>
          <w:szCs w:val="24"/>
          <w:lang w:val="pt-BR"/>
        </w:rPr>
        <w:t>Catala</w:t>
      </w:r>
      <w:proofErr w:type="spellEnd"/>
      <w:r w:rsidRPr="00306706">
        <w:rPr>
          <w:rFonts w:eastAsia="Times New Roman" w:cs="Arial"/>
          <w:color w:val="212529"/>
          <w:szCs w:val="24"/>
          <w:lang w:val="pt-BR"/>
        </w:rPr>
        <w:t xml:space="preserve"> et al., 2023).</w:t>
      </w:r>
    </w:p>
    <w:p w14:paraId="79B97369"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Assim, almeja-se um modelo de governança que busque inovação, que garanta formação de um ecossistema de Economia Solidária, com participação dos ativa </w:t>
      </w:r>
      <w:r w:rsidRPr="00306706">
        <w:rPr>
          <w:rFonts w:eastAsia="Times New Roman" w:cs="Arial"/>
          <w:i/>
          <w:iCs/>
          <w:color w:val="212529"/>
          <w:szCs w:val="24"/>
          <w:lang w:val="pt-BR"/>
        </w:rPr>
        <w:t>stakeholders</w:t>
      </w:r>
      <w:r w:rsidRPr="00306706">
        <w:rPr>
          <w:rFonts w:eastAsia="Times New Roman" w:cs="Arial"/>
          <w:color w:val="212529"/>
          <w:szCs w:val="24"/>
          <w:lang w:val="pt-BR"/>
        </w:rPr>
        <w:t xml:space="preserve"> internos (gestão, funcionários, cooperados etc.) e externos (universidades, bancos de fomento, investidores, poder público, redes de colaboradores etc.), com ações de solidariedade, com autogestão e com transparência. Este modelo poderia ser representado conforme figura um abaixo.</w:t>
      </w:r>
    </w:p>
    <w:p w14:paraId="5A8D79FB" w14:textId="4E0E884E" w:rsidR="00306706" w:rsidRPr="00306706" w:rsidRDefault="00306706" w:rsidP="00070D2C">
      <w:pPr>
        <w:shd w:val="clear" w:color="auto" w:fill="FFFFFF"/>
        <w:spacing w:after="240" w:line="240" w:lineRule="auto"/>
        <w:ind w:left="708" w:firstLine="708"/>
        <w:jc w:val="both"/>
        <w:rPr>
          <w:rFonts w:eastAsia="Times New Roman" w:cs="Arial"/>
          <w:color w:val="212529"/>
          <w:sz w:val="20"/>
          <w:szCs w:val="20"/>
          <w:lang w:val="pt-BR"/>
        </w:rPr>
      </w:pPr>
      <w:r w:rsidRPr="00306706">
        <w:rPr>
          <w:rFonts w:cs="Arial"/>
          <w:noProof/>
          <w:sz w:val="20"/>
          <w:szCs w:val="20"/>
        </w:rPr>
        <w:drawing>
          <wp:anchor distT="9441" distB="9834" distL="114300" distR="114300" simplePos="0" relativeHeight="251659264" behindDoc="1" locked="0" layoutInCell="1" allowOverlap="1" wp14:anchorId="13479015" wp14:editId="40B72B8D">
            <wp:simplePos x="0" y="0"/>
            <wp:positionH relativeFrom="column">
              <wp:posOffset>480695</wp:posOffset>
            </wp:positionH>
            <wp:positionV relativeFrom="paragraph">
              <wp:posOffset>391076</wp:posOffset>
            </wp:positionV>
            <wp:extent cx="3508375" cy="1995805"/>
            <wp:effectExtent l="0" t="38100" r="0" b="42545"/>
            <wp:wrapTopAndBottom/>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306706">
        <w:rPr>
          <w:rFonts w:eastAsia="Times New Roman" w:cs="Arial"/>
          <w:color w:val="212529"/>
          <w:sz w:val="20"/>
          <w:szCs w:val="20"/>
          <w:lang w:val="pt-BR"/>
        </w:rPr>
        <w:t>Figura 1: Modelo de Gestão para Comunidades Indígenas</w:t>
      </w:r>
    </w:p>
    <w:p w14:paraId="008D6F53" w14:textId="77777777" w:rsidR="00306706" w:rsidRPr="00306706" w:rsidRDefault="00306706" w:rsidP="00070D2C">
      <w:pPr>
        <w:shd w:val="clear" w:color="auto" w:fill="FFFFFF"/>
        <w:spacing w:after="240" w:line="240" w:lineRule="auto"/>
        <w:ind w:left="708" w:firstLine="708"/>
        <w:jc w:val="both"/>
        <w:rPr>
          <w:rFonts w:eastAsia="Times New Roman" w:cs="Arial"/>
          <w:color w:val="212529"/>
          <w:sz w:val="20"/>
          <w:szCs w:val="20"/>
          <w:lang w:val="pt-BR"/>
        </w:rPr>
      </w:pPr>
      <w:r w:rsidRPr="00306706">
        <w:rPr>
          <w:rFonts w:eastAsia="Times New Roman" w:cs="Arial"/>
          <w:color w:val="212529"/>
          <w:sz w:val="20"/>
          <w:szCs w:val="20"/>
          <w:lang w:val="pt-BR"/>
        </w:rPr>
        <w:t>Fonte: elaborada pelo autor</w:t>
      </w:r>
    </w:p>
    <w:p w14:paraId="4CF46E29"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t>4. GUIA PARA FORTALECIMENTO DOS EMPREENDIMENTOS ECONÔMICOS SOLIDÁRIOS EM COMUNIDADES TRADICIONAIS</w:t>
      </w:r>
    </w:p>
    <w:p w14:paraId="5832FEC6"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p>
    <w:p w14:paraId="3764DC1B"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A proposta de um guia de fortalecimento e sobrevivência dos Empreendimentos de Economia Solidária está relacionada com perspectivas de aproximação das partes interessadas no acompanhamento, incentivo e participação ativa. Muitas vezes não há essa aproximação porque esses </w:t>
      </w:r>
      <w:r w:rsidRPr="00306706">
        <w:rPr>
          <w:rFonts w:eastAsia="Times New Roman" w:cs="Arial"/>
          <w:i/>
          <w:iCs/>
          <w:color w:val="212529"/>
          <w:szCs w:val="24"/>
          <w:lang w:val="pt-BR"/>
        </w:rPr>
        <w:lastRenderedPageBreak/>
        <w:t xml:space="preserve">stakeholders </w:t>
      </w:r>
      <w:r w:rsidRPr="00306706">
        <w:rPr>
          <w:rFonts w:eastAsia="Times New Roman" w:cs="Arial"/>
          <w:color w:val="212529"/>
          <w:szCs w:val="24"/>
          <w:lang w:val="pt-BR"/>
        </w:rPr>
        <w:t>não conseguem visualizar a possibilidade de mensuração de resultados por partes dessas organizações solidárias. Aqui reside um ponto importante do guia. É necessário criar indicadores de avaliação a fim de medir os impactos e resultados alcançados pelos Empreendimentos Econômicos Solidários. Esses indicadores podem proporcionar um maior conforto para estas partes interessadas investir seus recursos.</w:t>
      </w:r>
    </w:p>
    <w:p w14:paraId="335CBA0C"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 Esta necessidade foi prevista por Morais e </w:t>
      </w:r>
      <w:proofErr w:type="spellStart"/>
      <w:r w:rsidRPr="00306706">
        <w:rPr>
          <w:rFonts w:eastAsia="Times New Roman" w:cs="Arial"/>
          <w:color w:val="212529"/>
          <w:szCs w:val="24"/>
          <w:lang w:val="pt-BR"/>
        </w:rPr>
        <w:t>Bacic</w:t>
      </w:r>
      <w:proofErr w:type="spellEnd"/>
      <w:r w:rsidRPr="00306706">
        <w:rPr>
          <w:rFonts w:eastAsia="Times New Roman" w:cs="Arial"/>
          <w:color w:val="212529"/>
          <w:szCs w:val="24"/>
          <w:lang w:val="pt-BR"/>
        </w:rPr>
        <w:t xml:space="preserve"> (2020), que acreditam na importância de incluir na estrutura destes </w:t>
      </w:r>
      <w:proofErr w:type="spellStart"/>
      <w:r w:rsidRPr="00306706">
        <w:rPr>
          <w:rFonts w:eastAsia="Times New Roman" w:cs="Arial"/>
          <w:color w:val="212529"/>
          <w:szCs w:val="24"/>
          <w:lang w:val="pt-BR"/>
        </w:rPr>
        <w:t>empreendimentos</w:t>
      </w:r>
      <w:proofErr w:type="spellEnd"/>
      <w:r w:rsidRPr="00306706">
        <w:rPr>
          <w:rFonts w:eastAsia="Times New Roman" w:cs="Arial"/>
          <w:color w:val="212529"/>
          <w:szCs w:val="24"/>
          <w:lang w:val="pt-BR"/>
        </w:rPr>
        <w:t xml:space="preserve"> a capacidade de criar indicadores para a avaliação e monitorização dos resultados. Para eles, configura tarefa árdua e complexa, mas de extrema relevância para avaliar as políticas relacionadas a Economia Social e Solidária, bem como seus impactos nos respectivos territórios de atuação.</w:t>
      </w:r>
    </w:p>
    <w:p w14:paraId="075A27B8"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Acredita-se assim como Guzmán et al. (2025), que o Balanço Social pode ser um instrumento que constitui um exemplo de boas práticas, uma vez que surge no seio do contexto da Economia Social e Solidária e é construído pelos próprios atores de acordo com os seus próprios valores. Além deste, vê-se a necessidade de criar outros indicadores como quantidade de pessoas atendidas, volume de renda gerada, percentual de recursos arrecadas, etc.</w:t>
      </w:r>
    </w:p>
    <w:p w14:paraId="28B26AA7"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Outro fator essencial está relacionado a unidade, isto é, a necessidade de uma união das partes interessadas, pois não se faz economia solidária forte sem a participação ativa de todos os </w:t>
      </w:r>
      <w:r w:rsidRPr="00306706">
        <w:rPr>
          <w:rFonts w:eastAsia="Times New Roman" w:cs="Arial"/>
          <w:i/>
          <w:iCs/>
          <w:color w:val="212529"/>
          <w:szCs w:val="24"/>
          <w:lang w:val="pt-BR"/>
        </w:rPr>
        <w:t>stakeholders</w:t>
      </w:r>
      <w:r w:rsidRPr="00306706">
        <w:rPr>
          <w:rFonts w:eastAsia="Times New Roman" w:cs="Arial"/>
          <w:color w:val="212529"/>
          <w:szCs w:val="24"/>
          <w:lang w:val="pt-BR"/>
        </w:rPr>
        <w:t xml:space="preserve">. Cada parte tem sua importância específica na formação e fortalecimento dos Empreendimentos de Economia Solidária e contribuição de cada um, por menor que seja, deve ser valorizada. </w:t>
      </w:r>
    </w:p>
    <w:p w14:paraId="5FB253F8"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Nesse sentido, acredita-se assim como Silva et al. (2024), que as organizações do setor de economia solidária precisam construir redes, processos de treinamento, consultoria, alianças e estratégias adequadas para absorver o conhecimento transferido, porque o conhecimento por si só não melhora significativamente o desempenho social. Isso sim, configura um ecossistema de Economia Social e Solidária.</w:t>
      </w:r>
    </w:p>
    <w:p w14:paraId="574C3FFD"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Não há que se falar de apoio no desenvolvimento de projetos de captação de recursos se não há instituições educacionais para submeter projetos e orientar, capacitar e incentivar a escrita desses projetos. Não há que se falar também de projetos de economia solidária se não há entidades privadas e poder público dispostos da incentivar e financiar desenvolvimento desse ambiente. Não podemos esquecer também os agentes de desenvolvimento de economia solidária, isto é, pessoas dispostas a ajudar no fortalecimento e desenvolvimento da economia solidária, muitas das vezes sem qualquer contrapartida de recurso financeiro.</w:t>
      </w:r>
    </w:p>
    <w:p w14:paraId="233FA028"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Como se pode depreender, as relações formadas a partir da união com os </w:t>
      </w:r>
      <w:r w:rsidRPr="00306706">
        <w:rPr>
          <w:rFonts w:eastAsia="Times New Roman" w:cs="Arial"/>
          <w:i/>
          <w:iCs/>
          <w:color w:val="212529"/>
          <w:szCs w:val="24"/>
          <w:lang w:val="pt-BR"/>
        </w:rPr>
        <w:t>stakeholders</w:t>
      </w:r>
      <w:r w:rsidRPr="00306706">
        <w:rPr>
          <w:rFonts w:eastAsia="Times New Roman" w:cs="Arial"/>
          <w:color w:val="212529"/>
          <w:szCs w:val="24"/>
          <w:lang w:val="pt-BR"/>
        </w:rPr>
        <w:t>, gera uma consequência que afeta diretamente no desenvolvimento interno desses empreendimentos. Está-se falando de processos de capacitações e treinamento. Nesse sentido, as universidades desempenham importante papel de transferência de conhecimento e muitas vezes transferências de tecnologia.</w:t>
      </w:r>
    </w:p>
    <w:p w14:paraId="5AEFF0CD"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lastRenderedPageBreak/>
        <w:t xml:space="preserve">Segundo Silva et al. (2024), para que as organizações solidárias ganhem força em processos conhecimento devem primar por adequadas capacidades e estratégias de absorção de conhecimento além do desenvolvimento de estratégias de aprendizagem organizacional. Assim essas organizações podem melhorar seu desempenho social e garantir a sustentabilidade num horizonte maior complementa (Silva et al., 2024). </w:t>
      </w:r>
    </w:p>
    <w:p w14:paraId="41F5D33F"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Um destes processos que contribuem para esse apoio das universidades são as incubadoras. Muitas instituições de ensino superior estão enveredando para a criação e desenvolvimento delas.  Segundo </w:t>
      </w:r>
      <w:proofErr w:type="spellStart"/>
      <w:r w:rsidRPr="00306706">
        <w:rPr>
          <w:rFonts w:eastAsia="Times New Roman" w:cs="Arial"/>
          <w:color w:val="212529"/>
          <w:szCs w:val="24"/>
          <w:lang w:val="pt-BR"/>
        </w:rPr>
        <w:t>Joshi</w:t>
      </w:r>
      <w:proofErr w:type="spellEnd"/>
      <w:r w:rsidRPr="00306706">
        <w:rPr>
          <w:rFonts w:eastAsia="Times New Roman" w:cs="Arial"/>
          <w:color w:val="212529"/>
          <w:szCs w:val="24"/>
          <w:lang w:val="pt-BR"/>
        </w:rPr>
        <w:t xml:space="preserve"> et al. (2023) as incubadoras e aceleradoras baseadas em universidades transformam efetivamente os recursos universitários em capacidades empreendedoras especializadas, que são essenciais para promover resultados empreendedores bem-sucedidos no contexto acadêmico. </w:t>
      </w:r>
    </w:p>
    <w:p w14:paraId="0EB5EB83"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Para De Paiva et al. (2021), a incubação na economia solidária não apenas estimula mudanças em ações praticadas pelos sujeitos envolvidos como também aumentam a sustentabilidade das empresas incubadas e da própria incubadora, destacando a natureza complexa do processo de incubação, apesar das limitações encontradas. As incubadoras de economia solidária representam uma possibilidade concreta de articulação de demandas dos EES de desenvolvimento e disseminação de conhecimentos e tecnologias sociais (da Silva, 2011).</w:t>
      </w:r>
    </w:p>
    <w:p w14:paraId="7418A8F9"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Outro papel importante das Instituições de Educação diz respeito a capacitação das pessoas desses empreendimentos econômico solidários. Segundo </w:t>
      </w:r>
      <w:proofErr w:type="spellStart"/>
      <w:r w:rsidRPr="00306706">
        <w:rPr>
          <w:rFonts w:eastAsia="Times New Roman" w:cs="Arial"/>
          <w:color w:val="212529"/>
          <w:szCs w:val="24"/>
          <w:lang w:val="pt-BR"/>
        </w:rPr>
        <w:t>Bayter</w:t>
      </w:r>
      <w:proofErr w:type="spellEnd"/>
      <w:r w:rsidRPr="00306706">
        <w:rPr>
          <w:rFonts w:eastAsia="Times New Roman" w:cs="Arial"/>
          <w:color w:val="212529"/>
          <w:szCs w:val="24"/>
          <w:lang w:val="pt-BR"/>
        </w:rPr>
        <w:t xml:space="preserve"> (2008) um capital humano bem formado e fortalecido pode impulsionar a competitividade regional e nacional, servindo como base para altos níveis de produtividade e criando novas oportunidades e desafios nos processos sociais que visam promover o desenvolvimento comunitário sustentável.</w:t>
      </w:r>
    </w:p>
    <w:p w14:paraId="711754FC"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Identificou-se que o principal desafio dos empreendimentos econômico solidários, especificamente das cooperativas, é encontrar pessoas interessadas em trabalhar nesses empreendimentos (de Souza et al., 2020).  Há uma preocupação com a falta de qualificação dessas pessoas que podem gerar problemas na governança, pois segundo </w:t>
      </w:r>
      <w:proofErr w:type="spellStart"/>
      <w:r w:rsidRPr="00306706">
        <w:rPr>
          <w:rFonts w:eastAsia="Times New Roman" w:cs="Arial"/>
          <w:color w:val="212529"/>
          <w:szCs w:val="24"/>
          <w:lang w:val="pt-BR"/>
        </w:rPr>
        <w:t>Marconatto</w:t>
      </w:r>
      <w:proofErr w:type="spellEnd"/>
      <w:r w:rsidRPr="00306706">
        <w:rPr>
          <w:rFonts w:eastAsia="Times New Roman" w:cs="Arial"/>
          <w:color w:val="212529"/>
          <w:szCs w:val="24"/>
          <w:lang w:val="pt-BR"/>
        </w:rPr>
        <w:t xml:space="preserve"> et al. (2020) a existência de políticas de seleção de membros também pode ser crítica para a operação e o desempenho desses empreendimentos. Tanto a falta de critérios quanto a existência de critérios muito rígidos podem apresentar problemas para a governança dessas organizações. </w:t>
      </w:r>
    </w:p>
    <w:p w14:paraId="2724438E" w14:textId="1D743D5D" w:rsidR="00306706" w:rsidRDefault="00306706" w:rsidP="00070D2C">
      <w:pPr>
        <w:shd w:val="clear" w:color="auto" w:fill="FFFFFF"/>
        <w:spacing w:after="240" w:line="240" w:lineRule="auto"/>
        <w:ind w:firstLine="708"/>
        <w:jc w:val="both"/>
        <w:rPr>
          <w:rFonts w:eastAsia="Times New Roman" w:cs="Arial"/>
          <w:color w:val="212529"/>
          <w:szCs w:val="24"/>
          <w:lang w:val="pt-BR"/>
        </w:rPr>
      </w:pPr>
    </w:p>
    <w:p w14:paraId="0F62DC13" w14:textId="5EA17CB9" w:rsidR="00070D2C" w:rsidRDefault="00070D2C" w:rsidP="00070D2C">
      <w:pPr>
        <w:shd w:val="clear" w:color="auto" w:fill="FFFFFF"/>
        <w:spacing w:after="240" w:line="240" w:lineRule="auto"/>
        <w:ind w:firstLine="708"/>
        <w:jc w:val="both"/>
        <w:rPr>
          <w:rFonts w:eastAsia="Times New Roman" w:cs="Arial"/>
          <w:color w:val="212529"/>
          <w:szCs w:val="24"/>
          <w:lang w:val="pt-BR"/>
        </w:rPr>
      </w:pPr>
    </w:p>
    <w:p w14:paraId="743AAB68" w14:textId="09CEABB2" w:rsidR="00070D2C" w:rsidRDefault="00070D2C" w:rsidP="00070D2C">
      <w:pPr>
        <w:shd w:val="clear" w:color="auto" w:fill="FFFFFF"/>
        <w:spacing w:after="240" w:line="240" w:lineRule="auto"/>
        <w:ind w:firstLine="708"/>
        <w:jc w:val="both"/>
        <w:rPr>
          <w:rFonts w:eastAsia="Times New Roman" w:cs="Arial"/>
          <w:color w:val="212529"/>
          <w:szCs w:val="24"/>
          <w:lang w:val="pt-BR"/>
        </w:rPr>
      </w:pPr>
    </w:p>
    <w:p w14:paraId="589D8954" w14:textId="2EAA482A" w:rsidR="00070D2C" w:rsidRDefault="00070D2C" w:rsidP="00070D2C">
      <w:pPr>
        <w:shd w:val="clear" w:color="auto" w:fill="FFFFFF"/>
        <w:spacing w:after="240" w:line="240" w:lineRule="auto"/>
        <w:ind w:firstLine="708"/>
        <w:jc w:val="both"/>
        <w:rPr>
          <w:rFonts w:eastAsia="Times New Roman" w:cs="Arial"/>
          <w:color w:val="212529"/>
          <w:szCs w:val="24"/>
          <w:lang w:val="pt-BR"/>
        </w:rPr>
      </w:pPr>
    </w:p>
    <w:p w14:paraId="559F3545" w14:textId="77777777" w:rsidR="00070D2C" w:rsidRPr="00306706" w:rsidRDefault="00070D2C" w:rsidP="00070D2C">
      <w:pPr>
        <w:shd w:val="clear" w:color="auto" w:fill="FFFFFF"/>
        <w:spacing w:after="240" w:line="240" w:lineRule="auto"/>
        <w:ind w:firstLine="708"/>
        <w:jc w:val="both"/>
        <w:rPr>
          <w:rFonts w:eastAsia="Times New Roman" w:cs="Arial"/>
          <w:color w:val="212529"/>
          <w:szCs w:val="24"/>
          <w:lang w:val="pt-BR"/>
        </w:rPr>
      </w:pPr>
    </w:p>
    <w:p w14:paraId="354069BD" w14:textId="77777777" w:rsidR="00306706" w:rsidRPr="00306706" w:rsidRDefault="00306706" w:rsidP="00070D2C">
      <w:pPr>
        <w:shd w:val="clear" w:color="auto" w:fill="FFFFFF"/>
        <w:spacing w:after="0" w:afterAutospacing="1" w:line="240" w:lineRule="auto"/>
        <w:jc w:val="both"/>
        <w:rPr>
          <w:rFonts w:eastAsia="Times New Roman" w:cs="Arial"/>
          <w:color w:val="212529"/>
          <w:sz w:val="20"/>
          <w:szCs w:val="20"/>
        </w:rPr>
      </w:pPr>
      <w:proofErr w:type="spellStart"/>
      <w:r w:rsidRPr="00306706">
        <w:rPr>
          <w:rFonts w:eastAsia="Times New Roman" w:cs="Arial"/>
          <w:color w:val="212529"/>
          <w:sz w:val="20"/>
          <w:szCs w:val="20"/>
        </w:rPr>
        <w:lastRenderedPageBreak/>
        <w:t>Tabela</w:t>
      </w:r>
      <w:proofErr w:type="spellEnd"/>
      <w:r w:rsidRPr="00306706">
        <w:rPr>
          <w:rFonts w:eastAsia="Times New Roman" w:cs="Arial"/>
          <w:color w:val="212529"/>
          <w:sz w:val="20"/>
          <w:szCs w:val="20"/>
        </w:rPr>
        <w:t xml:space="preserve"> 1: Plano de </w:t>
      </w:r>
      <w:proofErr w:type="spellStart"/>
      <w:r w:rsidRPr="00306706">
        <w:rPr>
          <w:rFonts w:eastAsia="Times New Roman" w:cs="Arial"/>
          <w:color w:val="212529"/>
          <w:sz w:val="20"/>
          <w:szCs w:val="20"/>
        </w:rPr>
        <w:t>Ação</w:t>
      </w:r>
      <w:proofErr w:type="spellEnd"/>
    </w:p>
    <w:tbl>
      <w:tblPr>
        <w:tblW w:w="9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3075"/>
        <w:gridCol w:w="6060"/>
      </w:tblGrid>
      <w:tr w:rsidR="00306706" w:rsidRPr="00306706" w14:paraId="15EE55FE" w14:textId="77777777" w:rsidTr="00670703">
        <w:trPr>
          <w:trHeight w:val="309"/>
        </w:trPr>
        <w:tc>
          <w:tcPr>
            <w:tcW w:w="3075" w:type="dxa"/>
            <w:shd w:val="clear" w:color="auto" w:fill="auto"/>
          </w:tcPr>
          <w:p w14:paraId="0325589F" w14:textId="77777777" w:rsidR="00306706" w:rsidRPr="00306706" w:rsidRDefault="00306706" w:rsidP="00070D2C">
            <w:pPr>
              <w:spacing w:line="240" w:lineRule="auto"/>
              <w:jc w:val="center"/>
              <w:rPr>
                <w:rFonts w:eastAsia="Times New Roman" w:cs="Arial"/>
                <w:b/>
                <w:bCs/>
                <w:color w:val="212529"/>
                <w:sz w:val="20"/>
                <w:szCs w:val="20"/>
              </w:rPr>
            </w:pPr>
            <w:r w:rsidRPr="00306706">
              <w:rPr>
                <w:rFonts w:eastAsia="Times New Roman" w:cs="Arial"/>
                <w:b/>
                <w:bCs/>
                <w:color w:val="212529"/>
                <w:sz w:val="20"/>
                <w:szCs w:val="20"/>
              </w:rPr>
              <w:t>PROBLEMAS</w:t>
            </w:r>
          </w:p>
        </w:tc>
        <w:tc>
          <w:tcPr>
            <w:tcW w:w="6060" w:type="dxa"/>
            <w:shd w:val="clear" w:color="auto" w:fill="auto"/>
          </w:tcPr>
          <w:p w14:paraId="4AC580E3" w14:textId="77777777" w:rsidR="00306706" w:rsidRPr="00306706" w:rsidRDefault="00306706" w:rsidP="00070D2C">
            <w:pPr>
              <w:spacing w:line="240" w:lineRule="auto"/>
              <w:jc w:val="center"/>
              <w:rPr>
                <w:rFonts w:eastAsia="Times New Roman" w:cs="Arial"/>
                <w:b/>
                <w:bCs/>
                <w:color w:val="212529"/>
                <w:sz w:val="20"/>
                <w:szCs w:val="20"/>
              </w:rPr>
            </w:pPr>
            <w:r w:rsidRPr="00306706">
              <w:rPr>
                <w:rFonts w:eastAsia="Times New Roman" w:cs="Arial"/>
                <w:b/>
                <w:bCs/>
                <w:color w:val="212529"/>
                <w:sz w:val="20"/>
                <w:szCs w:val="20"/>
              </w:rPr>
              <w:t>SOLUÇÃO</w:t>
            </w:r>
          </w:p>
        </w:tc>
      </w:tr>
      <w:tr w:rsidR="00306706" w:rsidRPr="00306706" w14:paraId="456A5A8A" w14:textId="77777777" w:rsidTr="00670703">
        <w:trPr>
          <w:trHeight w:val="309"/>
        </w:trPr>
        <w:tc>
          <w:tcPr>
            <w:tcW w:w="3075" w:type="dxa"/>
            <w:shd w:val="clear" w:color="auto" w:fill="auto"/>
          </w:tcPr>
          <w:p w14:paraId="7365AD5D" w14:textId="77777777" w:rsidR="00306706" w:rsidRPr="00306706" w:rsidRDefault="00306706" w:rsidP="00070D2C">
            <w:pPr>
              <w:spacing w:after="0" w:line="240" w:lineRule="auto"/>
              <w:rPr>
                <w:rFonts w:eastAsia="Times New Roman" w:cs="Arial"/>
                <w:color w:val="212529"/>
                <w:sz w:val="20"/>
                <w:szCs w:val="20"/>
              </w:rPr>
            </w:pPr>
            <w:proofErr w:type="spellStart"/>
            <w:r w:rsidRPr="00306706">
              <w:rPr>
                <w:rFonts w:eastAsia="Times New Roman" w:cs="Arial"/>
                <w:color w:val="212529"/>
                <w:sz w:val="20"/>
                <w:szCs w:val="20"/>
              </w:rPr>
              <w:t>Capacitação</w:t>
            </w:r>
            <w:proofErr w:type="spellEnd"/>
          </w:p>
          <w:p w14:paraId="1EB8BC8D" w14:textId="77777777" w:rsidR="00306706" w:rsidRPr="00306706" w:rsidRDefault="00306706" w:rsidP="00070D2C">
            <w:pPr>
              <w:spacing w:line="240" w:lineRule="auto"/>
              <w:jc w:val="both"/>
              <w:rPr>
                <w:rFonts w:eastAsia="Times New Roman" w:cs="Arial"/>
                <w:color w:val="212529"/>
                <w:sz w:val="20"/>
                <w:szCs w:val="20"/>
              </w:rPr>
            </w:pPr>
          </w:p>
        </w:tc>
        <w:tc>
          <w:tcPr>
            <w:tcW w:w="6060" w:type="dxa"/>
            <w:shd w:val="clear" w:color="auto" w:fill="auto"/>
          </w:tcPr>
          <w:p w14:paraId="30263920"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 xml:space="preserve">Atuação das universidades em processos de capacitação e treinamento. </w:t>
            </w:r>
          </w:p>
        </w:tc>
      </w:tr>
      <w:tr w:rsidR="00306706" w:rsidRPr="00306706" w14:paraId="4F8EE238" w14:textId="77777777" w:rsidTr="00670703">
        <w:trPr>
          <w:trHeight w:val="309"/>
        </w:trPr>
        <w:tc>
          <w:tcPr>
            <w:tcW w:w="3075" w:type="dxa"/>
            <w:shd w:val="clear" w:color="auto" w:fill="auto"/>
          </w:tcPr>
          <w:p w14:paraId="1C2038C7" w14:textId="77777777" w:rsidR="00306706" w:rsidRPr="00306706" w:rsidRDefault="00306706" w:rsidP="00070D2C">
            <w:pPr>
              <w:spacing w:after="0" w:line="240" w:lineRule="auto"/>
              <w:jc w:val="both"/>
              <w:rPr>
                <w:rFonts w:eastAsia="Times New Roman" w:cs="Arial"/>
                <w:color w:val="212529"/>
                <w:sz w:val="20"/>
                <w:szCs w:val="20"/>
              </w:rPr>
            </w:pPr>
            <w:proofErr w:type="spellStart"/>
            <w:r w:rsidRPr="00306706">
              <w:rPr>
                <w:rFonts w:eastAsia="Times New Roman" w:cs="Arial"/>
                <w:color w:val="212529"/>
                <w:sz w:val="20"/>
                <w:szCs w:val="20"/>
              </w:rPr>
              <w:t>Precificação</w:t>
            </w:r>
            <w:proofErr w:type="spellEnd"/>
          </w:p>
          <w:p w14:paraId="1B2ED933" w14:textId="77777777" w:rsidR="00306706" w:rsidRPr="00306706" w:rsidRDefault="00306706" w:rsidP="00070D2C">
            <w:pPr>
              <w:spacing w:line="240" w:lineRule="auto"/>
              <w:jc w:val="both"/>
              <w:rPr>
                <w:rFonts w:eastAsia="Times New Roman" w:cs="Arial"/>
                <w:color w:val="212529"/>
                <w:sz w:val="20"/>
                <w:szCs w:val="20"/>
              </w:rPr>
            </w:pPr>
          </w:p>
        </w:tc>
        <w:tc>
          <w:tcPr>
            <w:tcW w:w="6060" w:type="dxa"/>
            <w:shd w:val="clear" w:color="auto" w:fill="auto"/>
          </w:tcPr>
          <w:p w14:paraId="6F4F4820"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Atuação das universidades em processos de capacitação e treinamento.</w:t>
            </w:r>
          </w:p>
        </w:tc>
      </w:tr>
      <w:tr w:rsidR="00306706" w:rsidRPr="00306706" w14:paraId="46FDF710" w14:textId="77777777" w:rsidTr="00670703">
        <w:trPr>
          <w:trHeight w:val="309"/>
        </w:trPr>
        <w:tc>
          <w:tcPr>
            <w:tcW w:w="3075" w:type="dxa"/>
            <w:shd w:val="clear" w:color="auto" w:fill="auto"/>
          </w:tcPr>
          <w:p w14:paraId="37895C14" w14:textId="77777777" w:rsidR="00306706" w:rsidRPr="00306706" w:rsidRDefault="00306706" w:rsidP="00070D2C">
            <w:pPr>
              <w:spacing w:after="0" w:line="240" w:lineRule="auto"/>
              <w:jc w:val="both"/>
              <w:rPr>
                <w:rFonts w:eastAsia="Times New Roman" w:cs="Arial"/>
                <w:color w:val="212529"/>
                <w:sz w:val="20"/>
                <w:szCs w:val="20"/>
              </w:rPr>
            </w:pPr>
            <w:proofErr w:type="spellStart"/>
            <w:r w:rsidRPr="00306706">
              <w:rPr>
                <w:rFonts w:eastAsia="Times New Roman" w:cs="Arial"/>
                <w:color w:val="212529"/>
                <w:sz w:val="20"/>
                <w:szCs w:val="20"/>
              </w:rPr>
              <w:t>Constituição</w:t>
            </w:r>
            <w:proofErr w:type="spellEnd"/>
            <w:r w:rsidRPr="00306706">
              <w:rPr>
                <w:rFonts w:eastAsia="Times New Roman" w:cs="Arial"/>
                <w:color w:val="212529"/>
                <w:sz w:val="20"/>
                <w:szCs w:val="20"/>
              </w:rPr>
              <w:t xml:space="preserve"> </w:t>
            </w:r>
            <w:proofErr w:type="spellStart"/>
            <w:r w:rsidRPr="00306706">
              <w:rPr>
                <w:rFonts w:eastAsia="Times New Roman" w:cs="Arial"/>
                <w:color w:val="212529"/>
                <w:sz w:val="20"/>
                <w:szCs w:val="20"/>
              </w:rPr>
              <w:t>em</w:t>
            </w:r>
            <w:proofErr w:type="spellEnd"/>
            <w:r w:rsidRPr="00306706">
              <w:rPr>
                <w:rFonts w:eastAsia="Times New Roman" w:cs="Arial"/>
                <w:color w:val="212529"/>
                <w:sz w:val="20"/>
                <w:szCs w:val="20"/>
              </w:rPr>
              <w:t xml:space="preserve"> </w:t>
            </w:r>
            <w:proofErr w:type="spellStart"/>
            <w:r w:rsidRPr="00306706">
              <w:rPr>
                <w:rFonts w:eastAsia="Times New Roman" w:cs="Arial"/>
                <w:color w:val="212529"/>
                <w:sz w:val="20"/>
                <w:szCs w:val="20"/>
              </w:rPr>
              <w:t>Empreendimento</w:t>
            </w:r>
            <w:proofErr w:type="spellEnd"/>
          </w:p>
          <w:p w14:paraId="2B9E4E06" w14:textId="77777777" w:rsidR="00306706" w:rsidRPr="00306706" w:rsidRDefault="00306706" w:rsidP="00070D2C">
            <w:pPr>
              <w:spacing w:line="240" w:lineRule="auto"/>
              <w:jc w:val="both"/>
              <w:rPr>
                <w:rFonts w:eastAsia="Times New Roman" w:cs="Arial"/>
                <w:color w:val="212529"/>
                <w:sz w:val="20"/>
                <w:szCs w:val="20"/>
              </w:rPr>
            </w:pPr>
          </w:p>
        </w:tc>
        <w:tc>
          <w:tcPr>
            <w:tcW w:w="6060" w:type="dxa"/>
            <w:shd w:val="clear" w:color="auto" w:fill="auto"/>
          </w:tcPr>
          <w:p w14:paraId="7323FF16"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Atuação das universidades de forma solidária na contribuição para formalização de associações e cooperativas.</w:t>
            </w:r>
          </w:p>
        </w:tc>
      </w:tr>
      <w:tr w:rsidR="00306706" w:rsidRPr="00306706" w14:paraId="281A0A44" w14:textId="77777777" w:rsidTr="00670703">
        <w:trPr>
          <w:trHeight w:val="309"/>
        </w:trPr>
        <w:tc>
          <w:tcPr>
            <w:tcW w:w="3075" w:type="dxa"/>
            <w:shd w:val="clear" w:color="auto" w:fill="auto"/>
          </w:tcPr>
          <w:p w14:paraId="17FBF542" w14:textId="77777777" w:rsidR="00306706" w:rsidRPr="00306706" w:rsidRDefault="00306706" w:rsidP="00070D2C">
            <w:pPr>
              <w:spacing w:after="0" w:line="240" w:lineRule="auto"/>
              <w:jc w:val="both"/>
              <w:rPr>
                <w:rFonts w:eastAsia="Times New Roman" w:cs="Arial"/>
                <w:color w:val="212529"/>
                <w:sz w:val="20"/>
                <w:szCs w:val="20"/>
              </w:rPr>
            </w:pPr>
            <w:proofErr w:type="spellStart"/>
            <w:r w:rsidRPr="00306706">
              <w:rPr>
                <w:rFonts w:eastAsia="Times New Roman" w:cs="Arial"/>
                <w:color w:val="212529"/>
                <w:sz w:val="20"/>
                <w:szCs w:val="20"/>
              </w:rPr>
              <w:t>Buscar</w:t>
            </w:r>
            <w:proofErr w:type="spellEnd"/>
            <w:r w:rsidRPr="00306706">
              <w:rPr>
                <w:rFonts w:eastAsia="Times New Roman" w:cs="Arial"/>
                <w:color w:val="212529"/>
                <w:sz w:val="20"/>
                <w:szCs w:val="20"/>
              </w:rPr>
              <w:t xml:space="preserve"> </w:t>
            </w:r>
            <w:proofErr w:type="spellStart"/>
            <w:r w:rsidRPr="00306706">
              <w:rPr>
                <w:rFonts w:eastAsia="Times New Roman" w:cs="Arial"/>
                <w:color w:val="212529"/>
                <w:sz w:val="20"/>
                <w:szCs w:val="20"/>
              </w:rPr>
              <w:t>Políticas</w:t>
            </w:r>
            <w:proofErr w:type="spellEnd"/>
            <w:r w:rsidRPr="00306706">
              <w:rPr>
                <w:rFonts w:eastAsia="Times New Roman" w:cs="Arial"/>
                <w:color w:val="212529"/>
                <w:sz w:val="20"/>
                <w:szCs w:val="20"/>
              </w:rPr>
              <w:t xml:space="preserve"> </w:t>
            </w:r>
            <w:proofErr w:type="spellStart"/>
            <w:r w:rsidRPr="00306706">
              <w:rPr>
                <w:rFonts w:eastAsia="Times New Roman" w:cs="Arial"/>
                <w:color w:val="212529"/>
                <w:sz w:val="20"/>
                <w:szCs w:val="20"/>
              </w:rPr>
              <w:t>Públicas</w:t>
            </w:r>
            <w:proofErr w:type="spellEnd"/>
          </w:p>
          <w:p w14:paraId="37FCB3A7" w14:textId="77777777" w:rsidR="00306706" w:rsidRPr="00306706" w:rsidRDefault="00306706" w:rsidP="00070D2C">
            <w:pPr>
              <w:spacing w:line="240" w:lineRule="auto"/>
              <w:jc w:val="both"/>
              <w:rPr>
                <w:rFonts w:eastAsia="Times New Roman" w:cs="Arial"/>
                <w:color w:val="212529"/>
                <w:sz w:val="20"/>
                <w:szCs w:val="20"/>
              </w:rPr>
            </w:pPr>
          </w:p>
        </w:tc>
        <w:tc>
          <w:tcPr>
            <w:tcW w:w="6060" w:type="dxa"/>
            <w:shd w:val="clear" w:color="auto" w:fill="auto"/>
          </w:tcPr>
          <w:p w14:paraId="7484DCDD"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 xml:space="preserve">Atuação junto a </w:t>
            </w:r>
            <w:r w:rsidRPr="00306706">
              <w:rPr>
                <w:rFonts w:eastAsia="Times New Roman" w:cs="Arial"/>
                <w:i/>
                <w:iCs/>
                <w:color w:val="212529"/>
                <w:sz w:val="20"/>
                <w:szCs w:val="20"/>
                <w:lang w:val="pt-BR"/>
              </w:rPr>
              <w:t>stakeholders</w:t>
            </w:r>
            <w:r w:rsidRPr="00306706">
              <w:rPr>
                <w:rFonts w:eastAsia="Times New Roman" w:cs="Arial"/>
                <w:color w:val="212529"/>
                <w:sz w:val="20"/>
                <w:szCs w:val="20"/>
                <w:lang w:val="pt-BR"/>
              </w:rPr>
              <w:t xml:space="preserve"> visando apoio na disponibilização de editais de fomento; orientação e acompanhamento das universidades na submissão de editais de fomento; desenvolvimento de políticas públicas voltada para comunidades indígenas que podem fortalecer a economia solidária (projetos de extensão). </w:t>
            </w:r>
          </w:p>
        </w:tc>
      </w:tr>
      <w:tr w:rsidR="00306706" w:rsidRPr="00306706" w14:paraId="0A0CA3A5" w14:textId="77777777" w:rsidTr="00670703">
        <w:trPr>
          <w:trHeight w:val="309"/>
        </w:trPr>
        <w:tc>
          <w:tcPr>
            <w:tcW w:w="3075" w:type="dxa"/>
            <w:shd w:val="clear" w:color="auto" w:fill="auto"/>
          </w:tcPr>
          <w:p w14:paraId="0A088F79" w14:textId="77777777" w:rsidR="00306706" w:rsidRPr="00306706" w:rsidRDefault="00306706" w:rsidP="00070D2C">
            <w:pPr>
              <w:spacing w:after="0" w:line="240" w:lineRule="auto"/>
              <w:jc w:val="both"/>
              <w:rPr>
                <w:rFonts w:eastAsia="Times New Roman" w:cs="Arial"/>
                <w:color w:val="212529"/>
                <w:sz w:val="20"/>
                <w:szCs w:val="20"/>
              </w:rPr>
            </w:pPr>
            <w:proofErr w:type="spellStart"/>
            <w:r w:rsidRPr="00306706">
              <w:rPr>
                <w:rFonts w:eastAsia="Times New Roman" w:cs="Arial"/>
                <w:color w:val="212529"/>
                <w:sz w:val="20"/>
                <w:szCs w:val="20"/>
              </w:rPr>
              <w:t>Supervisão</w:t>
            </w:r>
            <w:proofErr w:type="spellEnd"/>
            <w:r w:rsidRPr="00306706">
              <w:rPr>
                <w:rFonts w:eastAsia="Times New Roman" w:cs="Arial"/>
                <w:color w:val="212529"/>
                <w:sz w:val="20"/>
                <w:szCs w:val="20"/>
              </w:rPr>
              <w:t xml:space="preserve"> das </w:t>
            </w:r>
            <w:proofErr w:type="spellStart"/>
            <w:r w:rsidRPr="00306706">
              <w:rPr>
                <w:rFonts w:eastAsia="Times New Roman" w:cs="Arial"/>
                <w:color w:val="212529"/>
                <w:sz w:val="20"/>
                <w:szCs w:val="20"/>
              </w:rPr>
              <w:t>Universidades</w:t>
            </w:r>
            <w:proofErr w:type="spellEnd"/>
          </w:p>
          <w:p w14:paraId="0574D45A" w14:textId="77777777" w:rsidR="00306706" w:rsidRPr="00306706" w:rsidRDefault="00306706" w:rsidP="00070D2C">
            <w:pPr>
              <w:spacing w:line="240" w:lineRule="auto"/>
              <w:jc w:val="both"/>
              <w:rPr>
                <w:rFonts w:eastAsia="Times New Roman" w:cs="Arial"/>
                <w:color w:val="212529"/>
                <w:sz w:val="20"/>
                <w:szCs w:val="20"/>
              </w:rPr>
            </w:pPr>
          </w:p>
        </w:tc>
        <w:tc>
          <w:tcPr>
            <w:tcW w:w="6060" w:type="dxa"/>
            <w:shd w:val="clear" w:color="auto" w:fill="auto"/>
          </w:tcPr>
          <w:p w14:paraId="6E03276E"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 xml:space="preserve">Após capacitação, constituição em cooperativas ou associações e, caso possível, contemplação em editais de fomento, faz-se o acompanhamento juntamente com os empreendimentos visando a correta aplicação dos recursos e prestação de contas. </w:t>
            </w:r>
          </w:p>
        </w:tc>
      </w:tr>
      <w:tr w:rsidR="00306706" w:rsidRPr="00306706" w14:paraId="1EA323A5" w14:textId="77777777" w:rsidTr="00670703">
        <w:trPr>
          <w:trHeight w:val="309"/>
        </w:trPr>
        <w:tc>
          <w:tcPr>
            <w:tcW w:w="3075" w:type="dxa"/>
            <w:shd w:val="clear" w:color="auto" w:fill="auto"/>
          </w:tcPr>
          <w:p w14:paraId="21EEAE03" w14:textId="77777777" w:rsidR="00306706" w:rsidRPr="00306706" w:rsidRDefault="00306706" w:rsidP="00070D2C">
            <w:pPr>
              <w:spacing w:after="0" w:line="240" w:lineRule="auto"/>
              <w:jc w:val="both"/>
              <w:rPr>
                <w:rFonts w:eastAsia="Times New Roman" w:cs="Arial"/>
                <w:color w:val="212529"/>
                <w:sz w:val="20"/>
                <w:szCs w:val="20"/>
              </w:rPr>
            </w:pPr>
            <w:proofErr w:type="spellStart"/>
            <w:r w:rsidRPr="00306706">
              <w:rPr>
                <w:rFonts w:eastAsia="Times New Roman" w:cs="Arial"/>
                <w:color w:val="212529"/>
                <w:sz w:val="20"/>
                <w:szCs w:val="20"/>
              </w:rPr>
              <w:t>Participação</w:t>
            </w:r>
            <w:proofErr w:type="spellEnd"/>
            <w:r w:rsidRPr="00306706">
              <w:rPr>
                <w:rFonts w:eastAsia="Times New Roman" w:cs="Arial"/>
                <w:color w:val="212529"/>
                <w:sz w:val="20"/>
                <w:szCs w:val="20"/>
              </w:rPr>
              <w:t xml:space="preserve"> </w:t>
            </w:r>
            <w:proofErr w:type="spellStart"/>
            <w:r w:rsidRPr="00306706">
              <w:rPr>
                <w:rFonts w:eastAsia="Times New Roman" w:cs="Arial"/>
                <w:color w:val="212529"/>
                <w:sz w:val="20"/>
                <w:szCs w:val="20"/>
              </w:rPr>
              <w:t>em</w:t>
            </w:r>
            <w:proofErr w:type="spellEnd"/>
            <w:r w:rsidRPr="00306706">
              <w:rPr>
                <w:rFonts w:eastAsia="Times New Roman" w:cs="Arial"/>
                <w:color w:val="212529"/>
                <w:sz w:val="20"/>
                <w:szCs w:val="20"/>
              </w:rPr>
              <w:t xml:space="preserve"> Redes de </w:t>
            </w:r>
            <w:proofErr w:type="spellStart"/>
            <w:r w:rsidRPr="00306706">
              <w:rPr>
                <w:rFonts w:eastAsia="Times New Roman" w:cs="Arial"/>
                <w:color w:val="212529"/>
                <w:sz w:val="20"/>
                <w:szCs w:val="20"/>
              </w:rPr>
              <w:t>Apoio</w:t>
            </w:r>
            <w:proofErr w:type="spellEnd"/>
          </w:p>
          <w:p w14:paraId="5C965DFD" w14:textId="77777777" w:rsidR="00306706" w:rsidRPr="00306706" w:rsidRDefault="00306706" w:rsidP="00070D2C">
            <w:pPr>
              <w:spacing w:line="240" w:lineRule="auto"/>
              <w:jc w:val="both"/>
              <w:rPr>
                <w:rFonts w:eastAsia="Times New Roman" w:cs="Arial"/>
                <w:color w:val="212529"/>
                <w:sz w:val="20"/>
                <w:szCs w:val="20"/>
              </w:rPr>
            </w:pPr>
          </w:p>
        </w:tc>
        <w:tc>
          <w:tcPr>
            <w:tcW w:w="6060" w:type="dxa"/>
            <w:shd w:val="clear" w:color="auto" w:fill="auto"/>
          </w:tcPr>
          <w:p w14:paraId="0FA095E5"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A participação em redes de apoio contribui para troca de experiências e fortalecimento de empreendimentos em causas semelhantes.</w:t>
            </w:r>
          </w:p>
        </w:tc>
      </w:tr>
      <w:tr w:rsidR="00306706" w:rsidRPr="00306706" w14:paraId="279CE515" w14:textId="77777777" w:rsidTr="00670703">
        <w:trPr>
          <w:trHeight w:val="309"/>
        </w:trPr>
        <w:tc>
          <w:tcPr>
            <w:tcW w:w="3075" w:type="dxa"/>
            <w:shd w:val="clear" w:color="auto" w:fill="auto"/>
          </w:tcPr>
          <w:p w14:paraId="739B4648" w14:textId="77777777" w:rsidR="00306706" w:rsidRPr="00306706" w:rsidRDefault="00306706" w:rsidP="00070D2C">
            <w:pPr>
              <w:spacing w:after="0" w:line="240" w:lineRule="auto"/>
              <w:jc w:val="both"/>
              <w:rPr>
                <w:rFonts w:eastAsia="Times New Roman" w:cs="Arial"/>
                <w:color w:val="212529"/>
                <w:sz w:val="20"/>
                <w:szCs w:val="20"/>
              </w:rPr>
            </w:pPr>
            <w:proofErr w:type="spellStart"/>
            <w:r w:rsidRPr="00306706">
              <w:rPr>
                <w:rFonts w:eastAsia="Times New Roman" w:cs="Arial"/>
                <w:color w:val="212529"/>
                <w:sz w:val="20"/>
                <w:szCs w:val="20"/>
              </w:rPr>
              <w:t>Mensuração</w:t>
            </w:r>
            <w:proofErr w:type="spellEnd"/>
            <w:r w:rsidRPr="00306706">
              <w:rPr>
                <w:rFonts w:eastAsia="Times New Roman" w:cs="Arial"/>
                <w:color w:val="212529"/>
                <w:sz w:val="20"/>
                <w:szCs w:val="20"/>
              </w:rPr>
              <w:t xml:space="preserve"> de </w:t>
            </w:r>
            <w:proofErr w:type="spellStart"/>
            <w:r w:rsidRPr="00306706">
              <w:rPr>
                <w:rFonts w:eastAsia="Times New Roman" w:cs="Arial"/>
                <w:color w:val="212529"/>
                <w:sz w:val="20"/>
                <w:szCs w:val="20"/>
              </w:rPr>
              <w:t>Resultados</w:t>
            </w:r>
            <w:proofErr w:type="spellEnd"/>
          </w:p>
          <w:p w14:paraId="26E43417" w14:textId="77777777" w:rsidR="00306706" w:rsidRPr="00306706" w:rsidRDefault="00306706" w:rsidP="00070D2C">
            <w:pPr>
              <w:spacing w:after="0" w:line="240" w:lineRule="auto"/>
              <w:ind w:left="360"/>
              <w:jc w:val="both"/>
              <w:rPr>
                <w:rFonts w:eastAsia="Times New Roman" w:cs="Arial"/>
                <w:color w:val="212529"/>
                <w:sz w:val="20"/>
                <w:szCs w:val="20"/>
              </w:rPr>
            </w:pPr>
          </w:p>
        </w:tc>
        <w:tc>
          <w:tcPr>
            <w:tcW w:w="6060" w:type="dxa"/>
            <w:shd w:val="clear" w:color="auto" w:fill="auto"/>
          </w:tcPr>
          <w:p w14:paraId="1BAF1A9E" w14:textId="77777777" w:rsidR="00306706" w:rsidRPr="00306706" w:rsidRDefault="00306706" w:rsidP="00070D2C">
            <w:pPr>
              <w:spacing w:line="240" w:lineRule="auto"/>
              <w:jc w:val="both"/>
              <w:rPr>
                <w:rFonts w:eastAsia="Times New Roman" w:cs="Arial"/>
                <w:color w:val="212529"/>
                <w:sz w:val="20"/>
                <w:szCs w:val="20"/>
                <w:lang w:val="pt-BR"/>
              </w:rPr>
            </w:pPr>
            <w:r w:rsidRPr="00306706">
              <w:rPr>
                <w:rFonts w:eastAsia="Times New Roman" w:cs="Arial"/>
                <w:color w:val="212529"/>
                <w:sz w:val="20"/>
                <w:szCs w:val="20"/>
                <w:lang w:val="pt-BR"/>
              </w:rPr>
              <w:t xml:space="preserve">É necessário desenvolver uma sistemática de avaliação para empreendimentos de economia solidária, de forma a mensurar no longo prazo os resultados sociais alcançados. A ideia é criar um Balanço Social, onde que traga os resultados sociais do empreendimento. Seria desenvolvido pelas universidades esse modelo e apresentado pelos </w:t>
            </w:r>
            <w:proofErr w:type="spellStart"/>
            <w:r w:rsidRPr="00306706">
              <w:rPr>
                <w:rFonts w:eastAsia="Times New Roman" w:cs="Arial"/>
                <w:color w:val="212529"/>
                <w:sz w:val="20"/>
                <w:szCs w:val="20"/>
                <w:lang w:val="pt-BR"/>
              </w:rPr>
              <w:t>empreendimentos</w:t>
            </w:r>
            <w:proofErr w:type="spellEnd"/>
            <w:r w:rsidRPr="00306706">
              <w:rPr>
                <w:rFonts w:eastAsia="Times New Roman" w:cs="Arial"/>
                <w:color w:val="212529"/>
                <w:sz w:val="20"/>
                <w:szCs w:val="20"/>
                <w:lang w:val="pt-BR"/>
              </w:rPr>
              <w:t>.</w:t>
            </w:r>
          </w:p>
        </w:tc>
      </w:tr>
    </w:tbl>
    <w:p w14:paraId="490D2D9F" w14:textId="77777777" w:rsidR="00306706" w:rsidRPr="00306706" w:rsidRDefault="00306706" w:rsidP="00070D2C">
      <w:pPr>
        <w:shd w:val="clear" w:color="auto" w:fill="FFFFFF"/>
        <w:spacing w:after="240" w:line="240" w:lineRule="auto"/>
        <w:jc w:val="both"/>
        <w:rPr>
          <w:rFonts w:eastAsia="Times New Roman" w:cs="Arial"/>
          <w:b/>
          <w:bCs/>
          <w:color w:val="212529"/>
          <w:sz w:val="20"/>
          <w:szCs w:val="20"/>
          <w:lang w:val="pt-BR"/>
        </w:rPr>
      </w:pPr>
      <w:r w:rsidRPr="00306706">
        <w:rPr>
          <w:rFonts w:eastAsia="Times New Roman" w:cs="Arial"/>
          <w:color w:val="212529"/>
          <w:sz w:val="20"/>
          <w:szCs w:val="20"/>
          <w:lang w:val="pt-BR"/>
        </w:rPr>
        <w:t>Fonte: elaborada pelo autor</w:t>
      </w:r>
    </w:p>
    <w:p w14:paraId="199C022F"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t>5. CONSIDERAÇÕES FINAIS</w:t>
      </w:r>
    </w:p>
    <w:p w14:paraId="110C7B40"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Esta consultoria propositiva teve como objetivo proporcionar um guia de orientação para criação e fortalecimento dos empreendimentos de economia solidária em comunidades tradicionais. Verificou-se que dentre os principais problemas que afetam a sobrevivência dos EES é o distanciamento com as partes interessadas, principalmente os </w:t>
      </w:r>
      <w:r w:rsidRPr="00306706">
        <w:rPr>
          <w:rFonts w:eastAsia="Times New Roman" w:cs="Arial"/>
          <w:i/>
          <w:iCs/>
          <w:color w:val="212529"/>
          <w:szCs w:val="24"/>
          <w:lang w:val="pt-BR"/>
        </w:rPr>
        <w:t>stakeholders</w:t>
      </w:r>
      <w:r w:rsidRPr="00306706">
        <w:rPr>
          <w:rFonts w:eastAsia="Times New Roman" w:cs="Arial"/>
          <w:color w:val="212529"/>
          <w:szCs w:val="24"/>
          <w:lang w:val="pt-BR"/>
        </w:rPr>
        <w:t xml:space="preserve"> externos, a falta de capacitação, pouco acesso a políticas públicas em economia social e solidária e o fraco engajamento em redes de apoio. </w:t>
      </w:r>
    </w:p>
    <w:p w14:paraId="26E1063E"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Dentre estes atores podemos destacar, por exemplo, a atuação das instituições de educação. As universidades são cruciais na promoção da mudança social, compartilhando conhecimento e participando ativamente das comunidades locais (</w:t>
      </w:r>
      <w:proofErr w:type="spellStart"/>
      <w:r w:rsidRPr="00306706">
        <w:rPr>
          <w:rFonts w:eastAsia="Times New Roman" w:cs="Arial"/>
          <w:color w:val="212529"/>
          <w:szCs w:val="24"/>
          <w:lang w:val="pt-BR"/>
        </w:rPr>
        <w:t>Ndlovu</w:t>
      </w:r>
      <w:proofErr w:type="spellEnd"/>
      <w:r w:rsidRPr="00306706">
        <w:rPr>
          <w:rFonts w:eastAsia="Times New Roman" w:cs="Arial"/>
          <w:color w:val="212529"/>
          <w:szCs w:val="24"/>
          <w:lang w:val="pt-BR"/>
        </w:rPr>
        <w:t xml:space="preserve"> e </w:t>
      </w:r>
      <w:proofErr w:type="spellStart"/>
      <w:r w:rsidRPr="00306706">
        <w:rPr>
          <w:rFonts w:eastAsia="Times New Roman" w:cs="Arial"/>
          <w:color w:val="212529"/>
          <w:szCs w:val="24"/>
          <w:lang w:val="pt-BR"/>
        </w:rPr>
        <w:t>Lefera</w:t>
      </w:r>
      <w:proofErr w:type="spellEnd"/>
      <w:r w:rsidRPr="00306706">
        <w:rPr>
          <w:rFonts w:eastAsia="Times New Roman" w:cs="Arial"/>
          <w:color w:val="212529"/>
          <w:szCs w:val="24"/>
          <w:lang w:val="pt-BR"/>
        </w:rPr>
        <w:t>, 2024). Elas têm um papel solidário para garantir esse fortalecimento seja através capacitações, de seus processos de incubação que podem gerar futuras transferências de tecnologias ou mesmo de captação de recursos para aplicação nessas organizações.</w:t>
      </w:r>
    </w:p>
    <w:p w14:paraId="21B930A6"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lastRenderedPageBreak/>
        <w:t xml:space="preserve">O setor privado (empresas) e o poder público também têm importância ativa. São estes as principais fontes de financiamento para o desenvolvimento e fortalecimento desses empreendimentos. Os editais de apoio financeiro são instrumentos vitais que garantem o desenvolvimento e a manutenção desses empreendimentos em estágio inicial até a maturação. </w:t>
      </w:r>
    </w:p>
    <w:p w14:paraId="588C05A7" w14:textId="77777777" w:rsidR="00306706" w:rsidRPr="00306706" w:rsidRDefault="00306706" w:rsidP="00070D2C">
      <w:pPr>
        <w:shd w:val="clear" w:color="auto" w:fill="FFFFFF"/>
        <w:spacing w:after="240" w:line="240" w:lineRule="auto"/>
        <w:ind w:firstLine="709"/>
        <w:jc w:val="both"/>
        <w:rPr>
          <w:rFonts w:eastAsia="Times New Roman" w:cs="Arial"/>
          <w:color w:val="212529"/>
          <w:szCs w:val="24"/>
          <w:lang w:val="pt-BR"/>
        </w:rPr>
      </w:pPr>
      <w:r w:rsidRPr="00306706">
        <w:rPr>
          <w:rFonts w:eastAsia="Times New Roman" w:cs="Arial"/>
          <w:color w:val="212529"/>
          <w:szCs w:val="24"/>
          <w:lang w:val="pt-BR"/>
        </w:rPr>
        <w:t xml:space="preserve">Verificou-se que estes </w:t>
      </w:r>
      <w:proofErr w:type="spellStart"/>
      <w:r w:rsidRPr="00306706">
        <w:rPr>
          <w:rFonts w:eastAsia="Times New Roman" w:cs="Arial"/>
          <w:color w:val="212529"/>
          <w:szCs w:val="24"/>
          <w:lang w:val="pt-BR"/>
        </w:rPr>
        <w:t>empreendimentos</w:t>
      </w:r>
      <w:proofErr w:type="spellEnd"/>
      <w:r w:rsidRPr="00306706">
        <w:rPr>
          <w:rFonts w:eastAsia="Times New Roman" w:cs="Arial"/>
          <w:color w:val="212529"/>
          <w:szCs w:val="24"/>
          <w:lang w:val="pt-BR"/>
        </w:rPr>
        <w:t xml:space="preserve"> também precisam olhar para si, isto é, a forma como são recrutados os membros e como são gerenciados esses empreendimentos pode gerar problemas de governança. É necessário primar pela governança, seja através de treinamento com apoio de universidades ou outros parceiros seja através de políticas de seleção de membros. A capacitação é a chave mestra para o perfeito funcionamento desses empreendimentos.</w:t>
      </w:r>
    </w:p>
    <w:p w14:paraId="0EC1BE19"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Outro ponto é referente a falta de transparência. É necessário divulgação de resultados sociais. O Balanço Social pode ser um instrumento útil para atender esta finalidade. A criação de indicadores específicos como número de famílias beneficiadas, números de unidades produzidas por famílias etc., também são importantes nesse processo.</w:t>
      </w:r>
    </w:p>
    <w:p w14:paraId="39A6842C" w14:textId="77777777" w:rsidR="00306706" w:rsidRPr="00306706" w:rsidRDefault="00306706" w:rsidP="00070D2C">
      <w:pPr>
        <w:shd w:val="clear" w:color="auto" w:fill="FFFFFF"/>
        <w:spacing w:after="240" w:line="240" w:lineRule="auto"/>
        <w:ind w:firstLine="708"/>
        <w:jc w:val="both"/>
        <w:rPr>
          <w:rFonts w:eastAsia="Times New Roman" w:cs="Arial"/>
          <w:color w:val="212529"/>
          <w:szCs w:val="24"/>
          <w:lang w:val="pt-BR"/>
        </w:rPr>
      </w:pPr>
      <w:r w:rsidRPr="00306706">
        <w:rPr>
          <w:rFonts w:eastAsia="Times New Roman" w:cs="Arial"/>
          <w:color w:val="212529"/>
          <w:szCs w:val="24"/>
          <w:lang w:val="pt-BR"/>
        </w:rPr>
        <w:t xml:space="preserve">Enfim, percebe-se que os empreendimentos de economia solidária não podem andar dissociados dos </w:t>
      </w:r>
      <w:r w:rsidRPr="00306706">
        <w:rPr>
          <w:rFonts w:eastAsia="Times New Roman" w:cs="Arial"/>
          <w:i/>
          <w:iCs/>
          <w:color w:val="212529"/>
          <w:szCs w:val="24"/>
          <w:lang w:val="pt-BR"/>
        </w:rPr>
        <w:t>stakeholders</w:t>
      </w:r>
      <w:r w:rsidRPr="00306706">
        <w:rPr>
          <w:rFonts w:eastAsia="Times New Roman" w:cs="Arial"/>
          <w:color w:val="212529"/>
          <w:szCs w:val="24"/>
          <w:lang w:val="pt-BR"/>
        </w:rPr>
        <w:t xml:space="preserve"> e sem um mínimo de governança. Esta parceria é fundamental para o fortalecimento e sobrevivência desses empreendimentos. </w:t>
      </w:r>
    </w:p>
    <w:p w14:paraId="44296393"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p>
    <w:p w14:paraId="02DDE535" w14:textId="77777777" w:rsidR="00306706" w:rsidRPr="00306706" w:rsidRDefault="00306706" w:rsidP="00070D2C">
      <w:pPr>
        <w:shd w:val="clear" w:color="auto" w:fill="FFFFFF"/>
        <w:spacing w:after="240" w:line="240" w:lineRule="auto"/>
        <w:jc w:val="both"/>
        <w:rPr>
          <w:rFonts w:eastAsia="Times New Roman" w:cs="Arial"/>
          <w:b/>
          <w:bCs/>
          <w:color w:val="212529"/>
          <w:szCs w:val="24"/>
          <w:lang w:val="pt-BR"/>
        </w:rPr>
      </w:pPr>
      <w:r w:rsidRPr="00306706">
        <w:rPr>
          <w:rFonts w:eastAsia="Times New Roman" w:cs="Arial"/>
          <w:b/>
          <w:bCs/>
          <w:color w:val="212529"/>
          <w:szCs w:val="24"/>
          <w:lang w:val="pt-BR"/>
        </w:rPr>
        <w:t>REFERÊNCIAS</w:t>
      </w:r>
    </w:p>
    <w:p w14:paraId="15AEDDD3"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proofErr w:type="spellStart"/>
      <w:r w:rsidRPr="00306706">
        <w:rPr>
          <w:rFonts w:eastAsia="Times New Roman" w:cs="Arial"/>
          <w:color w:val="212529"/>
          <w:szCs w:val="24"/>
          <w:lang w:val="es-ES"/>
        </w:rPr>
        <w:t>Battisti</w:t>
      </w:r>
      <w:proofErr w:type="spellEnd"/>
      <w:r w:rsidRPr="00306706">
        <w:rPr>
          <w:rFonts w:eastAsia="Times New Roman" w:cs="Arial"/>
          <w:color w:val="212529"/>
          <w:szCs w:val="24"/>
          <w:lang w:val="es-ES"/>
        </w:rPr>
        <w:t xml:space="preserve"> Telles, L., </w:t>
      </w:r>
      <w:proofErr w:type="spellStart"/>
      <w:r w:rsidRPr="00306706">
        <w:rPr>
          <w:rFonts w:eastAsia="Times New Roman" w:cs="Arial"/>
          <w:color w:val="212529"/>
          <w:szCs w:val="24"/>
          <w:lang w:val="es-ES"/>
        </w:rPr>
        <w:t>Marcuello</w:t>
      </w:r>
      <w:proofErr w:type="spellEnd"/>
      <w:r w:rsidRPr="00306706">
        <w:rPr>
          <w:rFonts w:eastAsia="Times New Roman" w:cs="Arial"/>
          <w:color w:val="212529"/>
          <w:szCs w:val="24"/>
          <w:lang w:val="es-ES"/>
        </w:rPr>
        <w:t xml:space="preserve"> </w:t>
      </w:r>
      <w:proofErr w:type="spellStart"/>
      <w:r w:rsidRPr="00306706">
        <w:rPr>
          <w:rFonts w:eastAsia="Times New Roman" w:cs="Arial"/>
          <w:color w:val="212529"/>
          <w:szCs w:val="24"/>
          <w:lang w:val="es-ES"/>
        </w:rPr>
        <w:t>Servós</w:t>
      </w:r>
      <w:proofErr w:type="spellEnd"/>
      <w:r w:rsidRPr="00306706">
        <w:rPr>
          <w:rFonts w:eastAsia="Times New Roman" w:cs="Arial"/>
          <w:color w:val="212529"/>
          <w:szCs w:val="24"/>
          <w:lang w:val="es-ES"/>
        </w:rPr>
        <w:t xml:space="preserve">, C., &amp; </w:t>
      </w:r>
      <w:proofErr w:type="spellStart"/>
      <w:r w:rsidRPr="00306706">
        <w:rPr>
          <w:rFonts w:eastAsia="Times New Roman" w:cs="Arial"/>
          <w:color w:val="212529"/>
          <w:szCs w:val="24"/>
          <w:lang w:val="es-ES"/>
        </w:rPr>
        <w:t>Messias</w:t>
      </w:r>
      <w:proofErr w:type="spellEnd"/>
      <w:r w:rsidRPr="00306706">
        <w:rPr>
          <w:rFonts w:eastAsia="Times New Roman" w:cs="Arial"/>
          <w:color w:val="212529"/>
          <w:szCs w:val="24"/>
          <w:lang w:val="es-ES"/>
        </w:rPr>
        <w:t xml:space="preserve"> </w:t>
      </w:r>
      <w:proofErr w:type="spellStart"/>
      <w:r w:rsidRPr="00306706">
        <w:rPr>
          <w:rFonts w:eastAsia="Times New Roman" w:cs="Arial"/>
          <w:color w:val="212529"/>
          <w:szCs w:val="24"/>
          <w:lang w:val="es-ES"/>
        </w:rPr>
        <w:t>Bittencourt</w:t>
      </w:r>
      <w:proofErr w:type="spellEnd"/>
      <w:r w:rsidRPr="00306706">
        <w:rPr>
          <w:rFonts w:eastAsia="Times New Roman" w:cs="Arial"/>
          <w:color w:val="212529"/>
          <w:szCs w:val="24"/>
          <w:lang w:val="es-ES"/>
        </w:rPr>
        <w:t xml:space="preserve">, J. V. (2020). Las perspectivas Latinoamericana y </w:t>
      </w:r>
      <w:proofErr w:type="gramStart"/>
      <w:r w:rsidRPr="00306706">
        <w:rPr>
          <w:rFonts w:eastAsia="Times New Roman" w:cs="Arial"/>
          <w:color w:val="212529"/>
          <w:szCs w:val="24"/>
          <w:lang w:val="es-ES"/>
        </w:rPr>
        <w:t>Europea</w:t>
      </w:r>
      <w:proofErr w:type="gramEnd"/>
      <w:r w:rsidRPr="00306706">
        <w:rPr>
          <w:rFonts w:eastAsia="Times New Roman" w:cs="Arial"/>
          <w:color w:val="212529"/>
          <w:szCs w:val="24"/>
          <w:lang w:val="es-ES"/>
        </w:rPr>
        <w:t xml:space="preserve"> de la economía solidaria.</w:t>
      </w:r>
    </w:p>
    <w:p w14:paraId="7080AAA3" w14:textId="77777777" w:rsidR="00306706" w:rsidRPr="00306706" w:rsidRDefault="00306706" w:rsidP="00070D2C">
      <w:pPr>
        <w:shd w:val="clear" w:color="auto" w:fill="FFFFFF"/>
        <w:spacing w:after="240" w:line="240" w:lineRule="auto"/>
        <w:jc w:val="both"/>
        <w:rPr>
          <w:rFonts w:eastAsia="Times New Roman" w:cs="Arial"/>
          <w:szCs w:val="24"/>
          <w:lang w:val="es-ES"/>
        </w:rPr>
      </w:pPr>
      <w:proofErr w:type="spellStart"/>
      <w:r w:rsidRPr="00306706">
        <w:rPr>
          <w:rFonts w:eastAsia="Times New Roman" w:cs="Arial"/>
          <w:color w:val="222222"/>
          <w:szCs w:val="24"/>
          <w:lang w:val="es-ES"/>
        </w:rPr>
        <w:t>Bayter</w:t>
      </w:r>
      <w:proofErr w:type="spellEnd"/>
      <w:r w:rsidRPr="00306706">
        <w:rPr>
          <w:rFonts w:eastAsia="Times New Roman" w:cs="Arial"/>
          <w:color w:val="222222"/>
          <w:szCs w:val="24"/>
          <w:lang w:val="es-ES"/>
        </w:rPr>
        <w:t xml:space="preserve">, L. E. O. (2008). La formación y el desarrollo del emprendimiento en el sector solidario. </w:t>
      </w:r>
      <w:r w:rsidRPr="00306706">
        <w:rPr>
          <w:rFonts w:eastAsia="Times New Roman" w:cs="Arial"/>
          <w:i/>
          <w:iCs/>
          <w:color w:val="222222"/>
          <w:szCs w:val="24"/>
          <w:lang w:val="es-ES"/>
        </w:rPr>
        <w:t>Hallazgos</w:t>
      </w:r>
      <w:r w:rsidRPr="00306706">
        <w:rPr>
          <w:rFonts w:eastAsia="Times New Roman" w:cs="Arial"/>
          <w:color w:val="222222"/>
          <w:szCs w:val="24"/>
          <w:lang w:val="es-ES"/>
        </w:rPr>
        <w:t>, (9), 39-60.</w:t>
      </w:r>
    </w:p>
    <w:p w14:paraId="131F2EE5"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proofErr w:type="spellStart"/>
      <w:r w:rsidRPr="00306706">
        <w:rPr>
          <w:rFonts w:eastAsia="Times New Roman" w:cs="Arial"/>
          <w:color w:val="212529"/>
          <w:szCs w:val="24"/>
        </w:rPr>
        <w:t>Catala</w:t>
      </w:r>
      <w:proofErr w:type="spellEnd"/>
      <w:r w:rsidRPr="00306706">
        <w:rPr>
          <w:rFonts w:eastAsia="Times New Roman" w:cs="Arial"/>
          <w:color w:val="212529"/>
          <w:szCs w:val="24"/>
        </w:rPr>
        <w:t xml:space="preserve">, B., </w:t>
      </w:r>
      <w:proofErr w:type="spellStart"/>
      <w:r w:rsidRPr="00306706">
        <w:rPr>
          <w:rFonts w:eastAsia="Times New Roman" w:cs="Arial"/>
          <w:color w:val="212529"/>
          <w:szCs w:val="24"/>
        </w:rPr>
        <w:t>Savall</w:t>
      </w:r>
      <w:proofErr w:type="spellEnd"/>
      <w:r w:rsidRPr="00306706">
        <w:rPr>
          <w:rFonts w:eastAsia="Times New Roman" w:cs="Arial"/>
          <w:color w:val="212529"/>
          <w:szCs w:val="24"/>
        </w:rPr>
        <w:t xml:space="preserve">, T., &amp; Chaves-Avila, R. (2023). From entrepreneurial and innovation ecosystems to the social economy ecosystem. </w:t>
      </w:r>
      <w:proofErr w:type="spellStart"/>
      <w:r w:rsidRPr="00306706">
        <w:rPr>
          <w:rFonts w:eastAsia="Times New Roman" w:cs="Arial"/>
          <w:color w:val="212529"/>
          <w:szCs w:val="24"/>
          <w:lang w:val="pt-BR"/>
        </w:rPr>
        <w:t>Journal</w:t>
      </w:r>
      <w:proofErr w:type="spellEnd"/>
      <w:r w:rsidRPr="00306706">
        <w:rPr>
          <w:rFonts w:eastAsia="Times New Roman" w:cs="Arial"/>
          <w:color w:val="212529"/>
          <w:szCs w:val="24"/>
          <w:lang w:val="pt-BR"/>
        </w:rPr>
        <w:t xml:space="preserve"> </w:t>
      </w:r>
      <w:proofErr w:type="spellStart"/>
      <w:r w:rsidRPr="00306706">
        <w:rPr>
          <w:rFonts w:eastAsia="Times New Roman" w:cs="Arial"/>
          <w:color w:val="212529"/>
          <w:szCs w:val="24"/>
          <w:lang w:val="pt-BR"/>
        </w:rPr>
        <w:t>of</w:t>
      </w:r>
      <w:proofErr w:type="spellEnd"/>
      <w:r w:rsidRPr="00306706">
        <w:rPr>
          <w:rFonts w:eastAsia="Times New Roman" w:cs="Arial"/>
          <w:color w:val="212529"/>
          <w:szCs w:val="24"/>
          <w:lang w:val="pt-BR"/>
        </w:rPr>
        <w:t xml:space="preserve"> Business </w:t>
      </w:r>
      <w:proofErr w:type="spellStart"/>
      <w:r w:rsidRPr="00306706">
        <w:rPr>
          <w:rFonts w:eastAsia="Times New Roman" w:cs="Arial"/>
          <w:color w:val="212529"/>
          <w:szCs w:val="24"/>
          <w:lang w:val="pt-BR"/>
        </w:rPr>
        <w:t>Research</w:t>
      </w:r>
      <w:proofErr w:type="spellEnd"/>
      <w:r w:rsidRPr="00306706">
        <w:rPr>
          <w:rFonts w:eastAsia="Times New Roman" w:cs="Arial"/>
          <w:color w:val="212529"/>
          <w:szCs w:val="24"/>
          <w:lang w:val="pt-BR"/>
        </w:rPr>
        <w:t>, 163, 113932.</w:t>
      </w:r>
    </w:p>
    <w:p w14:paraId="2E56CE73"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r w:rsidRPr="00306706">
        <w:rPr>
          <w:rFonts w:eastAsia="Times New Roman" w:cs="Arial"/>
          <w:color w:val="212529"/>
          <w:szCs w:val="24"/>
          <w:lang w:val="pt-BR"/>
        </w:rPr>
        <w:t xml:space="preserve">de Paiva, V. R. A., de Castro Cardoso, G. C., </w:t>
      </w:r>
      <w:proofErr w:type="spellStart"/>
      <w:r w:rsidRPr="00306706">
        <w:rPr>
          <w:rFonts w:eastAsia="Times New Roman" w:cs="Arial"/>
          <w:color w:val="212529"/>
          <w:szCs w:val="24"/>
          <w:lang w:val="pt-BR"/>
        </w:rPr>
        <w:t>Chacon</w:t>
      </w:r>
      <w:proofErr w:type="spellEnd"/>
      <w:r w:rsidRPr="00306706">
        <w:rPr>
          <w:rFonts w:eastAsia="Times New Roman" w:cs="Arial"/>
          <w:color w:val="212529"/>
          <w:szCs w:val="24"/>
          <w:lang w:val="pt-BR"/>
        </w:rPr>
        <w:t xml:space="preserve">, S. S., &amp; da Cunha, E. V. (2021). Reflexões sobre incubação em economia solidária e o papel das universidades: um estudo na região do Cariri Cearense, Nordeste do Brasil. </w:t>
      </w:r>
      <w:proofErr w:type="spellStart"/>
      <w:r w:rsidRPr="00306706">
        <w:rPr>
          <w:rFonts w:eastAsia="Times New Roman" w:cs="Arial"/>
          <w:color w:val="212529"/>
          <w:szCs w:val="24"/>
          <w:lang w:val="pt-BR"/>
        </w:rPr>
        <w:t>Brazilian</w:t>
      </w:r>
      <w:proofErr w:type="spellEnd"/>
      <w:r w:rsidRPr="00306706">
        <w:rPr>
          <w:rFonts w:eastAsia="Times New Roman" w:cs="Arial"/>
          <w:color w:val="212529"/>
          <w:szCs w:val="24"/>
          <w:lang w:val="pt-BR"/>
        </w:rPr>
        <w:t xml:space="preserve"> </w:t>
      </w:r>
      <w:proofErr w:type="spellStart"/>
      <w:r w:rsidRPr="00306706">
        <w:rPr>
          <w:rFonts w:eastAsia="Times New Roman" w:cs="Arial"/>
          <w:color w:val="212529"/>
          <w:szCs w:val="24"/>
          <w:lang w:val="pt-BR"/>
        </w:rPr>
        <w:t>Journal</w:t>
      </w:r>
      <w:proofErr w:type="spellEnd"/>
      <w:r w:rsidRPr="00306706">
        <w:rPr>
          <w:rFonts w:eastAsia="Times New Roman" w:cs="Arial"/>
          <w:color w:val="212529"/>
          <w:szCs w:val="24"/>
          <w:lang w:val="pt-BR"/>
        </w:rPr>
        <w:t xml:space="preserve"> </w:t>
      </w:r>
      <w:proofErr w:type="spellStart"/>
      <w:r w:rsidRPr="00306706">
        <w:rPr>
          <w:rFonts w:eastAsia="Times New Roman" w:cs="Arial"/>
          <w:color w:val="212529"/>
          <w:szCs w:val="24"/>
          <w:lang w:val="pt-BR"/>
        </w:rPr>
        <w:t>of</w:t>
      </w:r>
      <w:proofErr w:type="spellEnd"/>
      <w:r w:rsidRPr="00306706">
        <w:rPr>
          <w:rFonts w:eastAsia="Times New Roman" w:cs="Arial"/>
          <w:color w:val="212529"/>
          <w:szCs w:val="24"/>
          <w:lang w:val="pt-BR"/>
        </w:rPr>
        <w:t xml:space="preserve"> </w:t>
      </w:r>
      <w:proofErr w:type="spellStart"/>
      <w:r w:rsidRPr="00306706">
        <w:rPr>
          <w:rFonts w:eastAsia="Times New Roman" w:cs="Arial"/>
          <w:color w:val="212529"/>
          <w:szCs w:val="24"/>
          <w:lang w:val="pt-BR"/>
        </w:rPr>
        <w:t>Development</w:t>
      </w:r>
      <w:proofErr w:type="spellEnd"/>
      <w:r w:rsidRPr="00306706">
        <w:rPr>
          <w:rFonts w:eastAsia="Times New Roman" w:cs="Arial"/>
          <w:color w:val="212529"/>
          <w:szCs w:val="24"/>
          <w:lang w:val="pt-BR"/>
        </w:rPr>
        <w:t>, 7(3), 33090-33201.</w:t>
      </w:r>
    </w:p>
    <w:p w14:paraId="533AE1A6"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r w:rsidRPr="00306706">
        <w:rPr>
          <w:rFonts w:eastAsia="Times New Roman" w:cs="Arial"/>
          <w:color w:val="212529"/>
          <w:szCs w:val="24"/>
          <w:lang w:val="pt-BR"/>
        </w:rPr>
        <w:t>da Silva, R. M. A. (2011). Políticas públicas de economia solidária: avanços, desafios e perspectivas. Diálogo, (18), 53-76</w:t>
      </w:r>
    </w:p>
    <w:p w14:paraId="14EF8F46"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r w:rsidRPr="00306706">
        <w:rPr>
          <w:rFonts w:eastAsia="Times New Roman" w:cs="Arial"/>
          <w:color w:val="212529"/>
          <w:szCs w:val="24"/>
          <w:lang w:val="pt-BR"/>
        </w:rPr>
        <w:t xml:space="preserve">de Souza, L. H., dos Santos, L. M. L., &amp; da Rocha, J. C. M. (2020). O caso da Cooperativa de Trabalho de Costureiras Unidas Venceremos: relatos de uma experiência de economia solidária. </w:t>
      </w:r>
      <w:proofErr w:type="spellStart"/>
      <w:r w:rsidRPr="00306706">
        <w:rPr>
          <w:rFonts w:eastAsia="Times New Roman" w:cs="Arial"/>
          <w:color w:val="212529"/>
          <w:szCs w:val="24"/>
          <w:lang w:val="pt-BR"/>
        </w:rPr>
        <w:t>DRd</w:t>
      </w:r>
      <w:proofErr w:type="spellEnd"/>
      <w:r w:rsidRPr="00306706">
        <w:rPr>
          <w:rFonts w:eastAsia="Times New Roman" w:cs="Arial"/>
          <w:color w:val="212529"/>
          <w:szCs w:val="24"/>
          <w:lang w:val="pt-BR"/>
        </w:rPr>
        <w:t>-Desenvolvimento Regional em debate, 10, 76-97.</w:t>
      </w:r>
    </w:p>
    <w:p w14:paraId="45582E78" w14:textId="77777777" w:rsidR="00306706" w:rsidRPr="00306706" w:rsidRDefault="00306706" w:rsidP="00070D2C">
      <w:pPr>
        <w:shd w:val="clear" w:color="auto" w:fill="FFFFFF"/>
        <w:spacing w:after="240" w:line="240" w:lineRule="auto"/>
        <w:jc w:val="both"/>
        <w:rPr>
          <w:rFonts w:eastAsia="Times New Roman" w:cs="Arial"/>
          <w:color w:val="212529"/>
          <w:szCs w:val="24"/>
        </w:rPr>
      </w:pPr>
      <w:proofErr w:type="spellStart"/>
      <w:r w:rsidRPr="00306706">
        <w:rPr>
          <w:rFonts w:eastAsia="Times New Roman" w:cs="Arial"/>
          <w:color w:val="212529"/>
          <w:szCs w:val="24"/>
          <w:lang w:val="pt-BR"/>
        </w:rPr>
        <w:lastRenderedPageBreak/>
        <w:t>Ferraton</w:t>
      </w:r>
      <w:proofErr w:type="spellEnd"/>
      <w:r w:rsidRPr="00306706">
        <w:rPr>
          <w:rFonts w:eastAsia="Times New Roman" w:cs="Arial"/>
          <w:color w:val="212529"/>
          <w:szCs w:val="24"/>
          <w:lang w:val="pt-BR"/>
        </w:rPr>
        <w:t xml:space="preserve">, C., </w:t>
      </w:r>
      <w:proofErr w:type="spellStart"/>
      <w:r w:rsidRPr="00306706">
        <w:rPr>
          <w:rFonts w:eastAsia="Times New Roman" w:cs="Arial"/>
          <w:color w:val="212529"/>
          <w:szCs w:val="24"/>
          <w:lang w:val="pt-BR"/>
        </w:rPr>
        <w:t>Petrella</w:t>
      </w:r>
      <w:proofErr w:type="spellEnd"/>
      <w:r w:rsidRPr="00306706">
        <w:rPr>
          <w:rFonts w:eastAsia="Times New Roman" w:cs="Arial"/>
          <w:color w:val="212529"/>
          <w:szCs w:val="24"/>
          <w:lang w:val="pt-BR"/>
        </w:rPr>
        <w:t xml:space="preserve">, F., </w:t>
      </w:r>
      <w:proofErr w:type="spellStart"/>
      <w:r w:rsidRPr="00306706">
        <w:rPr>
          <w:rFonts w:eastAsia="Times New Roman" w:cs="Arial"/>
          <w:color w:val="212529"/>
          <w:szCs w:val="24"/>
          <w:lang w:val="pt-BR"/>
        </w:rPr>
        <w:t>Richez-Battesti</w:t>
      </w:r>
      <w:proofErr w:type="spellEnd"/>
      <w:r w:rsidRPr="00306706">
        <w:rPr>
          <w:rFonts w:eastAsia="Times New Roman" w:cs="Arial"/>
          <w:color w:val="212529"/>
          <w:szCs w:val="24"/>
          <w:lang w:val="pt-BR"/>
        </w:rPr>
        <w:t xml:space="preserve">, N., &amp; </w:t>
      </w:r>
      <w:proofErr w:type="spellStart"/>
      <w:r w:rsidRPr="00306706">
        <w:rPr>
          <w:rFonts w:eastAsia="Times New Roman" w:cs="Arial"/>
          <w:color w:val="212529"/>
          <w:szCs w:val="24"/>
          <w:lang w:val="pt-BR"/>
        </w:rPr>
        <w:t>Vallade</w:t>
      </w:r>
      <w:proofErr w:type="spellEnd"/>
      <w:r w:rsidRPr="00306706">
        <w:rPr>
          <w:rFonts w:eastAsia="Times New Roman" w:cs="Arial"/>
          <w:color w:val="212529"/>
          <w:szCs w:val="24"/>
          <w:lang w:val="pt-BR"/>
        </w:rPr>
        <w:t xml:space="preserve">, D. (2024). </w:t>
      </w:r>
      <w:r w:rsidRPr="00306706">
        <w:rPr>
          <w:rFonts w:eastAsia="Times New Roman" w:cs="Arial"/>
          <w:color w:val="212529"/>
          <w:szCs w:val="24"/>
        </w:rPr>
        <w:t>Social and solidarity economy in the cultural field: governance as a transforming lever? A comparison between three French organizations. Social Enterprise Journal, 20(2), 123-139.</w:t>
      </w:r>
    </w:p>
    <w:p w14:paraId="62FB9AB7" w14:textId="77777777" w:rsidR="00306706" w:rsidRPr="00306706" w:rsidRDefault="00306706" w:rsidP="00070D2C">
      <w:pPr>
        <w:shd w:val="clear" w:color="auto" w:fill="FFFFFF"/>
        <w:spacing w:after="240" w:line="240" w:lineRule="auto"/>
        <w:jc w:val="both"/>
        <w:rPr>
          <w:rFonts w:eastAsia="Times New Roman" w:cs="Arial"/>
          <w:szCs w:val="24"/>
          <w:lang w:val="pt-BR"/>
        </w:rPr>
      </w:pPr>
      <w:r w:rsidRPr="00306706">
        <w:rPr>
          <w:rFonts w:eastAsia="Times New Roman" w:cs="Arial"/>
          <w:color w:val="000000"/>
          <w:szCs w:val="24"/>
        </w:rPr>
        <w:t xml:space="preserve">Ferro, L. F., </w:t>
      </w:r>
      <w:proofErr w:type="spellStart"/>
      <w:r w:rsidRPr="00306706">
        <w:rPr>
          <w:rFonts w:eastAsia="Times New Roman" w:cs="Arial"/>
          <w:color w:val="000000"/>
          <w:szCs w:val="24"/>
        </w:rPr>
        <w:t>Franzoloso</w:t>
      </w:r>
      <w:proofErr w:type="spellEnd"/>
      <w:r w:rsidRPr="00306706">
        <w:rPr>
          <w:rFonts w:eastAsia="Times New Roman" w:cs="Arial"/>
          <w:color w:val="000000"/>
          <w:szCs w:val="24"/>
        </w:rPr>
        <w:t xml:space="preserve">, C. L. S., &amp; </w:t>
      </w:r>
      <w:proofErr w:type="spellStart"/>
      <w:r w:rsidRPr="00306706">
        <w:rPr>
          <w:rFonts w:eastAsia="Times New Roman" w:cs="Arial"/>
          <w:color w:val="000000"/>
          <w:szCs w:val="24"/>
        </w:rPr>
        <w:t>Burnagui</w:t>
      </w:r>
      <w:proofErr w:type="spellEnd"/>
      <w:r w:rsidRPr="00306706">
        <w:rPr>
          <w:rFonts w:eastAsia="Times New Roman" w:cs="Arial"/>
          <w:color w:val="000000"/>
          <w:szCs w:val="24"/>
        </w:rPr>
        <w:t xml:space="preserve">, J. G. (2020). </w:t>
      </w:r>
      <w:r w:rsidRPr="00306706">
        <w:rPr>
          <w:rFonts w:eastAsia="Times New Roman" w:cs="Arial"/>
          <w:color w:val="000000"/>
          <w:szCs w:val="24"/>
          <w:lang w:val="pt-BR"/>
        </w:rPr>
        <w:t>Redes de economia solidária: estratégias para a captação de recursos. Revista de estudos universitários-REU, 46(2), 469-495.</w:t>
      </w:r>
    </w:p>
    <w:p w14:paraId="696B589D" w14:textId="77777777" w:rsidR="00306706" w:rsidRPr="00306706" w:rsidRDefault="00306706" w:rsidP="00070D2C">
      <w:pPr>
        <w:shd w:val="clear" w:color="auto" w:fill="FFFFFF"/>
        <w:spacing w:after="240" w:line="240" w:lineRule="auto"/>
        <w:jc w:val="both"/>
        <w:rPr>
          <w:rFonts w:eastAsia="Times New Roman" w:cs="Arial"/>
          <w:color w:val="212529"/>
          <w:szCs w:val="24"/>
        </w:rPr>
      </w:pPr>
      <w:proofErr w:type="spellStart"/>
      <w:r w:rsidRPr="00306706">
        <w:rPr>
          <w:rFonts w:eastAsia="Times New Roman" w:cs="Arial"/>
          <w:color w:val="212529"/>
          <w:szCs w:val="24"/>
          <w:lang w:val="pt-BR"/>
        </w:rPr>
        <w:t>Gaiger</w:t>
      </w:r>
      <w:proofErr w:type="spellEnd"/>
      <w:r w:rsidRPr="00306706">
        <w:rPr>
          <w:rFonts w:eastAsia="Times New Roman" w:cs="Arial"/>
          <w:color w:val="212529"/>
          <w:szCs w:val="24"/>
          <w:lang w:val="pt-BR"/>
        </w:rPr>
        <w:t xml:space="preserve">, L. I. G. (2021). A reciprocidade </w:t>
      </w:r>
      <w:proofErr w:type="spellStart"/>
      <w:r w:rsidRPr="00306706">
        <w:rPr>
          <w:rFonts w:eastAsia="Times New Roman" w:cs="Arial"/>
          <w:color w:val="212529"/>
          <w:szCs w:val="24"/>
          <w:lang w:val="pt-BR"/>
        </w:rPr>
        <w:t>ea</w:t>
      </w:r>
      <w:proofErr w:type="spellEnd"/>
      <w:r w:rsidRPr="00306706">
        <w:rPr>
          <w:rFonts w:eastAsia="Times New Roman" w:cs="Arial"/>
          <w:color w:val="212529"/>
          <w:szCs w:val="24"/>
          <w:lang w:val="pt-BR"/>
        </w:rPr>
        <w:t xml:space="preserve"> instituição plural de mercados: um prisma para entender o papel histórico da Economia Social e Solidária. </w:t>
      </w:r>
      <w:r w:rsidRPr="00306706">
        <w:rPr>
          <w:rFonts w:eastAsia="Times New Roman" w:cs="Arial"/>
          <w:color w:val="212529"/>
          <w:szCs w:val="24"/>
        </w:rPr>
        <w:t xml:space="preserve">Nova </w:t>
      </w:r>
      <w:proofErr w:type="spellStart"/>
      <w:r w:rsidRPr="00306706">
        <w:rPr>
          <w:rFonts w:eastAsia="Times New Roman" w:cs="Arial"/>
          <w:color w:val="212529"/>
          <w:szCs w:val="24"/>
        </w:rPr>
        <w:t>economia</w:t>
      </w:r>
      <w:proofErr w:type="spellEnd"/>
      <w:r w:rsidRPr="00306706">
        <w:rPr>
          <w:rFonts w:eastAsia="Times New Roman" w:cs="Arial"/>
          <w:color w:val="212529"/>
          <w:szCs w:val="24"/>
        </w:rPr>
        <w:t>, 31(01), 157-183.</w:t>
      </w:r>
    </w:p>
    <w:p w14:paraId="56335BB8" w14:textId="77777777" w:rsidR="00306706" w:rsidRPr="00306706" w:rsidRDefault="00306706" w:rsidP="00070D2C">
      <w:pPr>
        <w:shd w:val="clear" w:color="auto" w:fill="FFFFFF"/>
        <w:spacing w:after="240" w:line="240" w:lineRule="auto"/>
        <w:jc w:val="both"/>
        <w:rPr>
          <w:rFonts w:eastAsia="Times New Roman" w:cs="Arial"/>
          <w:color w:val="212529"/>
          <w:szCs w:val="24"/>
        </w:rPr>
      </w:pPr>
      <w:r w:rsidRPr="00306706">
        <w:rPr>
          <w:rFonts w:eastAsia="Times New Roman" w:cs="Arial"/>
          <w:color w:val="212529"/>
          <w:szCs w:val="24"/>
        </w:rPr>
        <w:t>Guttmann, A. (2021). Commons and cooperatives: A new governance of collective action. Annals of Public and Cooperative Economics, 92(1), 33-53.</w:t>
      </w:r>
    </w:p>
    <w:p w14:paraId="0B529623" w14:textId="77777777" w:rsidR="00306706" w:rsidRPr="00306706" w:rsidRDefault="00306706" w:rsidP="00070D2C">
      <w:pPr>
        <w:shd w:val="clear" w:color="auto" w:fill="FFFFFF"/>
        <w:spacing w:after="240" w:line="240" w:lineRule="auto"/>
        <w:jc w:val="both"/>
        <w:rPr>
          <w:rFonts w:eastAsia="Times New Roman" w:cs="Arial"/>
          <w:szCs w:val="24"/>
        </w:rPr>
      </w:pPr>
      <w:r w:rsidRPr="00306706">
        <w:rPr>
          <w:rFonts w:eastAsia="Times New Roman" w:cs="Arial"/>
          <w:color w:val="000000"/>
          <w:szCs w:val="24"/>
        </w:rPr>
        <w:t>Hernández-</w:t>
      </w:r>
      <w:proofErr w:type="spellStart"/>
      <w:r w:rsidRPr="00306706">
        <w:rPr>
          <w:rFonts w:eastAsia="Times New Roman" w:cs="Arial"/>
          <w:color w:val="000000"/>
          <w:szCs w:val="24"/>
        </w:rPr>
        <w:t>Arzaba</w:t>
      </w:r>
      <w:proofErr w:type="spellEnd"/>
      <w:r w:rsidRPr="00306706">
        <w:rPr>
          <w:rFonts w:eastAsia="Times New Roman" w:cs="Arial"/>
          <w:color w:val="000000"/>
          <w:szCs w:val="24"/>
        </w:rPr>
        <w:t xml:space="preserve">, J. C., Nazir, S., Leyva-Hernández, S. N., &amp; </w:t>
      </w:r>
      <w:proofErr w:type="spellStart"/>
      <w:r w:rsidRPr="00306706">
        <w:rPr>
          <w:rFonts w:eastAsia="Times New Roman" w:cs="Arial"/>
          <w:color w:val="000000"/>
          <w:szCs w:val="24"/>
        </w:rPr>
        <w:t>Muhyaddin</w:t>
      </w:r>
      <w:proofErr w:type="spellEnd"/>
      <w:r w:rsidRPr="00306706">
        <w:rPr>
          <w:rFonts w:eastAsia="Times New Roman" w:cs="Arial"/>
          <w:color w:val="000000"/>
          <w:szCs w:val="24"/>
        </w:rPr>
        <w:t>, S. (2022). Stakeholder pressure engaged with circular economy principles and economic and environmental performance. Sustainability, 14(23), 16302.</w:t>
      </w:r>
    </w:p>
    <w:p w14:paraId="7A566C97" w14:textId="77777777" w:rsidR="00306706" w:rsidRPr="00306706" w:rsidRDefault="00306706" w:rsidP="00070D2C">
      <w:pPr>
        <w:shd w:val="clear" w:color="auto" w:fill="FFFFFF"/>
        <w:spacing w:after="240" w:line="240" w:lineRule="auto"/>
        <w:jc w:val="both"/>
        <w:rPr>
          <w:rFonts w:eastAsia="Times New Roman" w:cs="Arial"/>
          <w:color w:val="212529"/>
          <w:szCs w:val="24"/>
        </w:rPr>
      </w:pPr>
      <w:r w:rsidRPr="00306706">
        <w:rPr>
          <w:rFonts w:eastAsia="Times New Roman" w:cs="Arial"/>
          <w:color w:val="212529"/>
          <w:szCs w:val="24"/>
        </w:rPr>
        <w:t xml:space="preserve">Joshi, K., Loganathan, M., Chandrashekar, D., </w:t>
      </w:r>
      <w:proofErr w:type="spellStart"/>
      <w:r w:rsidRPr="00306706">
        <w:rPr>
          <w:rFonts w:eastAsia="Times New Roman" w:cs="Arial"/>
          <w:color w:val="212529"/>
          <w:szCs w:val="24"/>
        </w:rPr>
        <w:t>Brem</w:t>
      </w:r>
      <w:proofErr w:type="spellEnd"/>
      <w:r w:rsidRPr="00306706">
        <w:rPr>
          <w:rFonts w:eastAsia="Times New Roman" w:cs="Arial"/>
          <w:color w:val="212529"/>
          <w:szCs w:val="24"/>
        </w:rPr>
        <w:t xml:space="preserve">, A., &amp; Satyanarayana, K. (2023). How Do University-Based Incubators and Accelerators Build Dynamic </w:t>
      </w:r>
      <w:proofErr w:type="gramStart"/>
      <w:r w:rsidRPr="00306706">
        <w:rPr>
          <w:rFonts w:eastAsia="Times New Roman" w:cs="Arial"/>
          <w:color w:val="212529"/>
          <w:szCs w:val="24"/>
        </w:rPr>
        <w:t>Capabilities?—</w:t>
      </w:r>
      <w:proofErr w:type="gramEnd"/>
      <w:r w:rsidRPr="00306706">
        <w:rPr>
          <w:rFonts w:eastAsia="Times New Roman" w:cs="Arial"/>
          <w:color w:val="212529"/>
          <w:szCs w:val="24"/>
        </w:rPr>
        <w:t>An Exploration From India. IEEE Transactions on Engineering Management, 71, 9035-9048.</w:t>
      </w:r>
    </w:p>
    <w:p w14:paraId="6090DFAE" w14:textId="77777777" w:rsidR="00306706" w:rsidRPr="00306706" w:rsidRDefault="00306706" w:rsidP="00070D2C">
      <w:pPr>
        <w:shd w:val="clear" w:color="auto" w:fill="FFFFFF"/>
        <w:spacing w:after="240" w:line="240" w:lineRule="auto"/>
        <w:jc w:val="both"/>
        <w:rPr>
          <w:rFonts w:eastAsia="Times New Roman" w:cs="Arial"/>
          <w:szCs w:val="24"/>
        </w:rPr>
      </w:pPr>
      <w:r w:rsidRPr="00306706">
        <w:rPr>
          <w:rFonts w:eastAsia="Times New Roman" w:cs="Arial"/>
          <w:color w:val="000000"/>
          <w:szCs w:val="24"/>
        </w:rPr>
        <w:t xml:space="preserve">Latifa, S., &amp; </w:t>
      </w:r>
      <w:proofErr w:type="spellStart"/>
      <w:r w:rsidRPr="00306706">
        <w:rPr>
          <w:rFonts w:eastAsia="Times New Roman" w:cs="Arial"/>
          <w:color w:val="000000"/>
          <w:szCs w:val="24"/>
        </w:rPr>
        <w:t>Angade</w:t>
      </w:r>
      <w:proofErr w:type="spellEnd"/>
      <w:r w:rsidRPr="00306706">
        <w:rPr>
          <w:rFonts w:eastAsia="Times New Roman" w:cs="Arial"/>
          <w:color w:val="000000"/>
          <w:szCs w:val="24"/>
        </w:rPr>
        <w:t>, K. (2022). Social &amp; Solidarity Entrepreneurship What About the Responsible Finance Industry? Case of Moroccan Cooperatives. Journal of Accounting and Finance, 22(3), 44-57.</w:t>
      </w:r>
    </w:p>
    <w:p w14:paraId="30E1F5BF" w14:textId="77777777" w:rsidR="00306706" w:rsidRPr="00306706" w:rsidRDefault="00306706" w:rsidP="00070D2C">
      <w:pPr>
        <w:shd w:val="clear" w:color="auto" w:fill="FFFFFF"/>
        <w:spacing w:after="240" w:line="240" w:lineRule="auto"/>
        <w:jc w:val="both"/>
        <w:rPr>
          <w:rFonts w:eastAsia="Times New Roman" w:cs="Arial"/>
          <w:color w:val="212529"/>
          <w:szCs w:val="24"/>
        </w:rPr>
      </w:pPr>
      <w:proofErr w:type="spellStart"/>
      <w:r w:rsidRPr="00306706">
        <w:rPr>
          <w:rFonts w:eastAsia="Times New Roman" w:cs="Arial"/>
          <w:color w:val="212529"/>
          <w:szCs w:val="24"/>
        </w:rPr>
        <w:t>Marconatto</w:t>
      </w:r>
      <w:proofErr w:type="spellEnd"/>
      <w:r w:rsidRPr="00306706">
        <w:rPr>
          <w:rFonts w:eastAsia="Times New Roman" w:cs="Arial"/>
          <w:color w:val="212529"/>
          <w:szCs w:val="24"/>
        </w:rPr>
        <w:t xml:space="preserve">, D., Pacheco Fernandes Dias, M., Wegner, D., &amp; </w:t>
      </w:r>
      <w:proofErr w:type="spellStart"/>
      <w:r w:rsidRPr="00306706">
        <w:rPr>
          <w:rFonts w:eastAsia="Times New Roman" w:cs="Arial"/>
          <w:color w:val="212529"/>
          <w:szCs w:val="24"/>
        </w:rPr>
        <w:t>Bitencourt</w:t>
      </w:r>
      <w:proofErr w:type="spellEnd"/>
      <w:r w:rsidRPr="00306706">
        <w:rPr>
          <w:rFonts w:eastAsia="Times New Roman" w:cs="Arial"/>
          <w:color w:val="212529"/>
          <w:szCs w:val="24"/>
        </w:rPr>
        <w:t>, C. (2020). The governance of solidarity economy organizations and their impact on community: a configurational approach. International Review of Applied Economics, 34(5), 626-649.</w:t>
      </w:r>
    </w:p>
    <w:p w14:paraId="679D6A90" w14:textId="77777777" w:rsidR="00306706" w:rsidRPr="00306706" w:rsidRDefault="00306706" w:rsidP="00070D2C">
      <w:pPr>
        <w:shd w:val="clear" w:color="auto" w:fill="FFFFFF"/>
        <w:spacing w:after="240" w:line="240" w:lineRule="auto"/>
        <w:jc w:val="both"/>
        <w:rPr>
          <w:rFonts w:eastAsia="Times New Roman" w:cs="Arial"/>
          <w:color w:val="212529"/>
          <w:szCs w:val="24"/>
          <w:lang w:val="pt-BR"/>
        </w:rPr>
      </w:pPr>
      <w:proofErr w:type="spellStart"/>
      <w:r w:rsidRPr="00306706">
        <w:rPr>
          <w:rFonts w:eastAsia="Times New Roman" w:cs="Arial"/>
          <w:color w:val="212529"/>
          <w:szCs w:val="24"/>
        </w:rPr>
        <w:t>Morais</w:t>
      </w:r>
      <w:proofErr w:type="spellEnd"/>
      <w:r w:rsidRPr="00306706">
        <w:rPr>
          <w:rFonts w:eastAsia="Times New Roman" w:cs="Arial"/>
          <w:color w:val="212529"/>
          <w:szCs w:val="24"/>
        </w:rPr>
        <w:t xml:space="preserve">, L. P., &amp; </w:t>
      </w:r>
      <w:proofErr w:type="spellStart"/>
      <w:r w:rsidRPr="00306706">
        <w:rPr>
          <w:rFonts w:eastAsia="Times New Roman" w:cs="Arial"/>
          <w:color w:val="212529"/>
          <w:szCs w:val="24"/>
        </w:rPr>
        <w:t>Bacic</w:t>
      </w:r>
      <w:proofErr w:type="spellEnd"/>
      <w:r w:rsidRPr="00306706">
        <w:rPr>
          <w:rFonts w:eastAsia="Times New Roman" w:cs="Arial"/>
          <w:color w:val="212529"/>
          <w:szCs w:val="24"/>
        </w:rPr>
        <w:t xml:space="preserve">, M. J. (2020). Social and Solidarity Economy and the need for its </w:t>
      </w:r>
      <w:proofErr w:type="spellStart"/>
      <w:r w:rsidRPr="00306706">
        <w:rPr>
          <w:rFonts w:eastAsia="Times New Roman" w:cs="Arial"/>
          <w:color w:val="212529"/>
          <w:szCs w:val="24"/>
        </w:rPr>
        <w:t>entrepreneuring</w:t>
      </w:r>
      <w:proofErr w:type="spellEnd"/>
      <w:r w:rsidRPr="00306706">
        <w:rPr>
          <w:rFonts w:eastAsia="Times New Roman" w:cs="Arial"/>
          <w:color w:val="212529"/>
          <w:szCs w:val="24"/>
        </w:rPr>
        <w:t xml:space="preserve"> ecosystem: current challenges in Brazil. </w:t>
      </w:r>
      <w:r w:rsidRPr="00306706">
        <w:rPr>
          <w:rFonts w:eastAsia="Times New Roman" w:cs="Arial"/>
          <w:color w:val="212529"/>
          <w:szCs w:val="24"/>
          <w:lang w:val="pt-BR"/>
        </w:rPr>
        <w:t>CIRIEC-</w:t>
      </w:r>
      <w:proofErr w:type="spellStart"/>
      <w:r w:rsidRPr="00306706">
        <w:rPr>
          <w:rFonts w:eastAsia="Times New Roman" w:cs="Arial"/>
          <w:color w:val="212529"/>
          <w:szCs w:val="24"/>
          <w:lang w:val="pt-BR"/>
        </w:rPr>
        <w:t>España</w:t>
      </w:r>
      <w:proofErr w:type="spellEnd"/>
      <w:r w:rsidRPr="00306706">
        <w:rPr>
          <w:rFonts w:eastAsia="Times New Roman" w:cs="Arial"/>
          <w:color w:val="212529"/>
          <w:szCs w:val="24"/>
          <w:lang w:val="pt-BR"/>
        </w:rPr>
        <w:t xml:space="preserve">, revista de </w:t>
      </w:r>
      <w:proofErr w:type="spellStart"/>
      <w:r w:rsidRPr="00306706">
        <w:rPr>
          <w:rFonts w:eastAsia="Times New Roman" w:cs="Arial"/>
          <w:color w:val="212529"/>
          <w:szCs w:val="24"/>
          <w:lang w:val="pt-BR"/>
        </w:rPr>
        <w:t>economía</w:t>
      </w:r>
      <w:proofErr w:type="spellEnd"/>
      <w:r w:rsidRPr="00306706">
        <w:rPr>
          <w:rFonts w:eastAsia="Times New Roman" w:cs="Arial"/>
          <w:color w:val="212529"/>
          <w:szCs w:val="24"/>
          <w:lang w:val="pt-BR"/>
        </w:rPr>
        <w:t xml:space="preserve"> pública, social y cooperativa, (98), 5-30.</w:t>
      </w:r>
    </w:p>
    <w:p w14:paraId="1D0E0FC6" w14:textId="77777777" w:rsidR="00306706" w:rsidRPr="00306706" w:rsidRDefault="00306706" w:rsidP="00070D2C">
      <w:pPr>
        <w:shd w:val="clear" w:color="auto" w:fill="FFFFFF"/>
        <w:spacing w:after="240" w:line="240" w:lineRule="auto"/>
        <w:jc w:val="both"/>
        <w:rPr>
          <w:rFonts w:eastAsia="Times New Roman" w:cs="Arial"/>
          <w:color w:val="212529"/>
          <w:szCs w:val="24"/>
        </w:rPr>
      </w:pPr>
      <w:proofErr w:type="spellStart"/>
      <w:r w:rsidRPr="00306706">
        <w:rPr>
          <w:rFonts w:eastAsia="Times New Roman" w:cs="Arial"/>
          <w:color w:val="212529"/>
          <w:szCs w:val="24"/>
          <w:lang w:val="pt-BR"/>
        </w:rPr>
        <w:t>Ndlovu</w:t>
      </w:r>
      <w:proofErr w:type="spellEnd"/>
      <w:r w:rsidRPr="00306706">
        <w:rPr>
          <w:rFonts w:eastAsia="Times New Roman" w:cs="Arial"/>
          <w:color w:val="212529"/>
          <w:szCs w:val="24"/>
          <w:lang w:val="pt-BR"/>
        </w:rPr>
        <w:t xml:space="preserve">, C., &amp; </w:t>
      </w:r>
      <w:proofErr w:type="spellStart"/>
      <w:r w:rsidRPr="00306706">
        <w:rPr>
          <w:rFonts w:eastAsia="Times New Roman" w:cs="Arial"/>
          <w:color w:val="212529"/>
          <w:szCs w:val="24"/>
          <w:lang w:val="pt-BR"/>
        </w:rPr>
        <w:t>Lefera</w:t>
      </w:r>
      <w:proofErr w:type="spellEnd"/>
      <w:r w:rsidRPr="00306706">
        <w:rPr>
          <w:rFonts w:eastAsia="Times New Roman" w:cs="Arial"/>
          <w:color w:val="212529"/>
          <w:szCs w:val="24"/>
          <w:lang w:val="pt-BR"/>
        </w:rPr>
        <w:t xml:space="preserve">, M. (2024). </w:t>
      </w:r>
      <w:r w:rsidRPr="00306706">
        <w:rPr>
          <w:rFonts w:eastAsia="Times New Roman" w:cs="Arial"/>
          <w:color w:val="212529"/>
          <w:szCs w:val="24"/>
        </w:rPr>
        <w:t xml:space="preserve">The contributions of Enactus to South Africa’s Social and Solidarity Economy: A case study of a </w:t>
      </w:r>
      <w:proofErr w:type="gramStart"/>
      <w:r w:rsidRPr="00306706">
        <w:rPr>
          <w:rFonts w:eastAsia="Times New Roman" w:cs="Arial"/>
          <w:color w:val="212529"/>
          <w:szCs w:val="24"/>
        </w:rPr>
        <w:t>University</w:t>
      </w:r>
      <w:proofErr w:type="gramEnd"/>
      <w:r w:rsidRPr="00306706">
        <w:rPr>
          <w:rFonts w:eastAsia="Times New Roman" w:cs="Arial"/>
          <w:color w:val="212529"/>
          <w:szCs w:val="24"/>
        </w:rPr>
        <w:t>. The Southern African Journal of Entrepreneurship and Small Business Management, 16(1), 933.</w:t>
      </w:r>
    </w:p>
    <w:p w14:paraId="3F7FE344" w14:textId="77777777" w:rsidR="00306706" w:rsidRPr="00306706" w:rsidRDefault="00306706" w:rsidP="00070D2C">
      <w:pPr>
        <w:shd w:val="clear" w:color="auto" w:fill="FFFFFF"/>
        <w:spacing w:after="240" w:line="240" w:lineRule="auto"/>
        <w:jc w:val="both"/>
        <w:rPr>
          <w:rFonts w:eastAsia="Times New Roman" w:cs="Arial"/>
          <w:szCs w:val="24"/>
        </w:rPr>
      </w:pPr>
      <w:proofErr w:type="spellStart"/>
      <w:r w:rsidRPr="00306706">
        <w:rPr>
          <w:rFonts w:eastAsia="Times New Roman" w:cs="Arial"/>
          <w:color w:val="000000"/>
          <w:szCs w:val="24"/>
          <w:lang w:val="pt-BR"/>
        </w:rPr>
        <w:t>Setiawan</w:t>
      </w:r>
      <w:proofErr w:type="spellEnd"/>
      <w:r w:rsidRPr="00306706">
        <w:rPr>
          <w:rFonts w:eastAsia="Times New Roman" w:cs="Arial"/>
          <w:color w:val="000000"/>
          <w:szCs w:val="24"/>
          <w:lang w:val="pt-BR"/>
        </w:rPr>
        <w:t xml:space="preserve">, H. H., </w:t>
      </w:r>
      <w:proofErr w:type="spellStart"/>
      <w:r w:rsidRPr="00306706">
        <w:rPr>
          <w:rFonts w:eastAsia="Times New Roman" w:cs="Arial"/>
          <w:color w:val="000000"/>
          <w:szCs w:val="24"/>
          <w:lang w:val="pt-BR"/>
        </w:rPr>
        <w:t>Yuda</w:t>
      </w:r>
      <w:proofErr w:type="spellEnd"/>
      <w:r w:rsidRPr="00306706">
        <w:rPr>
          <w:rFonts w:eastAsia="Times New Roman" w:cs="Arial"/>
          <w:color w:val="000000"/>
          <w:szCs w:val="24"/>
          <w:lang w:val="pt-BR"/>
        </w:rPr>
        <w:t xml:space="preserve">, T. K., </w:t>
      </w:r>
      <w:proofErr w:type="spellStart"/>
      <w:r w:rsidRPr="00306706">
        <w:rPr>
          <w:rFonts w:eastAsia="Times New Roman" w:cs="Arial"/>
          <w:color w:val="000000"/>
          <w:szCs w:val="24"/>
          <w:lang w:val="pt-BR"/>
        </w:rPr>
        <w:t>Susantyo</w:t>
      </w:r>
      <w:proofErr w:type="spellEnd"/>
      <w:r w:rsidRPr="00306706">
        <w:rPr>
          <w:rFonts w:eastAsia="Times New Roman" w:cs="Arial"/>
          <w:color w:val="000000"/>
          <w:szCs w:val="24"/>
          <w:lang w:val="pt-BR"/>
        </w:rPr>
        <w:t xml:space="preserve">, B., </w:t>
      </w:r>
      <w:proofErr w:type="spellStart"/>
      <w:r w:rsidRPr="00306706">
        <w:rPr>
          <w:rFonts w:eastAsia="Times New Roman" w:cs="Arial"/>
          <w:color w:val="000000"/>
          <w:szCs w:val="24"/>
          <w:lang w:val="pt-BR"/>
        </w:rPr>
        <w:t>Sulubere</w:t>
      </w:r>
      <w:proofErr w:type="spellEnd"/>
      <w:r w:rsidRPr="00306706">
        <w:rPr>
          <w:rFonts w:eastAsia="Times New Roman" w:cs="Arial"/>
          <w:color w:val="000000"/>
          <w:szCs w:val="24"/>
          <w:lang w:val="pt-BR"/>
        </w:rPr>
        <w:t xml:space="preserve">, M. B., </w:t>
      </w:r>
      <w:proofErr w:type="spellStart"/>
      <w:r w:rsidRPr="00306706">
        <w:rPr>
          <w:rFonts w:eastAsia="Times New Roman" w:cs="Arial"/>
          <w:color w:val="000000"/>
          <w:szCs w:val="24"/>
          <w:lang w:val="pt-BR"/>
        </w:rPr>
        <w:t>Ganti</w:t>
      </w:r>
      <w:proofErr w:type="spellEnd"/>
      <w:r w:rsidRPr="00306706">
        <w:rPr>
          <w:rFonts w:eastAsia="Times New Roman" w:cs="Arial"/>
          <w:color w:val="000000"/>
          <w:szCs w:val="24"/>
          <w:lang w:val="pt-BR"/>
        </w:rPr>
        <w:t xml:space="preserve">, M., </w:t>
      </w:r>
      <w:proofErr w:type="spellStart"/>
      <w:r w:rsidRPr="00306706">
        <w:rPr>
          <w:rFonts w:eastAsia="Times New Roman" w:cs="Arial"/>
          <w:color w:val="000000"/>
          <w:szCs w:val="24"/>
          <w:lang w:val="pt-BR"/>
        </w:rPr>
        <w:t>Habibullah</w:t>
      </w:r>
      <w:proofErr w:type="spellEnd"/>
      <w:r w:rsidRPr="00306706">
        <w:rPr>
          <w:rFonts w:eastAsia="Times New Roman" w:cs="Arial"/>
          <w:color w:val="000000"/>
          <w:szCs w:val="24"/>
          <w:lang w:val="pt-BR"/>
        </w:rPr>
        <w:t xml:space="preserve">, H., ... </w:t>
      </w:r>
      <w:r w:rsidRPr="00306706">
        <w:rPr>
          <w:rFonts w:eastAsia="Times New Roman" w:cs="Arial"/>
          <w:color w:val="000000"/>
          <w:szCs w:val="24"/>
        </w:rPr>
        <w:t xml:space="preserve">&amp; </w:t>
      </w:r>
      <w:proofErr w:type="spellStart"/>
      <w:r w:rsidRPr="00306706">
        <w:rPr>
          <w:rFonts w:eastAsia="Times New Roman" w:cs="Arial"/>
          <w:color w:val="000000"/>
          <w:szCs w:val="24"/>
        </w:rPr>
        <w:t>Murni</w:t>
      </w:r>
      <w:proofErr w:type="spellEnd"/>
      <w:r w:rsidRPr="00306706">
        <w:rPr>
          <w:rFonts w:eastAsia="Times New Roman" w:cs="Arial"/>
          <w:color w:val="000000"/>
          <w:szCs w:val="24"/>
        </w:rPr>
        <w:t>, R. (2023). Scaling up social entrepreneurship to reduce poverty: Exploring the challenges and opportunities through stakeholder engagement. Frontiers in Sociology, 8, 1131762.</w:t>
      </w:r>
    </w:p>
    <w:p w14:paraId="283E745B" w14:textId="77777777" w:rsidR="00306706" w:rsidRPr="00306706" w:rsidRDefault="00306706" w:rsidP="00070D2C">
      <w:pPr>
        <w:shd w:val="clear" w:color="auto" w:fill="FFFFFF"/>
        <w:spacing w:after="240" w:line="240" w:lineRule="auto"/>
        <w:jc w:val="both"/>
        <w:rPr>
          <w:rFonts w:eastAsia="Times New Roman" w:cs="Arial"/>
          <w:color w:val="212529"/>
          <w:szCs w:val="24"/>
        </w:rPr>
      </w:pPr>
      <w:proofErr w:type="spellStart"/>
      <w:r w:rsidRPr="00306706">
        <w:rPr>
          <w:rFonts w:eastAsia="Times New Roman" w:cs="Arial"/>
          <w:color w:val="212529"/>
          <w:szCs w:val="24"/>
        </w:rPr>
        <w:t>Shyshkova</w:t>
      </w:r>
      <w:proofErr w:type="spellEnd"/>
      <w:r w:rsidRPr="00306706">
        <w:rPr>
          <w:rFonts w:eastAsia="Times New Roman" w:cs="Arial"/>
          <w:color w:val="212529"/>
          <w:szCs w:val="24"/>
        </w:rPr>
        <w:t xml:space="preserve">, N., </w:t>
      </w:r>
      <w:proofErr w:type="spellStart"/>
      <w:r w:rsidRPr="00306706">
        <w:rPr>
          <w:rFonts w:eastAsia="Times New Roman" w:cs="Arial"/>
          <w:color w:val="212529"/>
          <w:szCs w:val="24"/>
        </w:rPr>
        <w:t>Ashcheulova</w:t>
      </w:r>
      <w:proofErr w:type="spellEnd"/>
      <w:r w:rsidRPr="00306706">
        <w:rPr>
          <w:rFonts w:eastAsia="Times New Roman" w:cs="Arial"/>
          <w:color w:val="212529"/>
          <w:szCs w:val="24"/>
        </w:rPr>
        <w:t xml:space="preserve">, O., Kozak, I., Anisimova, L., &amp; </w:t>
      </w:r>
      <w:proofErr w:type="spellStart"/>
      <w:r w:rsidRPr="00306706">
        <w:rPr>
          <w:rFonts w:eastAsia="Times New Roman" w:cs="Arial"/>
          <w:color w:val="212529"/>
          <w:szCs w:val="24"/>
        </w:rPr>
        <w:t>Povoroznyk</w:t>
      </w:r>
      <w:proofErr w:type="spellEnd"/>
      <w:r w:rsidRPr="00306706">
        <w:rPr>
          <w:rFonts w:eastAsia="Times New Roman" w:cs="Arial"/>
          <w:color w:val="212529"/>
          <w:szCs w:val="24"/>
        </w:rPr>
        <w:t>, M. (2022). Evaluation of the Business Model of Introducing High Technology into the Solidarity Economy. International Journal of Economics and Management Systems, 7.</w:t>
      </w:r>
    </w:p>
    <w:p w14:paraId="6064BD4F" w14:textId="6F6B94E6" w:rsidR="00E461A6" w:rsidRPr="00306706" w:rsidRDefault="00306706" w:rsidP="00070D2C">
      <w:pPr>
        <w:spacing w:line="240" w:lineRule="auto"/>
        <w:jc w:val="both"/>
        <w:rPr>
          <w:rFonts w:cs="Arial"/>
          <w:szCs w:val="24"/>
        </w:rPr>
      </w:pPr>
      <w:r w:rsidRPr="00070D2C">
        <w:rPr>
          <w:rFonts w:cs="Arial"/>
          <w:color w:val="222222"/>
          <w:szCs w:val="24"/>
          <w:shd w:val="clear" w:color="auto" w:fill="FFFFFF"/>
          <w:lang w:val="pt-BR"/>
        </w:rPr>
        <w:lastRenderedPageBreak/>
        <w:t xml:space="preserve">Soares, M. D. N. M., Lessa, B. S., Aguiar, I. C., </w:t>
      </w:r>
      <w:proofErr w:type="spellStart"/>
      <w:r w:rsidRPr="00070D2C">
        <w:rPr>
          <w:rFonts w:cs="Arial"/>
          <w:color w:val="222222"/>
          <w:szCs w:val="24"/>
          <w:shd w:val="clear" w:color="auto" w:fill="FFFFFF"/>
          <w:lang w:val="pt-BR"/>
        </w:rPr>
        <w:t>Leocadi</w:t>
      </w:r>
      <w:proofErr w:type="spellEnd"/>
      <w:r w:rsidRPr="00070D2C">
        <w:rPr>
          <w:rFonts w:cs="Arial"/>
          <w:color w:val="222222"/>
          <w:szCs w:val="24"/>
          <w:shd w:val="clear" w:color="auto" w:fill="FFFFFF"/>
          <w:lang w:val="pt-BR"/>
        </w:rPr>
        <w:t xml:space="preserve">, A. L., Dias, S. M., &amp; Rebouças, P. (2016). </w:t>
      </w:r>
      <w:r w:rsidRPr="00306706">
        <w:rPr>
          <w:rFonts w:cs="Arial"/>
          <w:color w:val="222222"/>
          <w:szCs w:val="24"/>
          <w:shd w:val="clear" w:color="auto" w:fill="FFFFFF"/>
        </w:rPr>
        <w:t>Clusters in the Solidarity Economy: the strategy of participating in networks of enterprises in Brazil. </w:t>
      </w:r>
      <w:r w:rsidRPr="00306706">
        <w:rPr>
          <w:rFonts w:cs="Arial"/>
          <w:i/>
          <w:iCs/>
          <w:color w:val="222222"/>
          <w:szCs w:val="24"/>
          <w:shd w:val="clear" w:color="auto" w:fill="FFFFFF"/>
        </w:rPr>
        <w:t>CIRIEC-</w:t>
      </w:r>
      <w:proofErr w:type="spellStart"/>
      <w:r w:rsidRPr="00306706">
        <w:rPr>
          <w:rFonts w:cs="Arial"/>
          <w:i/>
          <w:iCs/>
          <w:color w:val="222222"/>
          <w:szCs w:val="24"/>
          <w:shd w:val="clear" w:color="auto" w:fill="FFFFFF"/>
        </w:rPr>
        <w:t>España</w:t>
      </w:r>
      <w:proofErr w:type="spellEnd"/>
      <w:r w:rsidRPr="00306706">
        <w:rPr>
          <w:rFonts w:cs="Arial"/>
          <w:i/>
          <w:iCs/>
          <w:color w:val="222222"/>
          <w:szCs w:val="24"/>
          <w:shd w:val="clear" w:color="auto" w:fill="FFFFFF"/>
        </w:rPr>
        <w:t xml:space="preserve">, </w:t>
      </w:r>
      <w:proofErr w:type="spellStart"/>
      <w:r w:rsidRPr="00306706">
        <w:rPr>
          <w:rFonts w:cs="Arial"/>
          <w:i/>
          <w:iCs/>
          <w:color w:val="222222"/>
          <w:szCs w:val="24"/>
          <w:shd w:val="clear" w:color="auto" w:fill="FFFFFF"/>
        </w:rPr>
        <w:t>revista</w:t>
      </w:r>
      <w:proofErr w:type="spellEnd"/>
      <w:r w:rsidRPr="00306706">
        <w:rPr>
          <w:rFonts w:cs="Arial"/>
          <w:i/>
          <w:iCs/>
          <w:color w:val="222222"/>
          <w:szCs w:val="24"/>
          <w:shd w:val="clear" w:color="auto" w:fill="FFFFFF"/>
        </w:rPr>
        <w:t xml:space="preserve"> de </w:t>
      </w:r>
      <w:proofErr w:type="spellStart"/>
      <w:r w:rsidRPr="00306706">
        <w:rPr>
          <w:rFonts w:cs="Arial"/>
          <w:i/>
          <w:iCs/>
          <w:color w:val="222222"/>
          <w:szCs w:val="24"/>
          <w:shd w:val="clear" w:color="auto" w:fill="FFFFFF"/>
        </w:rPr>
        <w:t>economía</w:t>
      </w:r>
      <w:proofErr w:type="spellEnd"/>
      <w:r w:rsidRPr="00306706">
        <w:rPr>
          <w:rFonts w:cs="Arial"/>
          <w:i/>
          <w:iCs/>
          <w:color w:val="222222"/>
          <w:szCs w:val="24"/>
          <w:shd w:val="clear" w:color="auto" w:fill="FFFFFF"/>
        </w:rPr>
        <w:t xml:space="preserve"> </w:t>
      </w:r>
      <w:proofErr w:type="spellStart"/>
      <w:r w:rsidRPr="00306706">
        <w:rPr>
          <w:rFonts w:cs="Arial"/>
          <w:i/>
          <w:iCs/>
          <w:color w:val="222222"/>
          <w:szCs w:val="24"/>
          <w:shd w:val="clear" w:color="auto" w:fill="FFFFFF"/>
        </w:rPr>
        <w:t>pública</w:t>
      </w:r>
      <w:proofErr w:type="spellEnd"/>
      <w:r w:rsidRPr="00306706">
        <w:rPr>
          <w:rFonts w:cs="Arial"/>
          <w:i/>
          <w:iCs/>
          <w:color w:val="222222"/>
          <w:szCs w:val="24"/>
          <w:shd w:val="clear" w:color="auto" w:fill="FFFFFF"/>
        </w:rPr>
        <w:t xml:space="preserve">, social y </w:t>
      </w:r>
      <w:proofErr w:type="spellStart"/>
      <w:r w:rsidRPr="00306706">
        <w:rPr>
          <w:rFonts w:cs="Arial"/>
          <w:i/>
          <w:iCs/>
          <w:color w:val="222222"/>
          <w:szCs w:val="24"/>
          <w:shd w:val="clear" w:color="auto" w:fill="FFFFFF"/>
        </w:rPr>
        <w:t>cooperativa</w:t>
      </w:r>
      <w:proofErr w:type="spellEnd"/>
      <w:r w:rsidRPr="00306706">
        <w:rPr>
          <w:rFonts w:cs="Arial"/>
          <w:color w:val="222222"/>
          <w:szCs w:val="24"/>
          <w:shd w:val="clear" w:color="auto" w:fill="FFFFFF"/>
        </w:rPr>
        <w:t>, (86), 34-59.</w:t>
      </w:r>
    </w:p>
    <w:sectPr w:rsidR="00E461A6" w:rsidRPr="00306706" w:rsidSect="005753F9">
      <w:headerReference w:type="default" r:id="rId13"/>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EFD5" w14:textId="77777777" w:rsidR="001635EE" w:rsidRDefault="001635EE" w:rsidP="005753F9">
      <w:pPr>
        <w:spacing w:after="0" w:line="240" w:lineRule="auto"/>
      </w:pPr>
      <w:r>
        <w:separator/>
      </w:r>
    </w:p>
  </w:endnote>
  <w:endnote w:type="continuationSeparator" w:id="0">
    <w:p w14:paraId="54B4CA35" w14:textId="77777777" w:rsidR="001635EE" w:rsidRDefault="001635EE"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E2C7" w14:textId="77777777" w:rsidR="001635EE" w:rsidRDefault="001635EE" w:rsidP="005753F9">
      <w:pPr>
        <w:spacing w:after="0" w:line="240" w:lineRule="auto"/>
      </w:pPr>
      <w:r>
        <w:separator/>
      </w:r>
    </w:p>
  </w:footnote>
  <w:footnote w:type="continuationSeparator" w:id="0">
    <w:p w14:paraId="1358D1B5" w14:textId="77777777" w:rsidR="001635EE" w:rsidRDefault="001635EE"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2B32D8C"/>
    <w:multiLevelType w:val="hybridMultilevel"/>
    <w:tmpl w:val="13E0CB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E400280"/>
    <w:multiLevelType w:val="multilevel"/>
    <w:tmpl w:val="101A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4"/>
  </w:num>
  <w:num w:numId="12">
    <w:abstractNumId w:val="13"/>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D2C"/>
    <w:rsid w:val="0015074B"/>
    <w:rsid w:val="001635EE"/>
    <w:rsid w:val="00181D9C"/>
    <w:rsid w:val="002678D6"/>
    <w:rsid w:val="0029639D"/>
    <w:rsid w:val="002C6613"/>
    <w:rsid w:val="00306706"/>
    <w:rsid w:val="00326F90"/>
    <w:rsid w:val="003B66C3"/>
    <w:rsid w:val="004E7F2D"/>
    <w:rsid w:val="00572D56"/>
    <w:rsid w:val="005753F9"/>
    <w:rsid w:val="006949C4"/>
    <w:rsid w:val="00694CA6"/>
    <w:rsid w:val="008F50BC"/>
    <w:rsid w:val="00AA1D8D"/>
    <w:rsid w:val="00B47730"/>
    <w:rsid w:val="00C72A84"/>
    <w:rsid w:val="00CB0664"/>
    <w:rsid w:val="00D70619"/>
    <w:rsid w:val="00E461A6"/>
    <w:rsid w:val="00EF1451"/>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semiHidden/>
    <w:unhideWhenUsed/>
    <w:rsid w:val="00EF1451"/>
    <w:pPr>
      <w:spacing w:before="100" w:beforeAutospacing="1" w:after="100" w:afterAutospacing="1" w:line="240" w:lineRule="auto"/>
    </w:pPr>
    <w:rPr>
      <w:rFonts w:ascii="Times New Roman" w:eastAsia="Times New Roman" w:hAnsi="Times New Roman" w:cs="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51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D33F9B-C322-45EB-B6D5-9F9EE642DED5}" type="doc">
      <dgm:prSet loTypeId="urn:microsoft.com/office/officeart/2005/8/layout/process5" loCatId="process" qsTypeId="urn:microsoft.com/office/officeart/2005/8/quickstyle/3d4" qsCatId="3D" csTypeId="urn:microsoft.com/office/officeart/2005/8/colors/accent1_2" csCatId="accent1" phldr="1"/>
      <dgm:spPr/>
    </dgm:pt>
    <dgm:pt modelId="{7F7181FE-8A8E-4772-A25B-F087B3CCE691}">
      <dgm:prSet phldrT="[Texto]"/>
      <dgm:spPr>
        <a:xfrm>
          <a:off x="410227" y="1282"/>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Capacitação</a:t>
          </a:r>
        </a:p>
      </dgm:t>
    </dgm:pt>
    <dgm:pt modelId="{0DB82FE9-686A-4F42-8E9E-2530E379C705}" type="parTrans" cxnId="{4AB2C63E-CF18-452E-8338-E4BCB212A002}">
      <dgm:prSet/>
      <dgm:spPr/>
      <dgm:t>
        <a:bodyPr/>
        <a:lstStyle/>
        <a:p>
          <a:pPr algn="ctr"/>
          <a:endParaRPr lang="pt-BR"/>
        </a:p>
      </dgm:t>
    </dgm:pt>
    <dgm:pt modelId="{8F7758A6-91C6-4644-891E-D3E6072420ED}" type="sibTrans" cxnId="{4AB2C63E-CF18-452E-8338-E4BCB212A002}">
      <dgm:prSet/>
      <dgm:spPr>
        <a:xfrm>
          <a:off x="1487990" y="175626"/>
          <a:ext cx="210005" cy="245666"/>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gm:spPr>
      <dgm:t>
        <a:bodyPr/>
        <a:lstStyle/>
        <a:p>
          <a:pPr algn="ctr">
            <a:buNone/>
          </a:pPr>
          <a:endParaRPr lang="pt-BR">
            <a:solidFill>
              <a:sysClr val="window" lastClr="FFFFFF"/>
            </a:solidFill>
            <a:latin typeface="Calibri" panose="020F0502020204030204"/>
            <a:ea typeface="+mn-ea"/>
            <a:cs typeface="+mn-cs"/>
          </a:endParaRPr>
        </a:p>
      </dgm:t>
    </dgm:pt>
    <dgm:pt modelId="{AA6173E1-EE0F-47EB-8E04-BE9BE284B421}">
      <dgm:prSet phldrT="[Texto]"/>
      <dgm:spPr>
        <a:xfrm>
          <a:off x="1797054" y="1282"/>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Precificação</a:t>
          </a:r>
        </a:p>
      </dgm:t>
    </dgm:pt>
    <dgm:pt modelId="{C93E89FB-F6DF-453B-A268-2373196966B2}" type="parTrans" cxnId="{EC8294A6-601D-4CA3-A606-92024B315779}">
      <dgm:prSet/>
      <dgm:spPr/>
      <dgm:t>
        <a:bodyPr/>
        <a:lstStyle/>
        <a:p>
          <a:pPr algn="ctr"/>
          <a:endParaRPr lang="pt-BR"/>
        </a:p>
      </dgm:t>
    </dgm:pt>
    <dgm:pt modelId="{9C3EE20A-2367-49AE-B6F9-66E607D082FC}" type="sibTrans" cxnId="{EC8294A6-601D-4CA3-A606-92024B315779}">
      <dgm:prSet/>
      <dgm:spPr>
        <a:xfrm>
          <a:off x="2874817" y="175626"/>
          <a:ext cx="210005" cy="245666"/>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gm:spPr>
      <dgm:t>
        <a:bodyPr/>
        <a:lstStyle/>
        <a:p>
          <a:pPr algn="ctr">
            <a:buNone/>
          </a:pPr>
          <a:endParaRPr lang="pt-BR">
            <a:solidFill>
              <a:sysClr val="window" lastClr="FFFFFF"/>
            </a:solidFill>
            <a:latin typeface="Calibri" panose="020F0502020204030204"/>
            <a:ea typeface="+mn-ea"/>
            <a:cs typeface="+mn-cs"/>
          </a:endParaRPr>
        </a:p>
      </dgm:t>
    </dgm:pt>
    <dgm:pt modelId="{B9124C28-106A-4685-9360-ADAA3EC9D33D}">
      <dgm:prSet phldrT="[Texto]"/>
      <dgm:spPr>
        <a:xfrm>
          <a:off x="3183881" y="991872"/>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Buscar Políticas Públicas</a:t>
          </a:r>
        </a:p>
      </dgm:t>
    </dgm:pt>
    <dgm:pt modelId="{CD06591A-1956-409B-959C-BE1D85A94FE0}" type="parTrans" cxnId="{63563D53-3F64-4979-914B-DA569419F208}">
      <dgm:prSet/>
      <dgm:spPr/>
      <dgm:t>
        <a:bodyPr/>
        <a:lstStyle/>
        <a:p>
          <a:pPr algn="ctr"/>
          <a:endParaRPr lang="pt-BR"/>
        </a:p>
      </dgm:t>
    </dgm:pt>
    <dgm:pt modelId="{1DDE794B-A06C-4A33-B682-C8FE72443C90}" type="sibTrans" cxnId="{63563D53-3F64-4979-914B-DA569419F208}">
      <dgm:prSet/>
      <dgm:spPr>
        <a:xfrm rot="10800000">
          <a:off x="2886704" y="1166216"/>
          <a:ext cx="210005" cy="245666"/>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gm:spPr>
      <dgm:t>
        <a:bodyPr/>
        <a:lstStyle/>
        <a:p>
          <a:pPr algn="ctr">
            <a:buNone/>
          </a:pPr>
          <a:endParaRPr lang="pt-BR">
            <a:solidFill>
              <a:sysClr val="window" lastClr="FFFFFF"/>
            </a:solidFill>
            <a:latin typeface="Calibri" panose="020F0502020204030204"/>
            <a:ea typeface="+mn-ea"/>
            <a:cs typeface="+mn-cs"/>
          </a:endParaRPr>
        </a:p>
      </dgm:t>
    </dgm:pt>
    <dgm:pt modelId="{FB07DF84-1081-467F-96D9-A555EF9F1152}">
      <dgm:prSet/>
      <dgm:spPr>
        <a:xfrm>
          <a:off x="1797054" y="991872"/>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Supervisão das Universidades</a:t>
          </a:r>
        </a:p>
      </dgm:t>
    </dgm:pt>
    <dgm:pt modelId="{AD2E9BC6-F87D-41E2-90D5-C84FD55A6835}" type="parTrans" cxnId="{19A167C1-59BD-4079-AD9A-4551BB660194}">
      <dgm:prSet/>
      <dgm:spPr/>
      <dgm:t>
        <a:bodyPr/>
        <a:lstStyle/>
        <a:p>
          <a:pPr algn="ctr"/>
          <a:endParaRPr lang="pt-BR"/>
        </a:p>
      </dgm:t>
    </dgm:pt>
    <dgm:pt modelId="{3DFA6B08-0F79-4146-845A-FB96C998F149}" type="sibTrans" cxnId="{19A167C1-59BD-4079-AD9A-4551BB660194}">
      <dgm:prSet/>
      <dgm:spPr>
        <a:xfrm rot="10800000">
          <a:off x="1499877" y="1166216"/>
          <a:ext cx="210005" cy="245666"/>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gm:spPr>
      <dgm:t>
        <a:bodyPr/>
        <a:lstStyle/>
        <a:p>
          <a:pPr algn="ctr">
            <a:buNone/>
          </a:pPr>
          <a:endParaRPr lang="pt-BR">
            <a:solidFill>
              <a:sysClr val="window" lastClr="FFFFFF"/>
            </a:solidFill>
            <a:latin typeface="Calibri" panose="020F0502020204030204"/>
            <a:ea typeface="+mn-ea"/>
            <a:cs typeface="+mn-cs"/>
          </a:endParaRPr>
        </a:p>
      </dgm:t>
    </dgm:pt>
    <dgm:pt modelId="{C8F934FA-DBFB-4C13-B558-63D976DF9D2F}">
      <dgm:prSet/>
      <dgm:spPr>
        <a:xfrm>
          <a:off x="410227" y="991872"/>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Participação em Redes de Apoio</a:t>
          </a:r>
        </a:p>
      </dgm:t>
    </dgm:pt>
    <dgm:pt modelId="{217AD473-B58C-41C2-9311-2A130BC94E0D}" type="parTrans" cxnId="{27A592D2-2A37-4A19-8DB4-FDA8400FBA53}">
      <dgm:prSet/>
      <dgm:spPr/>
      <dgm:t>
        <a:bodyPr/>
        <a:lstStyle/>
        <a:p>
          <a:pPr algn="ctr"/>
          <a:endParaRPr lang="pt-BR"/>
        </a:p>
      </dgm:t>
    </dgm:pt>
    <dgm:pt modelId="{F16F5184-9A1D-4D36-B13F-26D1C1E660D6}" type="sibTrans" cxnId="{27A592D2-2A37-4A19-8DB4-FDA8400FBA53}">
      <dgm:prSet/>
      <dgm:spPr>
        <a:xfrm rot="5400000">
          <a:off x="800520" y="1655568"/>
          <a:ext cx="210005" cy="245666"/>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gm:spPr>
      <dgm:t>
        <a:bodyPr/>
        <a:lstStyle/>
        <a:p>
          <a:pPr algn="ctr">
            <a:buNone/>
          </a:pPr>
          <a:endParaRPr lang="pt-BR">
            <a:solidFill>
              <a:sysClr val="window" lastClr="FFFFFF"/>
            </a:solidFill>
            <a:latin typeface="Calibri" panose="020F0502020204030204"/>
            <a:ea typeface="+mn-ea"/>
            <a:cs typeface="+mn-cs"/>
          </a:endParaRPr>
        </a:p>
      </dgm:t>
    </dgm:pt>
    <dgm:pt modelId="{DA02817A-A091-4D8B-9E8B-E14B7C5EA3D7}">
      <dgm:prSet/>
      <dgm:spPr>
        <a:xfrm>
          <a:off x="410227" y="1982463"/>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Mensuração de Resultados</a:t>
          </a:r>
        </a:p>
      </dgm:t>
    </dgm:pt>
    <dgm:pt modelId="{5260D484-FFB1-4EB7-A640-74440A455D12}" type="parTrans" cxnId="{DCA4A8AA-E92F-4573-A244-8582C9C6906D}">
      <dgm:prSet/>
      <dgm:spPr/>
      <dgm:t>
        <a:bodyPr/>
        <a:lstStyle/>
        <a:p>
          <a:pPr algn="ctr"/>
          <a:endParaRPr lang="pt-BR"/>
        </a:p>
      </dgm:t>
    </dgm:pt>
    <dgm:pt modelId="{3B488BC3-9E21-4570-9B1E-17D6DB987857}" type="sibTrans" cxnId="{DCA4A8AA-E92F-4573-A244-8582C9C6906D}">
      <dgm:prSet/>
      <dgm:spPr/>
      <dgm:t>
        <a:bodyPr/>
        <a:lstStyle/>
        <a:p>
          <a:pPr algn="ctr"/>
          <a:endParaRPr lang="pt-BR"/>
        </a:p>
      </dgm:t>
    </dgm:pt>
    <dgm:pt modelId="{2B8366EA-00F5-4993-A0E3-6B7FA6DCA8CF}">
      <dgm:prSet/>
      <dgm:spPr>
        <a:xfrm>
          <a:off x="3183881" y="1282"/>
          <a:ext cx="990590" cy="59435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buNone/>
          </a:pPr>
          <a:r>
            <a:rPr lang="pt-BR">
              <a:solidFill>
                <a:sysClr val="window" lastClr="FFFFFF"/>
              </a:solidFill>
              <a:latin typeface="Calibri" panose="020F0502020204030204"/>
              <a:ea typeface="+mn-ea"/>
              <a:cs typeface="+mn-cs"/>
            </a:rPr>
            <a:t>Constituição em Empreendimento</a:t>
          </a:r>
        </a:p>
      </dgm:t>
    </dgm:pt>
    <dgm:pt modelId="{6B04B67A-0216-4716-8DAB-A4A8B5EDB845}" type="parTrans" cxnId="{0899C89F-ABAC-4151-A046-1B6181DAFD51}">
      <dgm:prSet/>
      <dgm:spPr/>
      <dgm:t>
        <a:bodyPr/>
        <a:lstStyle/>
        <a:p>
          <a:pPr algn="ctr"/>
          <a:endParaRPr lang="pt-BR"/>
        </a:p>
      </dgm:t>
    </dgm:pt>
    <dgm:pt modelId="{172D1B09-A2A2-4A82-AFF3-DBAF60748653}" type="sibTrans" cxnId="{0899C89F-ABAC-4151-A046-1B6181DAFD51}">
      <dgm:prSet/>
      <dgm:spPr>
        <a:xfrm rot="5400000">
          <a:off x="3574174" y="664977"/>
          <a:ext cx="210005" cy="245666"/>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gm:spPr>
      <dgm:t>
        <a:bodyPr/>
        <a:lstStyle/>
        <a:p>
          <a:pPr algn="ctr">
            <a:buNone/>
          </a:pPr>
          <a:endParaRPr lang="pt-BR">
            <a:solidFill>
              <a:sysClr val="window" lastClr="FFFFFF"/>
            </a:solidFill>
            <a:latin typeface="Calibri" panose="020F0502020204030204"/>
            <a:ea typeface="+mn-ea"/>
            <a:cs typeface="+mn-cs"/>
          </a:endParaRPr>
        </a:p>
      </dgm:t>
    </dgm:pt>
    <dgm:pt modelId="{074C73E5-E2D2-4DFD-AFA4-D48A284B6239}" type="pres">
      <dgm:prSet presAssocID="{57D33F9B-C322-45EB-B6D5-9F9EE642DED5}" presName="diagram" presStyleCnt="0">
        <dgm:presLayoutVars>
          <dgm:dir/>
          <dgm:resizeHandles val="exact"/>
        </dgm:presLayoutVars>
      </dgm:prSet>
      <dgm:spPr/>
    </dgm:pt>
    <dgm:pt modelId="{E4725027-71D4-4EAD-A915-49594D6786DF}" type="pres">
      <dgm:prSet presAssocID="{7F7181FE-8A8E-4772-A25B-F087B3CCE691}" presName="node" presStyleLbl="node1" presStyleIdx="0" presStyleCnt="7">
        <dgm:presLayoutVars>
          <dgm:bulletEnabled val="1"/>
        </dgm:presLayoutVars>
      </dgm:prSet>
      <dgm:spPr/>
    </dgm:pt>
    <dgm:pt modelId="{F5A36B6E-AE86-405E-B373-3BFEECE6D63D}" type="pres">
      <dgm:prSet presAssocID="{8F7758A6-91C6-4644-891E-D3E6072420ED}" presName="sibTrans" presStyleLbl="sibTrans2D1" presStyleIdx="0" presStyleCnt="6"/>
      <dgm:spPr/>
    </dgm:pt>
    <dgm:pt modelId="{93A798CD-5F30-4C9E-BF52-09C390D4B207}" type="pres">
      <dgm:prSet presAssocID="{8F7758A6-91C6-4644-891E-D3E6072420ED}" presName="connectorText" presStyleLbl="sibTrans2D1" presStyleIdx="0" presStyleCnt="6"/>
      <dgm:spPr/>
    </dgm:pt>
    <dgm:pt modelId="{02D77560-1CE4-4AFA-A9C7-3C77DE9B02AB}" type="pres">
      <dgm:prSet presAssocID="{AA6173E1-EE0F-47EB-8E04-BE9BE284B421}" presName="node" presStyleLbl="node1" presStyleIdx="1" presStyleCnt="7">
        <dgm:presLayoutVars>
          <dgm:bulletEnabled val="1"/>
        </dgm:presLayoutVars>
      </dgm:prSet>
      <dgm:spPr/>
    </dgm:pt>
    <dgm:pt modelId="{55427069-E404-4B0D-BBB4-3BFF22E0E7FF}" type="pres">
      <dgm:prSet presAssocID="{9C3EE20A-2367-49AE-B6F9-66E607D082FC}" presName="sibTrans" presStyleLbl="sibTrans2D1" presStyleIdx="1" presStyleCnt="6"/>
      <dgm:spPr/>
    </dgm:pt>
    <dgm:pt modelId="{4F9D5CE1-FFDB-4618-9CBD-BBAE91E8DC8A}" type="pres">
      <dgm:prSet presAssocID="{9C3EE20A-2367-49AE-B6F9-66E607D082FC}" presName="connectorText" presStyleLbl="sibTrans2D1" presStyleIdx="1" presStyleCnt="6"/>
      <dgm:spPr/>
    </dgm:pt>
    <dgm:pt modelId="{536D2C22-ED4B-49E2-AD22-CDB44ECE49FA}" type="pres">
      <dgm:prSet presAssocID="{2B8366EA-00F5-4993-A0E3-6B7FA6DCA8CF}" presName="node" presStyleLbl="node1" presStyleIdx="2" presStyleCnt="7">
        <dgm:presLayoutVars>
          <dgm:bulletEnabled val="1"/>
        </dgm:presLayoutVars>
      </dgm:prSet>
      <dgm:spPr/>
    </dgm:pt>
    <dgm:pt modelId="{1172F4A0-CD45-4776-BAA1-0EA020650DDE}" type="pres">
      <dgm:prSet presAssocID="{172D1B09-A2A2-4A82-AFF3-DBAF60748653}" presName="sibTrans" presStyleLbl="sibTrans2D1" presStyleIdx="2" presStyleCnt="6"/>
      <dgm:spPr/>
    </dgm:pt>
    <dgm:pt modelId="{1F6EE978-C2DF-4D7F-A78B-1EE4A025E645}" type="pres">
      <dgm:prSet presAssocID="{172D1B09-A2A2-4A82-AFF3-DBAF60748653}" presName="connectorText" presStyleLbl="sibTrans2D1" presStyleIdx="2" presStyleCnt="6"/>
      <dgm:spPr/>
    </dgm:pt>
    <dgm:pt modelId="{5B63AD9D-1D3A-4267-99DE-E1AD6992AB21}" type="pres">
      <dgm:prSet presAssocID="{B9124C28-106A-4685-9360-ADAA3EC9D33D}" presName="node" presStyleLbl="node1" presStyleIdx="3" presStyleCnt="7">
        <dgm:presLayoutVars>
          <dgm:bulletEnabled val="1"/>
        </dgm:presLayoutVars>
      </dgm:prSet>
      <dgm:spPr/>
    </dgm:pt>
    <dgm:pt modelId="{391FCEEF-3F38-4075-83C6-21751EF1E01D}" type="pres">
      <dgm:prSet presAssocID="{1DDE794B-A06C-4A33-B682-C8FE72443C90}" presName="sibTrans" presStyleLbl="sibTrans2D1" presStyleIdx="3" presStyleCnt="6"/>
      <dgm:spPr/>
    </dgm:pt>
    <dgm:pt modelId="{422E8EBB-7C2D-47C9-B2A0-13F6108FDCB8}" type="pres">
      <dgm:prSet presAssocID="{1DDE794B-A06C-4A33-B682-C8FE72443C90}" presName="connectorText" presStyleLbl="sibTrans2D1" presStyleIdx="3" presStyleCnt="6"/>
      <dgm:spPr/>
    </dgm:pt>
    <dgm:pt modelId="{097E82BB-673B-4FB5-B258-A1F8D606467E}" type="pres">
      <dgm:prSet presAssocID="{FB07DF84-1081-467F-96D9-A555EF9F1152}" presName="node" presStyleLbl="node1" presStyleIdx="4" presStyleCnt="7">
        <dgm:presLayoutVars>
          <dgm:bulletEnabled val="1"/>
        </dgm:presLayoutVars>
      </dgm:prSet>
      <dgm:spPr/>
    </dgm:pt>
    <dgm:pt modelId="{83A2AE49-1D02-43FE-8D12-BFD8C99AF8B3}" type="pres">
      <dgm:prSet presAssocID="{3DFA6B08-0F79-4146-845A-FB96C998F149}" presName="sibTrans" presStyleLbl="sibTrans2D1" presStyleIdx="4" presStyleCnt="6"/>
      <dgm:spPr/>
    </dgm:pt>
    <dgm:pt modelId="{0C324F7D-37B4-4A76-9334-D518C9E1FEC5}" type="pres">
      <dgm:prSet presAssocID="{3DFA6B08-0F79-4146-845A-FB96C998F149}" presName="connectorText" presStyleLbl="sibTrans2D1" presStyleIdx="4" presStyleCnt="6"/>
      <dgm:spPr/>
    </dgm:pt>
    <dgm:pt modelId="{32E5F3E0-301C-43F5-87C6-0F9E92402AE8}" type="pres">
      <dgm:prSet presAssocID="{C8F934FA-DBFB-4C13-B558-63D976DF9D2F}" presName="node" presStyleLbl="node1" presStyleIdx="5" presStyleCnt="7">
        <dgm:presLayoutVars>
          <dgm:bulletEnabled val="1"/>
        </dgm:presLayoutVars>
      </dgm:prSet>
      <dgm:spPr/>
    </dgm:pt>
    <dgm:pt modelId="{E60A3778-CE77-40BB-8816-7BFBB923814F}" type="pres">
      <dgm:prSet presAssocID="{F16F5184-9A1D-4D36-B13F-26D1C1E660D6}" presName="sibTrans" presStyleLbl="sibTrans2D1" presStyleIdx="5" presStyleCnt="6"/>
      <dgm:spPr/>
    </dgm:pt>
    <dgm:pt modelId="{251B387A-E8C6-4474-876B-31C0B0D1D415}" type="pres">
      <dgm:prSet presAssocID="{F16F5184-9A1D-4D36-B13F-26D1C1E660D6}" presName="connectorText" presStyleLbl="sibTrans2D1" presStyleIdx="5" presStyleCnt="6"/>
      <dgm:spPr/>
    </dgm:pt>
    <dgm:pt modelId="{6FB2B179-99D6-4EEF-8D6A-E6BBD018C7B4}" type="pres">
      <dgm:prSet presAssocID="{DA02817A-A091-4D8B-9E8B-E14B7C5EA3D7}" presName="node" presStyleLbl="node1" presStyleIdx="6" presStyleCnt="7">
        <dgm:presLayoutVars>
          <dgm:bulletEnabled val="1"/>
        </dgm:presLayoutVars>
      </dgm:prSet>
      <dgm:spPr/>
    </dgm:pt>
  </dgm:ptLst>
  <dgm:cxnLst>
    <dgm:cxn modelId="{6496D806-F7BE-44A1-AC8A-B6AA3EF84B6F}" type="presOf" srcId="{9C3EE20A-2367-49AE-B6F9-66E607D082FC}" destId="{55427069-E404-4B0D-BBB4-3BFF22E0E7FF}" srcOrd="0" destOrd="0" presId="urn:microsoft.com/office/officeart/2005/8/layout/process5"/>
    <dgm:cxn modelId="{A518AA13-0C16-451C-A4FD-0733F66E8767}" type="presOf" srcId="{2B8366EA-00F5-4993-A0E3-6B7FA6DCA8CF}" destId="{536D2C22-ED4B-49E2-AD22-CDB44ECE49FA}" srcOrd="0" destOrd="0" presId="urn:microsoft.com/office/officeart/2005/8/layout/process5"/>
    <dgm:cxn modelId="{6EF1BE1C-E35A-478C-86C5-1ADFAAACD220}" type="presOf" srcId="{C8F934FA-DBFB-4C13-B558-63D976DF9D2F}" destId="{32E5F3E0-301C-43F5-87C6-0F9E92402AE8}" srcOrd="0" destOrd="0" presId="urn:microsoft.com/office/officeart/2005/8/layout/process5"/>
    <dgm:cxn modelId="{7D0CF721-AD13-4710-A6B8-B27C0F565242}" type="presOf" srcId="{9C3EE20A-2367-49AE-B6F9-66E607D082FC}" destId="{4F9D5CE1-FFDB-4618-9CBD-BBAE91E8DC8A}" srcOrd="1" destOrd="0" presId="urn:microsoft.com/office/officeart/2005/8/layout/process5"/>
    <dgm:cxn modelId="{65FE8123-D6A2-49A8-A3F9-93AE9C525EF2}" type="presOf" srcId="{F16F5184-9A1D-4D36-B13F-26D1C1E660D6}" destId="{E60A3778-CE77-40BB-8816-7BFBB923814F}" srcOrd="0" destOrd="0" presId="urn:microsoft.com/office/officeart/2005/8/layout/process5"/>
    <dgm:cxn modelId="{44F8FA25-AB3A-4094-B7C7-E1160900B6CB}" type="presOf" srcId="{F16F5184-9A1D-4D36-B13F-26D1C1E660D6}" destId="{251B387A-E8C6-4474-876B-31C0B0D1D415}" srcOrd="1" destOrd="0" presId="urn:microsoft.com/office/officeart/2005/8/layout/process5"/>
    <dgm:cxn modelId="{AE66DA2E-D2ED-47B2-A7A9-2604A3CF23E2}" type="presOf" srcId="{3DFA6B08-0F79-4146-845A-FB96C998F149}" destId="{0C324F7D-37B4-4A76-9334-D518C9E1FEC5}" srcOrd="1" destOrd="0" presId="urn:microsoft.com/office/officeart/2005/8/layout/process5"/>
    <dgm:cxn modelId="{A7CFAC35-5626-4F7C-B05E-DFDFA349B8C1}" type="presOf" srcId="{FB07DF84-1081-467F-96D9-A555EF9F1152}" destId="{097E82BB-673B-4FB5-B258-A1F8D606467E}" srcOrd="0" destOrd="0" presId="urn:microsoft.com/office/officeart/2005/8/layout/process5"/>
    <dgm:cxn modelId="{4AB2C63E-CF18-452E-8338-E4BCB212A002}" srcId="{57D33F9B-C322-45EB-B6D5-9F9EE642DED5}" destId="{7F7181FE-8A8E-4772-A25B-F087B3CCE691}" srcOrd="0" destOrd="0" parTransId="{0DB82FE9-686A-4F42-8E9E-2530E379C705}" sibTransId="{8F7758A6-91C6-4644-891E-D3E6072420ED}"/>
    <dgm:cxn modelId="{1547364B-ABD5-4624-BF60-E909697E2B1F}" type="presOf" srcId="{172D1B09-A2A2-4A82-AFF3-DBAF60748653}" destId="{1172F4A0-CD45-4776-BAA1-0EA020650DDE}" srcOrd="0" destOrd="0" presId="urn:microsoft.com/office/officeart/2005/8/layout/process5"/>
    <dgm:cxn modelId="{95D39A4D-C2B9-4CBB-BB9A-A4924BBAC36E}" type="presOf" srcId="{AA6173E1-EE0F-47EB-8E04-BE9BE284B421}" destId="{02D77560-1CE4-4AFA-A9C7-3C77DE9B02AB}" srcOrd="0" destOrd="0" presId="urn:microsoft.com/office/officeart/2005/8/layout/process5"/>
    <dgm:cxn modelId="{63563D53-3F64-4979-914B-DA569419F208}" srcId="{57D33F9B-C322-45EB-B6D5-9F9EE642DED5}" destId="{B9124C28-106A-4685-9360-ADAA3EC9D33D}" srcOrd="3" destOrd="0" parTransId="{CD06591A-1956-409B-959C-BE1D85A94FE0}" sibTransId="{1DDE794B-A06C-4A33-B682-C8FE72443C90}"/>
    <dgm:cxn modelId="{4CBA2555-0835-4CC6-A033-DD6458F88D38}" type="presOf" srcId="{8F7758A6-91C6-4644-891E-D3E6072420ED}" destId="{F5A36B6E-AE86-405E-B373-3BFEECE6D63D}" srcOrd="0" destOrd="0" presId="urn:microsoft.com/office/officeart/2005/8/layout/process5"/>
    <dgm:cxn modelId="{5FDE218A-1EDB-4773-83F9-D40407C13723}" type="presOf" srcId="{57D33F9B-C322-45EB-B6D5-9F9EE642DED5}" destId="{074C73E5-E2D2-4DFD-AFA4-D48A284B6239}" srcOrd="0" destOrd="0" presId="urn:microsoft.com/office/officeart/2005/8/layout/process5"/>
    <dgm:cxn modelId="{0899C89F-ABAC-4151-A046-1B6181DAFD51}" srcId="{57D33F9B-C322-45EB-B6D5-9F9EE642DED5}" destId="{2B8366EA-00F5-4993-A0E3-6B7FA6DCA8CF}" srcOrd="2" destOrd="0" parTransId="{6B04B67A-0216-4716-8DAB-A4A8B5EDB845}" sibTransId="{172D1B09-A2A2-4A82-AFF3-DBAF60748653}"/>
    <dgm:cxn modelId="{EC8294A6-601D-4CA3-A606-92024B315779}" srcId="{57D33F9B-C322-45EB-B6D5-9F9EE642DED5}" destId="{AA6173E1-EE0F-47EB-8E04-BE9BE284B421}" srcOrd="1" destOrd="0" parTransId="{C93E89FB-F6DF-453B-A268-2373196966B2}" sibTransId="{9C3EE20A-2367-49AE-B6F9-66E607D082FC}"/>
    <dgm:cxn modelId="{DCA4A8AA-E92F-4573-A244-8582C9C6906D}" srcId="{57D33F9B-C322-45EB-B6D5-9F9EE642DED5}" destId="{DA02817A-A091-4D8B-9E8B-E14B7C5EA3D7}" srcOrd="6" destOrd="0" parTransId="{5260D484-FFB1-4EB7-A640-74440A455D12}" sibTransId="{3B488BC3-9E21-4570-9B1E-17D6DB987857}"/>
    <dgm:cxn modelId="{19A167C1-59BD-4079-AD9A-4551BB660194}" srcId="{57D33F9B-C322-45EB-B6D5-9F9EE642DED5}" destId="{FB07DF84-1081-467F-96D9-A555EF9F1152}" srcOrd="4" destOrd="0" parTransId="{AD2E9BC6-F87D-41E2-90D5-C84FD55A6835}" sibTransId="{3DFA6B08-0F79-4146-845A-FB96C998F149}"/>
    <dgm:cxn modelId="{3B84A8C5-EFD5-4232-8E79-D4D8E4659E33}" type="presOf" srcId="{172D1B09-A2A2-4A82-AFF3-DBAF60748653}" destId="{1F6EE978-C2DF-4D7F-A78B-1EE4A025E645}" srcOrd="1" destOrd="0" presId="urn:microsoft.com/office/officeart/2005/8/layout/process5"/>
    <dgm:cxn modelId="{27A592D2-2A37-4A19-8DB4-FDA8400FBA53}" srcId="{57D33F9B-C322-45EB-B6D5-9F9EE642DED5}" destId="{C8F934FA-DBFB-4C13-B558-63D976DF9D2F}" srcOrd="5" destOrd="0" parTransId="{217AD473-B58C-41C2-9311-2A130BC94E0D}" sibTransId="{F16F5184-9A1D-4D36-B13F-26D1C1E660D6}"/>
    <dgm:cxn modelId="{9FA45CD5-61F3-400B-BC20-D60BD981E1B6}" type="presOf" srcId="{1DDE794B-A06C-4A33-B682-C8FE72443C90}" destId="{422E8EBB-7C2D-47C9-B2A0-13F6108FDCB8}" srcOrd="1" destOrd="0" presId="urn:microsoft.com/office/officeart/2005/8/layout/process5"/>
    <dgm:cxn modelId="{E24B4AD5-5FDA-4F93-A9CF-048A84C0E21B}" type="presOf" srcId="{1DDE794B-A06C-4A33-B682-C8FE72443C90}" destId="{391FCEEF-3F38-4075-83C6-21751EF1E01D}" srcOrd="0" destOrd="0" presId="urn:microsoft.com/office/officeart/2005/8/layout/process5"/>
    <dgm:cxn modelId="{AAFD78D5-854B-49F2-8B16-D009D979BCBA}" type="presOf" srcId="{B9124C28-106A-4685-9360-ADAA3EC9D33D}" destId="{5B63AD9D-1D3A-4267-99DE-E1AD6992AB21}" srcOrd="0" destOrd="0" presId="urn:microsoft.com/office/officeart/2005/8/layout/process5"/>
    <dgm:cxn modelId="{D212DAD8-ED82-40E0-8615-209FEC8B7ECE}" type="presOf" srcId="{7F7181FE-8A8E-4772-A25B-F087B3CCE691}" destId="{E4725027-71D4-4EAD-A915-49594D6786DF}" srcOrd="0" destOrd="0" presId="urn:microsoft.com/office/officeart/2005/8/layout/process5"/>
    <dgm:cxn modelId="{057086E0-8E6D-41EB-A805-9B0627BA97EA}" type="presOf" srcId="{8F7758A6-91C6-4644-891E-D3E6072420ED}" destId="{93A798CD-5F30-4C9E-BF52-09C390D4B207}" srcOrd="1" destOrd="0" presId="urn:microsoft.com/office/officeart/2005/8/layout/process5"/>
    <dgm:cxn modelId="{FC10E0E6-7418-4DCA-8C3D-1C63A1CAAC11}" type="presOf" srcId="{3DFA6B08-0F79-4146-845A-FB96C998F149}" destId="{83A2AE49-1D02-43FE-8D12-BFD8C99AF8B3}" srcOrd="0" destOrd="0" presId="urn:microsoft.com/office/officeart/2005/8/layout/process5"/>
    <dgm:cxn modelId="{A7D759E7-D1BB-4120-B559-F37303589463}" type="presOf" srcId="{DA02817A-A091-4D8B-9E8B-E14B7C5EA3D7}" destId="{6FB2B179-99D6-4EEF-8D6A-E6BBD018C7B4}" srcOrd="0" destOrd="0" presId="urn:microsoft.com/office/officeart/2005/8/layout/process5"/>
    <dgm:cxn modelId="{6C631D93-93AB-45B4-BB87-562B58C2AD9F}" type="presParOf" srcId="{074C73E5-E2D2-4DFD-AFA4-D48A284B6239}" destId="{E4725027-71D4-4EAD-A915-49594D6786DF}" srcOrd="0" destOrd="0" presId="urn:microsoft.com/office/officeart/2005/8/layout/process5"/>
    <dgm:cxn modelId="{0C58873D-2919-4E96-888C-68E3C9EDE69D}" type="presParOf" srcId="{074C73E5-E2D2-4DFD-AFA4-D48A284B6239}" destId="{F5A36B6E-AE86-405E-B373-3BFEECE6D63D}" srcOrd="1" destOrd="0" presId="urn:microsoft.com/office/officeart/2005/8/layout/process5"/>
    <dgm:cxn modelId="{CB1B1229-3C20-4B23-885D-69D3D5D683FD}" type="presParOf" srcId="{F5A36B6E-AE86-405E-B373-3BFEECE6D63D}" destId="{93A798CD-5F30-4C9E-BF52-09C390D4B207}" srcOrd="0" destOrd="0" presId="urn:microsoft.com/office/officeart/2005/8/layout/process5"/>
    <dgm:cxn modelId="{F37626F4-9815-4885-92DB-A526D86F3480}" type="presParOf" srcId="{074C73E5-E2D2-4DFD-AFA4-D48A284B6239}" destId="{02D77560-1CE4-4AFA-A9C7-3C77DE9B02AB}" srcOrd="2" destOrd="0" presId="urn:microsoft.com/office/officeart/2005/8/layout/process5"/>
    <dgm:cxn modelId="{D6544617-2E7C-4F17-9F1D-9A3041298FCD}" type="presParOf" srcId="{074C73E5-E2D2-4DFD-AFA4-D48A284B6239}" destId="{55427069-E404-4B0D-BBB4-3BFF22E0E7FF}" srcOrd="3" destOrd="0" presId="urn:microsoft.com/office/officeart/2005/8/layout/process5"/>
    <dgm:cxn modelId="{29010EAD-EC7B-43BF-89E9-82A6C1E12ABE}" type="presParOf" srcId="{55427069-E404-4B0D-BBB4-3BFF22E0E7FF}" destId="{4F9D5CE1-FFDB-4618-9CBD-BBAE91E8DC8A}" srcOrd="0" destOrd="0" presId="urn:microsoft.com/office/officeart/2005/8/layout/process5"/>
    <dgm:cxn modelId="{629FBE40-7D51-49D4-B072-BBD606788328}" type="presParOf" srcId="{074C73E5-E2D2-4DFD-AFA4-D48A284B6239}" destId="{536D2C22-ED4B-49E2-AD22-CDB44ECE49FA}" srcOrd="4" destOrd="0" presId="urn:microsoft.com/office/officeart/2005/8/layout/process5"/>
    <dgm:cxn modelId="{C710B102-6C9B-44BB-B545-9BDC16034B85}" type="presParOf" srcId="{074C73E5-E2D2-4DFD-AFA4-D48A284B6239}" destId="{1172F4A0-CD45-4776-BAA1-0EA020650DDE}" srcOrd="5" destOrd="0" presId="urn:microsoft.com/office/officeart/2005/8/layout/process5"/>
    <dgm:cxn modelId="{E265B829-6FC0-4B16-AA6B-AD9D0C12EE1F}" type="presParOf" srcId="{1172F4A0-CD45-4776-BAA1-0EA020650DDE}" destId="{1F6EE978-C2DF-4D7F-A78B-1EE4A025E645}" srcOrd="0" destOrd="0" presId="urn:microsoft.com/office/officeart/2005/8/layout/process5"/>
    <dgm:cxn modelId="{CE3D715A-8B95-490F-97FF-4C3521C445C2}" type="presParOf" srcId="{074C73E5-E2D2-4DFD-AFA4-D48A284B6239}" destId="{5B63AD9D-1D3A-4267-99DE-E1AD6992AB21}" srcOrd="6" destOrd="0" presId="urn:microsoft.com/office/officeart/2005/8/layout/process5"/>
    <dgm:cxn modelId="{464EC5EE-9F89-4250-A81B-FF0DDF93D7B0}" type="presParOf" srcId="{074C73E5-E2D2-4DFD-AFA4-D48A284B6239}" destId="{391FCEEF-3F38-4075-83C6-21751EF1E01D}" srcOrd="7" destOrd="0" presId="urn:microsoft.com/office/officeart/2005/8/layout/process5"/>
    <dgm:cxn modelId="{D2A555C8-43E6-43D5-87CC-8C7105C52273}" type="presParOf" srcId="{391FCEEF-3F38-4075-83C6-21751EF1E01D}" destId="{422E8EBB-7C2D-47C9-B2A0-13F6108FDCB8}" srcOrd="0" destOrd="0" presId="urn:microsoft.com/office/officeart/2005/8/layout/process5"/>
    <dgm:cxn modelId="{91E4CA51-C4FB-48DD-8667-6895D7F19506}" type="presParOf" srcId="{074C73E5-E2D2-4DFD-AFA4-D48A284B6239}" destId="{097E82BB-673B-4FB5-B258-A1F8D606467E}" srcOrd="8" destOrd="0" presId="urn:microsoft.com/office/officeart/2005/8/layout/process5"/>
    <dgm:cxn modelId="{8053710C-5240-4074-B861-401DC76BC69B}" type="presParOf" srcId="{074C73E5-E2D2-4DFD-AFA4-D48A284B6239}" destId="{83A2AE49-1D02-43FE-8D12-BFD8C99AF8B3}" srcOrd="9" destOrd="0" presId="urn:microsoft.com/office/officeart/2005/8/layout/process5"/>
    <dgm:cxn modelId="{8DC00722-3089-4B9F-A25C-2EEDED8EAFB9}" type="presParOf" srcId="{83A2AE49-1D02-43FE-8D12-BFD8C99AF8B3}" destId="{0C324F7D-37B4-4A76-9334-D518C9E1FEC5}" srcOrd="0" destOrd="0" presId="urn:microsoft.com/office/officeart/2005/8/layout/process5"/>
    <dgm:cxn modelId="{BDA6D0E6-AD0E-429C-970B-D0022D6B2926}" type="presParOf" srcId="{074C73E5-E2D2-4DFD-AFA4-D48A284B6239}" destId="{32E5F3E0-301C-43F5-87C6-0F9E92402AE8}" srcOrd="10" destOrd="0" presId="urn:microsoft.com/office/officeart/2005/8/layout/process5"/>
    <dgm:cxn modelId="{2B96C541-09FE-4501-A573-046487BF4657}" type="presParOf" srcId="{074C73E5-E2D2-4DFD-AFA4-D48A284B6239}" destId="{E60A3778-CE77-40BB-8816-7BFBB923814F}" srcOrd="11" destOrd="0" presId="urn:microsoft.com/office/officeart/2005/8/layout/process5"/>
    <dgm:cxn modelId="{9FC78AB8-0DFD-4983-B6CF-9C7382F7FFFD}" type="presParOf" srcId="{E60A3778-CE77-40BB-8816-7BFBB923814F}" destId="{251B387A-E8C6-4474-876B-31C0B0D1D415}" srcOrd="0" destOrd="0" presId="urn:microsoft.com/office/officeart/2005/8/layout/process5"/>
    <dgm:cxn modelId="{C3F58533-4937-401D-8E25-64F21C390A60}" type="presParOf" srcId="{074C73E5-E2D2-4DFD-AFA4-D48A284B6239}" destId="{6FB2B179-99D6-4EEF-8D6A-E6BBD018C7B4}" srcOrd="12"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725027-71D4-4EAD-A915-49594D6786DF}">
      <dsp:nvSpPr>
        <dsp:cNvPr id="0" name=""/>
        <dsp:cNvSpPr/>
      </dsp:nvSpPr>
      <dsp:spPr>
        <a:xfrm>
          <a:off x="296019" y="208"/>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Capacitação</a:t>
          </a:r>
        </a:p>
      </dsp:txBody>
      <dsp:txXfrm>
        <a:off x="309506" y="13695"/>
        <a:ext cx="740483" cy="433500"/>
      </dsp:txXfrm>
    </dsp:sp>
    <dsp:sp modelId="{F5A36B6E-AE86-405E-B373-3BFEECE6D63D}">
      <dsp:nvSpPr>
        <dsp:cNvPr id="0" name=""/>
        <dsp:cNvSpPr/>
      </dsp:nvSpPr>
      <dsp:spPr>
        <a:xfrm>
          <a:off x="1131012" y="135280"/>
          <a:ext cx="162700" cy="190329"/>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pt-BR" sz="600" kern="1200">
            <a:solidFill>
              <a:sysClr val="window" lastClr="FFFFFF"/>
            </a:solidFill>
            <a:latin typeface="Calibri" panose="020F0502020204030204"/>
            <a:ea typeface="+mn-ea"/>
            <a:cs typeface="+mn-cs"/>
          </a:endParaRPr>
        </a:p>
      </dsp:txBody>
      <dsp:txXfrm>
        <a:off x="1131012" y="173346"/>
        <a:ext cx="113890" cy="114197"/>
      </dsp:txXfrm>
    </dsp:sp>
    <dsp:sp modelId="{02D77560-1CE4-4AFA-A9C7-3C77DE9B02AB}">
      <dsp:nvSpPr>
        <dsp:cNvPr id="0" name=""/>
        <dsp:cNvSpPr/>
      </dsp:nvSpPr>
      <dsp:spPr>
        <a:xfrm>
          <a:off x="1370458" y="208"/>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Precificação</a:t>
          </a:r>
        </a:p>
      </dsp:txBody>
      <dsp:txXfrm>
        <a:off x="1383945" y="13695"/>
        <a:ext cx="740483" cy="433500"/>
      </dsp:txXfrm>
    </dsp:sp>
    <dsp:sp modelId="{55427069-E404-4B0D-BBB4-3BFF22E0E7FF}">
      <dsp:nvSpPr>
        <dsp:cNvPr id="0" name=""/>
        <dsp:cNvSpPr/>
      </dsp:nvSpPr>
      <dsp:spPr>
        <a:xfrm>
          <a:off x="2205452" y="135280"/>
          <a:ext cx="162700" cy="190329"/>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pt-BR" sz="600" kern="1200">
            <a:solidFill>
              <a:sysClr val="window" lastClr="FFFFFF"/>
            </a:solidFill>
            <a:latin typeface="Calibri" panose="020F0502020204030204"/>
            <a:ea typeface="+mn-ea"/>
            <a:cs typeface="+mn-cs"/>
          </a:endParaRPr>
        </a:p>
      </dsp:txBody>
      <dsp:txXfrm>
        <a:off x="2205452" y="173346"/>
        <a:ext cx="113890" cy="114197"/>
      </dsp:txXfrm>
    </dsp:sp>
    <dsp:sp modelId="{536D2C22-ED4B-49E2-AD22-CDB44ECE49FA}">
      <dsp:nvSpPr>
        <dsp:cNvPr id="0" name=""/>
        <dsp:cNvSpPr/>
      </dsp:nvSpPr>
      <dsp:spPr>
        <a:xfrm>
          <a:off x="2444898" y="208"/>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Constituição em Empreendimento</a:t>
          </a:r>
        </a:p>
      </dsp:txBody>
      <dsp:txXfrm>
        <a:off x="2458385" y="13695"/>
        <a:ext cx="740483" cy="433500"/>
      </dsp:txXfrm>
    </dsp:sp>
    <dsp:sp modelId="{1172F4A0-CD45-4776-BAA1-0EA020650DDE}">
      <dsp:nvSpPr>
        <dsp:cNvPr id="0" name=""/>
        <dsp:cNvSpPr/>
      </dsp:nvSpPr>
      <dsp:spPr>
        <a:xfrm rot="5400000">
          <a:off x="2747276" y="514404"/>
          <a:ext cx="162700" cy="190329"/>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pt-BR" sz="600" kern="1200">
            <a:solidFill>
              <a:sysClr val="window" lastClr="FFFFFF"/>
            </a:solidFill>
            <a:latin typeface="Calibri" panose="020F0502020204030204"/>
            <a:ea typeface="+mn-ea"/>
            <a:cs typeface="+mn-cs"/>
          </a:endParaRPr>
        </a:p>
      </dsp:txBody>
      <dsp:txXfrm rot="-5400000">
        <a:off x="2771528" y="528218"/>
        <a:ext cx="114197" cy="113890"/>
      </dsp:txXfrm>
    </dsp:sp>
    <dsp:sp modelId="{5B63AD9D-1D3A-4267-99DE-E1AD6992AB21}">
      <dsp:nvSpPr>
        <dsp:cNvPr id="0" name=""/>
        <dsp:cNvSpPr/>
      </dsp:nvSpPr>
      <dsp:spPr>
        <a:xfrm>
          <a:off x="2444898" y="767665"/>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Buscar Políticas Públicas</a:t>
          </a:r>
        </a:p>
      </dsp:txBody>
      <dsp:txXfrm>
        <a:off x="2458385" y="781152"/>
        <a:ext cx="740483" cy="433500"/>
      </dsp:txXfrm>
    </dsp:sp>
    <dsp:sp modelId="{391FCEEF-3F38-4075-83C6-21751EF1E01D}">
      <dsp:nvSpPr>
        <dsp:cNvPr id="0" name=""/>
        <dsp:cNvSpPr/>
      </dsp:nvSpPr>
      <dsp:spPr>
        <a:xfrm rot="10800000">
          <a:off x="2214661" y="902737"/>
          <a:ext cx="162700" cy="190329"/>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pt-BR" sz="600" kern="1200">
            <a:solidFill>
              <a:sysClr val="window" lastClr="FFFFFF"/>
            </a:solidFill>
            <a:latin typeface="Calibri" panose="020F0502020204030204"/>
            <a:ea typeface="+mn-ea"/>
            <a:cs typeface="+mn-cs"/>
          </a:endParaRPr>
        </a:p>
      </dsp:txBody>
      <dsp:txXfrm rot="10800000">
        <a:off x="2263471" y="940803"/>
        <a:ext cx="113890" cy="114197"/>
      </dsp:txXfrm>
    </dsp:sp>
    <dsp:sp modelId="{097E82BB-673B-4FB5-B258-A1F8D606467E}">
      <dsp:nvSpPr>
        <dsp:cNvPr id="0" name=""/>
        <dsp:cNvSpPr/>
      </dsp:nvSpPr>
      <dsp:spPr>
        <a:xfrm>
          <a:off x="1370458" y="767665"/>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Supervisão das Universidades</a:t>
          </a:r>
        </a:p>
      </dsp:txBody>
      <dsp:txXfrm>
        <a:off x="1383945" y="781152"/>
        <a:ext cx="740483" cy="433500"/>
      </dsp:txXfrm>
    </dsp:sp>
    <dsp:sp modelId="{83A2AE49-1D02-43FE-8D12-BFD8C99AF8B3}">
      <dsp:nvSpPr>
        <dsp:cNvPr id="0" name=""/>
        <dsp:cNvSpPr/>
      </dsp:nvSpPr>
      <dsp:spPr>
        <a:xfrm rot="10800000">
          <a:off x="1140221" y="902737"/>
          <a:ext cx="162700" cy="190329"/>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pt-BR" sz="600" kern="1200">
            <a:solidFill>
              <a:sysClr val="window" lastClr="FFFFFF"/>
            </a:solidFill>
            <a:latin typeface="Calibri" panose="020F0502020204030204"/>
            <a:ea typeface="+mn-ea"/>
            <a:cs typeface="+mn-cs"/>
          </a:endParaRPr>
        </a:p>
      </dsp:txBody>
      <dsp:txXfrm rot="10800000">
        <a:off x="1189031" y="940803"/>
        <a:ext cx="113890" cy="114197"/>
      </dsp:txXfrm>
    </dsp:sp>
    <dsp:sp modelId="{32E5F3E0-301C-43F5-87C6-0F9E92402AE8}">
      <dsp:nvSpPr>
        <dsp:cNvPr id="0" name=""/>
        <dsp:cNvSpPr/>
      </dsp:nvSpPr>
      <dsp:spPr>
        <a:xfrm>
          <a:off x="296019" y="767665"/>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Participação em Redes de Apoio</a:t>
          </a:r>
        </a:p>
      </dsp:txBody>
      <dsp:txXfrm>
        <a:off x="309506" y="781152"/>
        <a:ext cx="740483" cy="433500"/>
      </dsp:txXfrm>
    </dsp:sp>
    <dsp:sp modelId="{E60A3778-CE77-40BB-8816-7BFBB923814F}">
      <dsp:nvSpPr>
        <dsp:cNvPr id="0" name=""/>
        <dsp:cNvSpPr/>
      </dsp:nvSpPr>
      <dsp:spPr>
        <a:xfrm rot="5400000">
          <a:off x="598397" y="1281861"/>
          <a:ext cx="162700" cy="190329"/>
        </a:xfrm>
        <a:prstGeom prst="rightArrow">
          <a:avLst>
            <a:gd name="adj1" fmla="val 60000"/>
            <a:gd name="adj2" fmla="val 50000"/>
          </a:avLst>
        </a:prstGeom>
        <a:solidFill>
          <a:srgbClr val="4472C4">
            <a:tint val="60000"/>
            <a:hueOff val="0"/>
            <a:satOff val="0"/>
            <a:lumOff val="0"/>
            <a:alphaOff val="0"/>
          </a:srgb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pt-BR" sz="600" kern="1200">
            <a:solidFill>
              <a:sysClr val="window" lastClr="FFFFFF"/>
            </a:solidFill>
            <a:latin typeface="Calibri" panose="020F0502020204030204"/>
            <a:ea typeface="+mn-ea"/>
            <a:cs typeface="+mn-cs"/>
          </a:endParaRPr>
        </a:p>
      </dsp:txBody>
      <dsp:txXfrm rot="-5400000">
        <a:off x="622649" y="1295675"/>
        <a:ext cx="114197" cy="113890"/>
      </dsp:txXfrm>
    </dsp:sp>
    <dsp:sp modelId="{6FB2B179-99D6-4EEF-8D6A-E6BBD018C7B4}">
      <dsp:nvSpPr>
        <dsp:cNvPr id="0" name=""/>
        <dsp:cNvSpPr/>
      </dsp:nvSpPr>
      <dsp:spPr>
        <a:xfrm>
          <a:off x="296019" y="1535122"/>
          <a:ext cx="767457" cy="460474"/>
        </a:xfrm>
        <a:prstGeom prst="roundRect">
          <a:avLst>
            <a:gd name="adj" fmla="val 10000"/>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kern="1200">
              <a:solidFill>
                <a:sysClr val="window" lastClr="FFFFFF"/>
              </a:solidFill>
              <a:latin typeface="Calibri" panose="020F0502020204030204"/>
              <a:ea typeface="+mn-ea"/>
              <a:cs typeface="+mn-cs"/>
            </a:rPr>
            <a:t>Mensuração de Resultados</a:t>
          </a:r>
        </a:p>
      </dsp:txBody>
      <dsp:txXfrm>
        <a:off x="309506" y="1548609"/>
        <a:ext cx="740483" cy="4335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4827</Words>
  <Characters>26071</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Antonio Vitor Santos</cp:lastModifiedBy>
  <cp:revision>3</cp:revision>
  <cp:lastPrinted>2025-05-08T18:58:00Z</cp:lastPrinted>
  <dcterms:created xsi:type="dcterms:W3CDTF">2025-09-14T14:14:00Z</dcterms:created>
  <dcterms:modified xsi:type="dcterms:W3CDTF">2025-09-14T14:15:00Z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