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EAF" w:rsidRPr="00632AF2" w:rsidRDefault="00632AF2" w:rsidP="00632AF2">
      <w:pPr>
        <w:pStyle w:val="Ttulo2"/>
        <w:spacing w:before="0" w:after="0"/>
        <w:jc w:val="center"/>
        <w:rPr>
          <w:rFonts w:ascii="Times New Roman" w:hAnsi="Times New Roman"/>
          <w:i w:val="0"/>
          <w:sz w:val="24"/>
          <w:szCs w:val="24"/>
        </w:rPr>
      </w:pPr>
      <w:r w:rsidRPr="00632AF2">
        <w:rPr>
          <w:rFonts w:ascii="Times New Roman" w:hAnsi="Times New Roman"/>
          <w:i w:val="0"/>
          <w:sz w:val="24"/>
          <w:szCs w:val="24"/>
        </w:rPr>
        <w:t xml:space="preserve">LOGÍSTICA REVERSA: ANÁLISE VIABILIDADE DA COLETA E A RESTITUIÇÃO DE </w:t>
      </w:r>
      <w:hyperlink r:id="rId8" w:history="1">
        <w:r w:rsidRPr="00632AF2">
          <w:rPr>
            <w:rFonts w:ascii="Times New Roman" w:hAnsi="Times New Roman"/>
            <w:i w:val="0"/>
            <w:sz w:val="24"/>
            <w:szCs w:val="24"/>
          </w:rPr>
          <w:t xml:space="preserve">ÓLEO LUBRIFICANTE USADO OU CONTAMINADO. </w:t>
        </w:r>
      </w:hyperlink>
    </w:p>
    <w:p w:rsidR="00BC5AB8" w:rsidRDefault="00BC5AB8" w:rsidP="00800B44"/>
    <w:p w:rsidR="00BC7259" w:rsidRDefault="00BC7259" w:rsidP="00BC7259">
      <w:pPr>
        <w:spacing w:after="0" w:line="0" w:lineRule="atLeast"/>
        <w:ind w:right="20"/>
        <w:jc w:val="right"/>
        <w:rPr>
          <w:rFonts w:eastAsia="Times New Roman" w:cs="Arial"/>
          <w:b/>
          <w:lang w:eastAsia="pt-BR"/>
        </w:rPr>
      </w:pPr>
      <w:r>
        <w:t xml:space="preserve"> </w:t>
      </w:r>
      <w:r>
        <w:rPr>
          <w:rFonts w:eastAsia="Times New Roman" w:cs="Arial"/>
          <w:b/>
          <w:lang w:eastAsia="pt-BR"/>
        </w:rPr>
        <w:t xml:space="preserve">Gabriel </w:t>
      </w:r>
      <w:proofErr w:type="spellStart"/>
      <w:r>
        <w:rPr>
          <w:rFonts w:eastAsia="Times New Roman" w:cs="Arial"/>
          <w:b/>
          <w:lang w:eastAsia="pt-BR"/>
        </w:rPr>
        <w:t>Cappello</w:t>
      </w:r>
      <w:proofErr w:type="spellEnd"/>
      <w:r>
        <w:rPr>
          <w:rFonts w:eastAsia="Times New Roman" w:cs="Arial"/>
          <w:b/>
          <w:lang w:eastAsia="pt-BR"/>
        </w:rPr>
        <w:t xml:space="preserve"> Machado </w:t>
      </w:r>
      <w:r>
        <w:rPr>
          <w:rFonts w:eastAsia="Times New Roman" w:cs="Arial"/>
          <w:lang w:eastAsia="pt-BR"/>
        </w:rPr>
        <w:t>(Universidade Presbiteriana Mackenzie – SP)</w:t>
      </w:r>
    </w:p>
    <w:p w:rsidR="00BC7259" w:rsidRPr="00524800" w:rsidRDefault="00DA219C" w:rsidP="00BC7259">
      <w:pPr>
        <w:spacing w:after="0" w:line="235" w:lineRule="auto"/>
        <w:ind w:right="80"/>
        <w:jc w:val="right"/>
        <w:rPr>
          <w:rFonts w:eastAsia="Times New Roman" w:cs="Arial"/>
          <w:lang w:eastAsia="pt-BR"/>
        </w:rPr>
      </w:pPr>
      <w:hyperlink r:id="rId9" w:history="1">
        <w:r w:rsidRPr="00D773E3">
          <w:rPr>
            <w:rStyle w:val="Hyperlink"/>
            <w:rFonts w:eastAsia="Times New Roman" w:cs="Arial"/>
            <w:lang w:eastAsia="pt-BR"/>
          </w:rPr>
          <w:t>hwcgligoco@gmail.com</w:t>
        </w:r>
      </w:hyperlink>
      <w:r>
        <w:rPr>
          <w:rFonts w:eastAsia="Times New Roman" w:cs="Arial"/>
          <w:lang w:eastAsia="pt-BR"/>
        </w:rPr>
        <w:t xml:space="preserve"> </w:t>
      </w:r>
    </w:p>
    <w:p w:rsidR="00BC7259" w:rsidRDefault="00BC7259" w:rsidP="00BC7259">
      <w:pPr>
        <w:spacing w:after="0" w:line="0" w:lineRule="atLeast"/>
        <w:ind w:right="20"/>
        <w:jc w:val="right"/>
        <w:rPr>
          <w:rFonts w:eastAsia="Times New Roman" w:cs="Arial"/>
          <w:b/>
          <w:lang w:eastAsia="pt-BR"/>
        </w:rPr>
      </w:pPr>
      <w:r w:rsidRPr="00524800">
        <w:rPr>
          <w:rFonts w:eastAsia="Times New Roman" w:cs="Arial"/>
          <w:b/>
          <w:lang w:eastAsia="pt-BR"/>
        </w:rPr>
        <w:t xml:space="preserve">Pedro </w:t>
      </w:r>
      <w:r>
        <w:rPr>
          <w:rFonts w:eastAsia="Times New Roman" w:cs="Arial"/>
          <w:b/>
          <w:lang w:eastAsia="pt-BR"/>
        </w:rPr>
        <w:t>Pereira Feres</w:t>
      </w:r>
      <w:r w:rsidRPr="00524800">
        <w:rPr>
          <w:rFonts w:eastAsia="Times New Roman" w:cs="Arial"/>
          <w:b/>
          <w:lang w:eastAsia="pt-BR"/>
        </w:rPr>
        <w:t xml:space="preserve"> </w:t>
      </w:r>
      <w:r>
        <w:rPr>
          <w:rFonts w:eastAsia="Times New Roman" w:cs="Arial"/>
          <w:lang w:eastAsia="pt-BR"/>
        </w:rPr>
        <w:t>(Universidade Presbiteriana Mackenzie – SP)</w:t>
      </w:r>
    </w:p>
    <w:p w:rsidR="00BC7259" w:rsidRDefault="00BC7259" w:rsidP="00BC7259">
      <w:pPr>
        <w:spacing w:after="0" w:line="235" w:lineRule="auto"/>
        <w:ind w:right="80"/>
        <w:jc w:val="right"/>
        <w:rPr>
          <w:rFonts w:eastAsia="Times New Roman" w:cs="Arial"/>
          <w:lang w:eastAsia="pt-BR"/>
        </w:rPr>
      </w:pPr>
      <w:hyperlink r:id="rId10" w:history="1">
        <w:r w:rsidRPr="00D773E3">
          <w:rPr>
            <w:rStyle w:val="Hyperlink"/>
            <w:rFonts w:eastAsia="Times New Roman" w:cs="Arial"/>
            <w:lang w:eastAsia="pt-BR"/>
          </w:rPr>
          <w:t>pedropferes@gmail.com</w:t>
        </w:r>
      </w:hyperlink>
    </w:p>
    <w:p w:rsidR="00BC7259" w:rsidRPr="00DA219C" w:rsidRDefault="00BC7259" w:rsidP="00BC7259">
      <w:pPr>
        <w:spacing w:after="0" w:line="235" w:lineRule="auto"/>
        <w:ind w:right="80"/>
        <w:jc w:val="right"/>
        <w:rPr>
          <w:rFonts w:eastAsia="Times New Roman" w:cs="Arial"/>
          <w:lang w:eastAsia="pt-BR"/>
        </w:rPr>
      </w:pPr>
      <w:r w:rsidRPr="00BC7259">
        <w:rPr>
          <w:rFonts w:eastAsia="Times New Roman" w:cs="Arial"/>
          <w:b/>
          <w:lang w:eastAsia="pt-BR"/>
        </w:rPr>
        <w:t>Max Filipe Silva Gonçalves</w:t>
      </w:r>
      <w:r>
        <w:rPr>
          <w:rFonts w:eastAsia="Times New Roman" w:cs="Arial"/>
          <w:lang w:eastAsia="pt-BR"/>
        </w:rPr>
        <w:t xml:space="preserve"> (Universidade Presbiteriana Mackenzie – SP)</w:t>
      </w:r>
      <w:bookmarkStart w:id="0" w:name="_GoBack"/>
      <w:bookmarkEnd w:id="0"/>
    </w:p>
    <w:p w:rsidR="00BC7259" w:rsidRDefault="00BC7259" w:rsidP="00BC7259">
      <w:pPr>
        <w:spacing w:after="0" w:line="200" w:lineRule="exact"/>
        <w:jc w:val="right"/>
        <w:rPr>
          <w:rFonts w:eastAsia="Times New Roman" w:cs="Arial"/>
          <w:b/>
          <w:lang w:eastAsia="pt-BR"/>
        </w:rPr>
      </w:pPr>
      <w:r w:rsidRPr="00DA219C">
        <w:rPr>
          <w:rFonts w:eastAsia="Times New Roman" w:cs="Arial"/>
          <w:lang w:eastAsia="pt-BR"/>
        </w:rPr>
        <w:fldChar w:fldCharType="begin"/>
      </w:r>
      <w:r w:rsidRPr="00DA219C">
        <w:rPr>
          <w:rFonts w:eastAsia="Times New Roman" w:cs="Arial"/>
          <w:lang w:eastAsia="pt-BR"/>
        </w:rPr>
        <w:instrText xml:space="preserve"> HYPERLINK "mailto:max.goncalves@mackenzie.br" </w:instrText>
      </w:r>
      <w:r w:rsidRPr="00DA219C">
        <w:rPr>
          <w:rFonts w:eastAsia="Times New Roman" w:cs="Arial"/>
          <w:lang w:eastAsia="pt-BR"/>
        </w:rPr>
        <w:fldChar w:fldCharType="separate"/>
      </w:r>
      <w:r w:rsidRPr="00DA219C">
        <w:rPr>
          <w:rStyle w:val="Hyperlink"/>
          <w:rFonts w:eastAsia="Times New Roman" w:cs="Arial"/>
          <w:lang w:eastAsia="pt-BR"/>
        </w:rPr>
        <w:t>max.goncalves@mackenzie.br</w:t>
      </w:r>
      <w:r w:rsidRPr="00DA219C">
        <w:rPr>
          <w:rFonts w:eastAsia="Times New Roman" w:cs="Arial"/>
          <w:lang w:eastAsia="pt-BR"/>
        </w:rPr>
        <w:fldChar w:fldCharType="end"/>
      </w:r>
      <w:r>
        <w:rPr>
          <w:rFonts w:eastAsia="Times New Roman" w:cs="Arial"/>
          <w:b/>
          <w:lang w:eastAsia="pt-BR"/>
        </w:rPr>
        <w:t xml:space="preserve"> </w:t>
      </w:r>
    </w:p>
    <w:p w:rsidR="00BC7259" w:rsidRDefault="00BC7259" w:rsidP="00800B44"/>
    <w:p w:rsidR="006F4E82" w:rsidRPr="006F4E82" w:rsidRDefault="00050E48" w:rsidP="006F4E82">
      <w:r w:rsidRPr="00BC5AB8">
        <w:rPr>
          <w:b/>
        </w:rPr>
        <w:t>Resumo</w:t>
      </w:r>
      <w:r>
        <w:t>:</w:t>
      </w:r>
      <w:r w:rsidR="006F4E82">
        <w:t xml:space="preserve"> </w:t>
      </w:r>
      <w:r w:rsidR="006F4E82" w:rsidRPr="006F4E82">
        <w:t xml:space="preserve">A logística tem como função criar e manter processos de armazenagem e distribuição tanto interna como externa de matérias primas e produtos. Dentro da logística, destaca-se a área de logística reversa, que trata de todas as operações voltadas à recuperação e reutilização de produtos e matérias que já terminaram sua vida útil no mercado, garantindo assim sua reintegração ao processo produtivo, reduzindo custos e resíduos. Este artigo tem como objetivo fazer uma análise sucinta do cenário atual de recolhimento dos óleos lubrificantes usados e contaminados (OLUC), focando na relação entre o baixo número de estações coletoras e a atual legislação brasileira quanto a caracterização e exigências para se tornar um coletor de OLUC. Conclui-se que a atual legislação brasileira incentiva as empresas produtoras e importadoras de óleos acabados a manterem o atual nível de recolhimento de óleos usados e contaminados por comodidade. </w:t>
      </w:r>
    </w:p>
    <w:p w:rsidR="007A0EAF" w:rsidRDefault="007A0EAF" w:rsidP="00800B44">
      <w:r w:rsidRPr="007A0EAF">
        <w:rPr>
          <w:b/>
        </w:rPr>
        <w:t>Palavras-chave</w:t>
      </w:r>
      <w:r>
        <w:t xml:space="preserve">: </w:t>
      </w:r>
      <w:r w:rsidR="006F4E82">
        <w:t xml:space="preserve">logística reversa, resíduo, </w:t>
      </w:r>
      <w:r w:rsidR="00E1195B">
        <w:t>óleo lubrificante</w:t>
      </w:r>
    </w:p>
    <w:p w:rsidR="00800B44" w:rsidRDefault="00800B44" w:rsidP="00B204EB">
      <w:pPr>
        <w:pStyle w:val="Ttulo2"/>
        <w:spacing w:before="0" w:after="0"/>
        <w:rPr>
          <w:rFonts w:ascii="Times New Roman" w:hAnsi="Times New Roman"/>
          <w:i w:val="0"/>
          <w:sz w:val="24"/>
          <w:szCs w:val="24"/>
        </w:rPr>
      </w:pPr>
    </w:p>
    <w:p w:rsidR="003C0B49" w:rsidRDefault="00800B44" w:rsidP="00800B44">
      <w:pPr>
        <w:pStyle w:val="Ttulo2"/>
        <w:spacing w:before="0" w:after="0"/>
        <w:rPr>
          <w:rFonts w:ascii="Times New Roman" w:hAnsi="Times New Roman"/>
          <w:i w:val="0"/>
          <w:sz w:val="24"/>
          <w:szCs w:val="24"/>
        </w:rPr>
      </w:pPr>
      <w:r w:rsidRPr="00800B44">
        <w:rPr>
          <w:rFonts w:ascii="Times New Roman" w:hAnsi="Times New Roman"/>
          <w:b w:val="0"/>
          <w:bCs w:val="0"/>
          <w:i w:val="0"/>
          <w:iCs w:val="0"/>
          <w:sz w:val="24"/>
          <w:szCs w:val="24"/>
        </w:rPr>
        <w:t>1.</w:t>
      </w:r>
      <w:r>
        <w:rPr>
          <w:rFonts w:ascii="Times New Roman" w:hAnsi="Times New Roman"/>
          <w:i w:val="0"/>
          <w:sz w:val="24"/>
          <w:szCs w:val="24"/>
        </w:rPr>
        <w:t xml:space="preserve"> </w:t>
      </w:r>
      <w:r w:rsidR="003C0B49" w:rsidRPr="00800B44">
        <w:rPr>
          <w:rFonts w:ascii="Times New Roman" w:hAnsi="Times New Roman"/>
          <w:i w:val="0"/>
          <w:sz w:val="24"/>
          <w:szCs w:val="24"/>
        </w:rPr>
        <w:t>Introdução</w:t>
      </w:r>
    </w:p>
    <w:p w:rsidR="00800B44" w:rsidRPr="00800B44" w:rsidRDefault="00800B44" w:rsidP="00800B44"/>
    <w:p w:rsidR="00E1195B" w:rsidRPr="00B65BDF" w:rsidRDefault="00E1195B" w:rsidP="00E1195B">
      <w:pPr>
        <w:pStyle w:val="Corpodetexto"/>
        <w:spacing w:before="0" w:beforeAutospacing="0" w:after="120" w:afterAutospacing="0" w:line="360" w:lineRule="auto"/>
        <w:jc w:val="both"/>
        <w:rPr>
          <w:rFonts w:ascii="Times New Roman" w:hAnsi="Times New Roman" w:cs="Times New Roman"/>
          <w:color w:val="000000" w:themeColor="text1"/>
          <w:sz w:val="24"/>
          <w:szCs w:val="24"/>
        </w:rPr>
      </w:pPr>
      <w:r w:rsidRPr="00B65BDF">
        <w:rPr>
          <w:rFonts w:ascii="Times New Roman" w:hAnsi="Times New Roman" w:cs="Times New Roman"/>
          <w:color w:val="000000" w:themeColor="text1"/>
          <w:sz w:val="24"/>
          <w:szCs w:val="24"/>
        </w:rPr>
        <w:t xml:space="preserve">A prevenção do descarte e a redução de resíduos sólidos têm sido cada vez mais reguladas pelo poder público, o qual vem provendo instrumentos necessários para o avanço do país voltados à redução de problemas ambientais, sociais e econômicos, gerados pelo descarte e manipulação incorreta dos resíduos sólidos. </w:t>
      </w:r>
    </w:p>
    <w:p w:rsidR="00E1195B" w:rsidRPr="00B65BDF" w:rsidRDefault="00E1195B" w:rsidP="00E1195B">
      <w:pPr>
        <w:pStyle w:val="Corpodetexto"/>
        <w:spacing w:before="0" w:beforeAutospacing="0" w:after="120" w:afterAutospacing="0" w:line="360" w:lineRule="auto"/>
        <w:jc w:val="both"/>
        <w:rPr>
          <w:rFonts w:ascii="Times New Roman" w:hAnsi="Times New Roman" w:cs="Times New Roman"/>
          <w:color w:val="000000" w:themeColor="text1"/>
          <w:sz w:val="24"/>
          <w:szCs w:val="24"/>
        </w:rPr>
      </w:pPr>
      <w:r w:rsidRPr="00B65BDF">
        <w:rPr>
          <w:rFonts w:ascii="Times New Roman" w:hAnsi="Times New Roman" w:cs="Times New Roman"/>
          <w:color w:val="000000" w:themeColor="text1"/>
          <w:sz w:val="24"/>
          <w:szCs w:val="24"/>
        </w:rPr>
        <w:t xml:space="preserve">Os OLUCS (óleo lubrificante usado ou contaminado) em sua maioria são coletados por postos de gasolina e oficinas mecânicas </w:t>
      </w:r>
      <w:proofErr w:type="gramStart"/>
      <w:r w:rsidRPr="00B65BDF">
        <w:rPr>
          <w:rFonts w:ascii="Times New Roman" w:hAnsi="Times New Roman" w:cs="Times New Roman"/>
          <w:color w:val="000000" w:themeColor="text1"/>
          <w:sz w:val="24"/>
          <w:szCs w:val="24"/>
        </w:rPr>
        <w:t>no momento em que</w:t>
      </w:r>
      <w:proofErr w:type="gramEnd"/>
      <w:r w:rsidRPr="00B65BDF">
        <w:rPr>
          <w:rFonts w:ascii="Times New Roman" w:hAnsi="Times New Roman" w:cs="Times New Roman"/>
          <w:color w:val="000000" w:themeColor="text1"/>
          <w:sz w:val="24"/>
          <w:szCs w:val="24"/>
        </w:rPr>
        <w:t xml:space="preserve"> é realizado o serviço de troca de óleo usado pelo novo. Este composto é classificado como um resíduo perigoso, sendo inflamável, </w:t>
      </w:r>
      <w:r w:rsidRPr="00B65BDF">
        <w:rPr>
          <w:rFonts w:ascii="Times New Roman" w:hAnsi="Times New Roman" w:cs="Times New Roman"/>
          <w:color w:val="000000" w:themeColor="text1"/>
          <w:sz w:val="24"/>
          <w:szCs w:val="24"/>
        </w:rPr>
        <w:lastRenderedPageBreak/>
        <w:t>corrosivo, tóxico e patogênico (ABNT, 2004). Além disso, o descarte de maneira inadequada resulta em problemas ambientais, potencializados pela falta de informação dos riscos e impactos tanto à saúde das pessoas quanto ao meio ambiente.</w:t>
      </w:r>
    </w:p>
    <w:p w:rsidR="00E1195B" w:rsidRPr="00B65BDF" w:rsidRDefault="00E1195B" w:rsidP="00E1195B">
      <w:pPr>
        <w:pStyle w:val="Corpodetexto"/>
        <w:spacing w:before="0" w:beforeAutospacing="0" w:after="120" w:afterAutospacing="0" w:line="360" w:lineRule="auto"/>
        <w:jc w:val="both"/>
        <w:rPr>
          <w:rFonts w:ascii="Times New Roman" w:hAnsi="Times New Roman" w:cs="Times New Roman"/>
          <w:color w:val="000000" w:themeColor="text1"/>
          <w:sz w:val="24"/>
          <w:szCs w:val="24"/>
        </w:rPr>
      </w:pPr>
      <w:r w:rsidRPr="00B65BDF">
        <w:rPr>
          <w:rFonts w:ascii="Times New Roman" w:hAnsi="Times New Roman" w:cs="Times New Roman"/>
          <w:color w:val="000000" w:themeColor="text1"/>
          <w:sz w:val="24"/>
          <w:szCs w:val="24"/>
        </w:rPr>
        <w:t xml:space="preserve">Desde a criação das máquinas e dos veículos automobilísticos, o óleo lubrificante sempre desempenhou um papel essencial para o bom funcionamento de processos mecânicos. No entanto, esse óleo usado ou contaminado, quando não recolhido ou descartado de modo indevido, transforma-se em um problema ambiental, criando-se assim a necessidade do fluxo da logística reversa, desde a identificação do mercado consumidor até o ponto de origem (CANCHUMANI, 2013). </w:t>
      </w:r>
    </w:p>
    <w:p w:rsidR="00E1195B" w:rsidRPr="00B65BDF" w:rsidRDefault="00E1195B" w:rsidP="00E1195B">
      <w:pPr>
        <w:pStyle w:val="Corpodetexto"/>
        <w:spacing w:before="0" w:beforeAutospacing="0" w:after="120" w:afterAutospacing="0" w:line="360" w:lineRule="auto"/>
        <w:jc w:val="both"/>
        <w:rPr>
          <w:rFonts w:ascii="Times New Roman" w:hAnsi="Times New Roman" w:cs="Times New Roman"/>
          <w:color w:val="000000" w:themeColor="text1"/>
          <w:sz w:val="24"/>
          <w:szCs w:val="24"/>
        </w:rPr>
      </w:pPr>
      <w:r w:rsidRPr="00B65BDF">
        <w:rPr>
          <w:rFonts w:ascii="Times New Roman" w:hAnsi="Times New Roman" w:cs="Times New Roman"/>
          <w:color w:val="000000" w:themeColor="text1"/>
          <w:sz w:val="24"/>
          <w:szCs w:val="24"/>
        </w:rPr>
        <w:t xml:space="preserve">Foi analisada pelos pesquisadores do presente artigo a cadeia da logística reversa do óleo lubrificante usado ou contaminado, na tentativa de verificar os impactos positivos resultantes do aumento da coleta e reciclagem no âmbito de fatores econômicos, socais e ambientais do Brasil. Após a construção e entendimento do cenário atual, tem-se como objetivo propor uma alternativa dentro da realidade atual para buscar um aumento do percentual de OLUC recolhido para </w:t>
      </w:r>
      <w:proofErr w:type="spellStart"/>
      <w:r w:rsidRPr="00B65BDF">
        <w:rPr>
          <w:rFonts w:ascii="Times New Roman" w:hAnsi="Times New Roman" w:cs="Times New Roman"/>
          <w:color w:val="000000" w:themeColor="text1"/>
          <w:sz w:val="24"/>
          <w:szCs w:val="24"/>
        </w:rPr>
        <w:t>re-refino</w:t>
      </w:r>
      <w:proofErr w:type="spellEnd"/>
      <w:r w:rsidRPr="00B65BDF">
        <w:rPr>
          <w:rFonts w:ascii="Times New Roman" w:hAnsi="Times New Roman" w:cs="Times New Roman"/>
          <w:color w:val="000000" w:themeColor="text1"/>
          <w:sz w:val="24"/>
          <w:szCs w:val="24"/>
        </w:rPr>
        <w:t>, focando especialmente nas áreas onde a logística reversa do mesmo é precária.</w:t>
      </w:r>
    </w:p>
    <w:p w:rsidR="00E1195B" w:rsidRPr="00B65BDF" w:rsidRDefault="00E1195B" w:rsidP="00E1195B">
      <w:pPr>
        <w:pStyle w:val="Corpodetexto"/>
        <w:spacing w:before="0" w:beforeAutospacing="0" w:after="120" w:afterAutospacing="0" w:line="360" w:lineRule="auto"/>
        <w:jc w:val="both"/>
        <w:rPr>
          <w:rFonts w:ascii="Times New Roman" w:hAnsi="Times New Roman" w:cs="Times New Roman"/>
          <w:color w:val="000000" w:themeColor="text1"/>
          <w:sz w:val="24"/>
          <w:szCs w:val="24"/>
        </w:rPr>
      </w:pPr>
      <w:r w:rsidRPr="00B65BDF">
        <w:rPr>
          <w:rFonts w:ascii="Times New Roman" w:hAnsi="Times New Roman" w:cs="Times New Roman"/>
          <w:color w:val="000000" w:themeColor="text1"/>
          <w:sz w:val="24"/>
          <w:szCs w:val="24"/>
        </w:rPr>
        <w:t>O óleo lubrificante que é utilizado nos motores dos carros e em máquinas, sofre deterioração devido à perda de propriedades moleculares em função de sua circulação nos processos internos do motor e das máquinas em geral, o que acarreta a necessidade de constante revisão, troca e manutenção do óleo lubrificante.</w:t>
      </w:r>
    </w:p>
    <w:p w:rsidR="00E1195B" w:rsidRPr="00B65BDF" w:rsidRDefault="00E1195B" w:rsidP="00E1195B">
      <w:pPr>
        <w:pStyle w:val="Corpodetexto"/>
        <w:spacing w:before="0" w:beforeAutospacing="0" w:after="120" w:afterAutospacing="0" w:line="360" w:lineRule="auto"/>
        <w:jc w:val="both"/>
        <w:rPr>
          <w:rFonts w:ascii="Times New Roman" w:hAnsi="Times New Roman" w:cs="Times New Roman"/>
          <w:color w:val="000000" w:themeColor="text1"/>
          <w:sz w:val="24"/>
          <w:szCs w:val="24"/>
        </w:rPr>
      </w:pPr>
      <w:r w:rsidRPr="00B65BDF">
        <w:rPr>
          <w:rFonts w:ascii="Times New Roman" w:hAnsi="Times New Roman" w:cs="Times New Roman"/>
          <w:color w:val="000000" w:themeColor="text1"/>
          <w:sz w:val="24"/>
          <w:szCs w:val="24"/>
        </w:rPr>
        <w:t>Tendo em vista a busca do descarte correto, que não gere qualquer poluição ao ambiente, leis ambientais foram criadas pelo governo a partir da década de 90. Além disso, estas leis criaram exigências para a produção, comercialização e refinamento destes produtos, que precisam ser analisados e identificados tanto pela composição quanto sobre a utilização adequada deles, perante aos diversos tipos de veículos tais como carros, ônibus e caminhões (CONAMA, 2005).</w:t>
      </w:r>
    </w:p>
    <w:p w:rsidR="00E1195B" w:rsidRPr="00B65BDF" w:rsidRDefault="00E1195B" w:rsidP="00E1195B">
      <w:pPr>
        <w:pStyle w:val="Corpodetexto"/>
        <w:spacing w:before="0" w:beforeAutospacing="0" w:after="120" w:afterAutospacing="0" w:line="360" w:lineRule="auto"/>
        <w:jc w:val="both"/>
        <w:rPr>
          <w:rFonts w:ascii="Times New Roman" w:hAnsi="Times New Roman" w:cs="Times New Roman"/>
          <w:color w:val="000000" w:themeColor="text1"/>
          <w:sz w:val="24"/>
          <w:szCs w:val="24"/>
        </w:rPr>
      </w:pPr>
      <w:r w:rsidRPr="00B65BDF">
        <w:rPr>
          <w:rFonts w:ascii="Times New Roman" w:hAnsi="Times New Roman" w:cs="Times New Roman"/>
          <w:color w:val="000000" w:themeColor="text1"/>
          <w:sz w:val="24"/>
          <w:szCs w:val="24"/>
        </w:rPr>
        <w:t xml:space="preserve">Atualmente 39,74% do óleo lubrificante usado já é recolhido para </w:t>
      </w:r>
      <w:proofErr w:type="spellStart"/>
      <w:r w:rsidRPr="00B65BDF">
        <w:rPr>
          <w:rFonts w:ascii="Times New Roman" w:hAnsi="Times New Roman" w:cs="Times New Roman"/>
          <w:color w:val="000000" w:themeColor="text1"/>
          <w:sz w:val="24"/>
          <w:szCs w:val="24"/>
        </w:rPr>
        <w:t>rerrefino</w:t>
      </w:r>
      <w:proofErr w:type="spellEnd"/>
      <w:r w:rsidRPr="00B65BDF">
        <w:rPr>
          <w:rFonts w:ascii="Times New Roman" w:hAnsi="Times New Roman" w:cs="Times New Roman"/>
          <w:color w:val="000000" w:themeColor="text1"/>
          <w:sz w:val="24"/>
          <w:szCs w:val="24"/>
        </w:rPr>
        <w:t xml:space="preserve"> no Brasil (ANP, 2016), porém grande parte desse número se deve as regiões sudeste e sul do Brasil onde políticas de coleta já estão mais desenvolvidas. O centro-oeste, norte e nordeste ainda estão longe de possuírem um percentual de coleta adequado. (Ministério do meio ambiente, s/d). Segundo o ministério do meio ambiente, a nível nacional existem 25 coletores certificados de óleos lubrificantes usados ou contaminados que trabalham através da coleta porta a porta em </w:t>
      </w:r>
      <w:r w:rsidRPr="00B65BDF">
        <w:rPr>
          <w:rFonts w:ascii="Times New Roman" w:hAnsi="Times New Roman" w:cs="Times New Roman"/>
          <w:color w:val="000000" w:themeColor="text1"/>
          <w:sz w:val="24"/>
          <w:szCs w:val="24"/>
        </w:rPr>
        <w:lastRenderedPageBreak/>
        <w:t xml:space="preserve">oficinas e postos de troca de óleo. Após recolhido, este óleo segue para uma </w:t>
      </w:r>
      <w:proofErr w:type="spellStart"/>
      <w:r w:rsidRPr="00B65BDF">
        <w:rPr>
          <w:rFonts w:ascii="Times New Roman" w:hAnsi="Times New Roman" w:cs="Times New Roman"/>
          <w:color w:val="000000" w:themeColor="text1"/>
          <w:sz w:val="24"/>
          <w:szCs w:val="24"/>
        </w:rPr>
        <w:t>rerrefinaria</w:t>
      </w:r>
      <w:proofErr w:type="spellEnd"/>
      <w:r w:rsidRPr="00B65BDF">
        <w:rPr>
          <w:rFonts w:ascii="Times New Roman" w:hAnsi="Times New Roman" w:cs="Times New Roman"/>
          <w:color w:val="000000" w:themeColor="text1"/>
          <w:sz w:val="24"/>
          <w:szCs w:val="24"/>
        </w:rPr>
        <w:t xml:space="preserve"> onde 80% a 85% é reaproveitado tornando-se óleo básico que é posteriormente misturado a aditivos para se tornar lubrificantes específicos para as mais variadas máquinas.</w:t>
      </w:r>
    </w:p>
    <w:p w:rsidR="00E1195B" w:rsidRPr="00B65BDF" w:rsidRDefault="00E1195B" w:rsidP="00E1195B">
      <w:pPr>
        <w:pStyle w:val="Corpodetexto"/>
        <w:spacing w:before="0" w:beforeAutospacing="0" w:after="120" w:afterAutospacing="0" w:line="360" w:lineRule="auto"/>
        <w:jc w:val="both"/>
        <w:rPr>
          <w:rFonts w:ascii="Times New Roman" w:hAnsi="Times New Roman" w:cs="Times New Roman"/>
          <w:color w:val="000000" w:themeColor="text1"/>
          <w:sz w:val="24"/>
          <w:szCs w:val="24"/>
        </w:rPr>
      </w:pPr>
      <w:r w:rsidRPr="00B65BDF">
        <w:rPr>
          <w:rFonts w:ascii="Times New Roman" w:hAnsi="Times New Roman" w:cs="Times New Roman"/>
          <w:color w:val="000000" w:themeColor="text1"/>
          <w:sz w:val="24"/>
          <w:szCs w:val="24"/>
        </w:rPr>
        <w:t xml:space="preserve">Somente em 2017 foram produzidos mais de 1 milhão de metros cúbicos de óleo lubrificante no Brasil, que posteriormente se tornará em um OLUC, levando em consideração que atualmente 60% dos óleos descartados ainda não são reciclados da maneira correta, fica clara a importância do aperfeiçoamento do processo de logística reversa para este produto, pensando-se na necessidade de aumento da porcentagem de sua coleta, reciclagem, refinamento. A relevância disso é fundamentada pelo fato de que quando descartado incorretamente pode poluir grandes quantidades de </w:t>
      </w:r>
      <w:proofErr w:type="gramStart"/>
      <w:r w:rsidRPr="00B65BDF">
        <w:rPr>
          <w:rFonts w:ascii="Times New Roman" w:hAnsi="Times New Roman" w:cs="Times New Roman"/>
          <w:color w:val="000000" w:themeColor="text1"/>
          <w:sz w:val="24"/>
          <w:szCs w:val="24"/>
        </w:rPr>
        <w:t>agua</w:t>
      </w:r>
      <w:proofErr w:type="gramEnd"/>
      <w:r w:rsidRPr="00B65BDF">
        <w:rPr>
          <w:rFonts w:ascii="Times New Roman" w:hAnsi="Times New Roman" w:cs="Times New Roman"/>
          <w:color w:val="000000" w:themeColor="text1"/>
          <w:sz w:val="24"/>
          <w:szCs w:val="24"/>
        </w:rPr>
        <w:t xml:space="preserve">, ar, causar câncer, má formação de fetos entre outros problemas de saúde gravíssimos. Para se dimensionar tamanho prejuízo ambiental causado por este descarte indevido a </w:t>
      </w:r>
      <w:proofErr w:type="gramStart"/>
      <w:r w:rsidRPr="00B65BDF">
        <w:rPr>
          <w:rFonts w:ascii="Times New Roman" w:hAnsi="Times New Roman" w:cs="Times New Roman"/>
          <w:color w:val="000000" w:themeColor="text1"/>
          <w:sz w:val="24"/>
          <w:szCs w:val="24"/>
        </w:rPr>
        <w:t>agua</w:t>
      </w:r>
      <w:proofErr w:type="gramEnd"/>
      <w:r w:rsidRPr="00B65BDF">
        <w:rPr>
          <w:rFonts w:ascii="Times New Roman" w:hAnsi="Times New Roman" w:cs="Times New Roman"/>
          <w:color w:val="000000" w:themeColor="text1"/>
          <w:sz w:val="24"/>
          <w:szCs w:val="24"/>
        </w:rPr>
        <w:t xml:space="preserve">, por exemplo, 1 litro de OLUC pode contaminar até 1 milhão de litros de agua, restringindo a passagem de luz e as trocas de gasosas afetando a vida dos organismos aquáticos. </w:t>
      </w:r>
    </w:p>
    <w:p w:rsidR="00E1195B" w:rsidRPr="00B65BDF" w:rsidRDefault="00E1195B" w:rsidP="00E1195B">
      <w:pPr>
        <w:pStyle w:val="Default"/>
        <w:spacing w:line="360" w:lineRule="auto"/>
        <w:jc w:val="both"/>
        <w:rPr>
          <w:rFonts w:eastAsia="Times New Roman"/>
          <w:color w:val="000000" w:themeColor="text1"/>
          <w:lang w:eastAsia="pt-BR"/>
        </w:rPr>
      </w:pPr>
      <w:r w:rsidRPr="00B65BDF">
        <w:rPr>
          <w:rFonts w:eastAsia="Times New Roman"/>
          <w:color w:val="000000" w:themeColor="text1"/>
          <w:lang w:eastAsia="pt-BR"/>
        </w:rPr>
        <w:t xml:space="preserve">O trabalho irá se basear em uma metodologia focada na pesquisa e construção do cenário atual de coleta de óleo por regiões do Brasil, identificando quantidade de coletores registrados, maneira e frequência com que é feita a coleta e possíveis outras destinações dos </w:t>
      </w:r>
      <w:proofErr w:type="spellStart"/>
      <w:r w:rsidRPr="00B65BDF">
        <w:rPr>
          <w:rFonts w:eastAsia="Times New Roman"/>
          <w:color w:val="000000" w:themeColor="text1"/>
          <w:lang w:eastAsia="pt-BR"/>
        </w:rPr>
        <w:t>OLUC’s</w:t>
      </w:r>
      <w:proofErr w:type="spellEnd"/>
      <w:r w:rsidRPr="00B65BDF">
        <w:rPr>
          <w:rFonts w:eastAsia="Times New Roman"/>
          <w:color w:val="000000" w:themeColor="text1"/>
          <w:lang w:eastAsia="pt-BR"/>
        </w:rPr>
        <w:t xml:space="preserve"> que não a correta (</w:t>
      </w:r>
      <w:proofErr w:type="spellStart"/>
      <w:r w:rsidRPr="00B65BDF">
        <w:rPr>
          <w:rFonts w:eastAsia="Times New Roman"/>
          <w:color w:val="000000" w:themeColor="text1"/>
          <w:lang w:eastAsia="pt-BR"/>
        </w:rPr>
        <w:t>rerefino</w:t>
      </w:r>
      <w:proofErr w:type="spellEnd"/>
      <w:r w:rsidRPr="00B65BDF">
        <w:rPr>
          <w:rFonts w:eastAsia="Times New Roman"/>
          <w:color w:val="000000" w:themeColor="text1"/>
          <w:lang w:eastAsia="pt-BR"/>
        </w:rPr>
        <w:t xml:space="preserve">). Após a construção e entendimento do cenário atual, será desenvolvida uma alternativa dentro da realidade atual para buscar um aumento do percentual de OLUC recolhido para </w:t>
      </w:r>
      <w:proofErr w:type="spellStart"/>
      <w:r w:rsidRPr="00B65BDF">
        <w:rPr>
          <w:rFonts w:eastAsia="Times New Roman"/>
          <w:color w:val="000000" w:themeColor="text1"/>
          <w:lang w:eastAsia="pt-BR"/>
        </w:rPr>
        <w:t>re-refino</w:t>
      </w:r>
      <w:proofErr w:type="spellEnd"/>
      <w:r w:rsidRPr="00B65BDF">
        <w:rPr>
          <w:rFonts w:eastAsia="Times New Roman"/>
          <w:color w:val="000000" w:themeColor="text1"/>
          <w:lang w:eastAsia="pt-BR"/>
        </w:rPr>
        <w:t>, focando especialmente nas áreas onde a logística reversa do mesmo é precária.</w:t>
      </w:r>
    </w:p>
    <w:p w:rsidR="00E1195B" w:rsidRDefault="00E1195B" w:rsidP="00E1195B">
      <w:pPr>
        <w:spacing w:after="0" w:line="200" w:lineRule="exact"/>
      </w:pPr>
    </w:p>
    <w:p w:rsidR="00E1195B" w:rsidRDefault="00E1195B" w:rsidP="00E1195B">
      <w:pPr>
        <w:spacing w:after="0" w:line="200" w:lineRule="exact"/>
      </w:pPr>
    </w:p>
    <w:p w:rsidR="00E1195B" w:rsidRDefault="00E1195B" w:rsidP="00E1195B">
      <w:pPr>
        <w:spacing w:after="0" w:line="200" w:lineRule="exact"/>
      </w:pPr>
    </w:p>
    <w:p w:rsidR="00E1195B" w:rsidRDefault="00E1195B" w:rsidP="00E1195B">
      <w:pPr>
        <w:pStyle w:val="Ttulo2"/>
        <w:spacing w:before="0" w:after="0"/>
        <w:rPr>
          <w:rFonts w:ascii="Times New Roman" w:hAnsi="Times New Roman"/>
          <w:i w:val="0"/>
          <w:color w:val="000000" w:themeColor="text1"/>
          <w:sz w:val="24"/>
          <w:szCs w:val="24"/>
        </w:rPr>
      </w:pPr>
      <w:r>
        <w:rPr>
          <w:rFonts w:ascii="Times New Roman" w:hAnsi="Times New Roman"/>
          <w:i w:val="0"/>
          <w:color w:val="000000" w:themeColor="text1"/>
          <w:sz w:val="24"/>
          <w:szCs w:val="24"/>
        </w:rPr>
        <w:t>2</w:t>
      </w:r>
      <w:r w:rsidRPr="00C66AEB">
        <w:rPr>
          <w:rFonts w:ascii="Times New Roman" w:hAnsi="Times New Roman"/>
          <w:i w:val="0"/>
          <w:color w:val="000000" w:themeColor="text1"/>
          <w:sz w:val="24"/>
          <w:szCs w:val="24"/>
        </w:rPr>
        <w:t>. Principais aspectos da Sustentabilidade e a Logística Reversa</w:t>
      </w:r>
    </w:p>
    <w:p w:rsidR="00E1195B" w:rsidRPr="00B65BDF" w:rsidRDefault="00E1195B" w:rsidP="00E1195B">
      <w:pPr>
        <w:spacing w:after="0" w:line="200" w:lineRule="exact"/>
      </w:pPr>
    </w:p>
    <w:p w:rsidR="00E1195B" w:rsidRDefault="00E1195B" w:rsidP="00E1195B">
      <w:pPr>
        <w:rPr>
          <w:rFonts w:eastAsia="Times New Roman"/>
        </w:rPr>
      </w:pPr>
      <w:r w:rsidRPr="00486F8E">
        <w:rPr>
          <w:rFonts w:ascii="EOMOJC+TimesNewRoman" w:hAnsi="EOMOJC+TimesNewRoman"/>
          <w:szCs w:val="24"/>
        </w:rPr>
        <w:t xml:space="preserve"> </w:t>
      </w:r>
      <w:r w:rsidRPr="00373634">
        <w:rPr>
          <w:rFonts w:eastAsia="Times New Roman"/>
        </w:rPr>
        <w:t>A definição de Logí</w:t>
      </w:r>
      <w:r>
        <w:rPr>
          <w:rFonts w:eastAsia="Times New Roman"/>
        </w:rPr>
        <w:t>stica apresentada por Campos (2007</w:t>
      </w:r>
      <w:r w:rsidRPr="00373634">
        <w:rPr>
          <w:rFonts w:eastAsia="Times New Roman"/>
        </w:rPr>
        <w:t xml:space="preserve">) </w:t>
      </w:r>
      <w:r>
        <w:rPr>
          <w:rFonts w:eastAsia="Times New Roman"/>
        </w:rPr>
        <w:t>estabelece que a logística engloba “todas as formas de movimento de produtos e informações” dentro do processo da cadeia produtiva ou linha de produção.</w:t>
      </w:r>
    </w:p>
    <w:p w:rsidR="00E1195B" w:rsidRDefault="00E1195B" w:rsidP="00E1195B">
      <w:pPr>
        <w:rPr>
          <w:rFonts w:eastAsia="Times New Roman"/>
        </w:rPr>
      </w:pPr>
      <w:r w:rsidRPr="00486F8E">
        <w:rPr>
          <w:rFonts w:eastAsia="Times New Roman"/>
        </w:rPr>
        <w:t>Uma das áreas da logística empresarial é a logística reversa, que envolve todas as operações relacionadas à reutilização de produtos e materiais, na bu</w:t>
      </w:r>
      <w:r>
        <w:rPr>
          <w:rFonts w:eastAsia="Times New Roman"/>
        </w:rPr>
        <w:t>sca de uma reintegração destes a</w:t>
      </w:r>
      <w:r w:rsidRPr="00486F8E">
        <w:rPr>
          <w:rFonts w:eastAsia="Times New Roman"/>
        </w:rPr>
        <w:t xml:space="preserve"> processos produtivos sustentáveis</w:t>
      </w:r>
      <w:r>
        <w:rPr>
          <w:rFonts w:eastAsia="Times New Roman"/>
        </w:rPr>
        <w:t xml:space="preserve">, </w:t>
      </w:r>
      <w:proofErr w:type="gramStart"/>
      <w:r>
        <w:rPr>
          <w:rFonts w:eastAsia="Times New Roman"/>
        </w:rPr>
        <w:t>sendo</w:t>
      </w:r>
      <w:proofErr w:type="gramEnd"/>
      <w:r>
        <w:rPr>
          <w:rFonts w:eastAsia="Times New Roman"/>
        </w:rPr>
        <w:t xml:space="preserve"> portanto, um instrumento de desenvolvimento </w:t>
      </w:r>
      <w:r>
        <w:rPr>
          <w:rFonts w:eastAsia="Times New Roman"/>
        </w:rPr>
        <w:lastRenderedPageBreak/>
        <w:t>econômico e social, visando o reaproveitamento de resíduos industriais para sua reintrodução no ciclo produtivo.</w:t>
      </w:r>
    </w:p>
    <w:p w:rsidR="00E1195B" w:rsidRDefault="00E1195B" w:rsidP="00E1195B">
      <w:pPr>
        <w:rPr>
          <w:rFonts w:eastAsia="Times New Roman"/>
        </w:rPr>
      </w:pPr>
      <w:r>
        <w:rPr>
          <w:rFonts w:eastAsia="Times New Roman"/>
        </w:rPr>
        <w:t xml:space="preserve">O objetivo da logística reversa é a revalorização de um produto ou material, motivado pela crescente demanda em manutenção de resíduos e também pela redução ao dano ambiental, ao evitar que </w:t>
      </w:r>
      <w:proofErr w:type="spellStart"/>
      <w:proofErr w:type="gramStart"/>
      <w:r>
        <w:rPr>
          <w:rFonts w:eastAsia="Times New Roman"/>
        </w:rPr>
        <w:t>esse</w:t>
      </w:r>
      <w:proofErr w:type="spellEnd"/>
      <w:r>
        <w:rPr>
          <w:rFonts w:eastAsia="Times New Roman"/>
        </w:rPr>
        <w:t xml:space="preserve"> resíduos</w:t>
      </w:r>
      <w:proofErr w:type="gramEnd"/>
      <w:r>
        <w:rPr>
          <w:rFonts w:eastAsia="Times New Roman"/>
        </w:rPr>
        <w:t xml:space="preserve"> sejam lançados diretamente na natureza.</w:t>
      </w:r>
    </w:p>
    <w:p w:rsidR="00E1195B" w:rsidRPr="00B65BDF" w:rsidRDefault="00E1195B" w:rsidP="00E1195B">
      <w:pPr>
        <w:rPr>
          <w:rFonts w:eastAsia="Times New Roman"/>
        </w:rPr>
      </w:pPr>
      <w:r>
        <w:rPr>
          <w:rFonts w:eastAsia="Times New Roman"/>
        </w:rPr>
        <w:t xml:space="preserve">O campo de atuação da logística reversa abrange três áreas: econômica, social e ambiental. Economicamente, é feita uma análise para identificar como a logística reversa </w:t>
      </w:r>
      <w:proofErr w:type="spellStart"/>
      <w:r>
        <w:rPr>
          <w:rFonts w:eastAsia="Times New Roman"/>
        </w:rPr>
        <w:t>esta</w:t>
      </w:r>
      <w:proofErr w:type="spellEnd"/>
      <w:r>
        <w:rPr>
          <w:rFonts w:eastAsia="Times New Roman"/>
        </w:rPr>
        <w:t xml:space="preserve"> voltada à diminuição dos custos de uma empresa ou órgão público. Já a área ambiental abrange a preocupação e condicionamento dos mecanismos de produção para que estes estejam compatíveis com leis de proteção e preservação ambiental</w:t>
      </w:r>
      <w:r w:rsidRPr="005217F2">
        <w:t xml:space="preserve"> </w:t>
      </w:r>
      <w:r>
        <w:t>(GOMES; OLIVEIRA; NASCIMENTO, 2008).</w:t>
      </w:r>
      <w:r>
        <w:rPr>
          <w:rFonts w:eastAsia="Times New Roman"/>
        </w:rPr>
        <w:t xml:space="preserve"> Por fim, o campo social visa estabelecer condições favoráveis para uma sociedade próspera e desenvolvida além de sustentável e saudável, visando desenvolver métodos para </w:t>
      </w:r>
      <w:r w:rsidRPr="00B65BDF">
        <w:rPr>
          <w:rFonts w:eastAsia="Times New Roman" w:cs="Arial"/>
          <w:lang w:eastAsia="pt-BR"/>
        </w:rPr>
        <w:t>uma melhor qualidade de vida através das atividades da logística reversa.</w:t>
      </w:r>
    </w:p>
    <w:p w:rsidR="00E1195B" w:rsidRPr="00B65BDF" w:rsidRDefault="00E1195B" w:rsidP="00E1195B">
      <w:pPr>
        <w:spacing w:after="0" w:line="200" w:lineRule="exact"/>
        <w:rPr>
          <w:rFonts w:eastAsia="Times New Roman"/>
        </w:rPr>
      </w:pPr>
    </w:p>
    <w:p w:rsidR="00E1195B" w:rsidRPr="00B65BDF" w:rsidRDefault="00E1195B" w:rsidP="00E1195B">
      <w:pPr>
        <w:spacing w:after="0" w:line="200" w:lineRule="exact"/>
        <w:rPr>
          <w:rFonts w:eastAsia="Times New Roman"/>
        </w:rPr>
      </w:pPr>
    </w:p>
    <w:p w:rsidR="00E1195B" w:rsidRDefault="00E1195B" w:rsidP="00E1195B">
      <w:pPr>
        <w:spacing w:after="0" w:line="200" w:lineRule="exact"/>
        <w:rPr>
          <w:rFonts w:eastAsia="Times New Roman"/>
        </w:rPr>
      </w:pPr>
    </w:p>
    <w:p w:rsidR="00E1195B" w:rsidRDefault="00E1195B" w:rsidP="00E1195B">
      <w:pPr>
        <w:pStyle w:val="Ttulo2"/>
        <w:spacing w:before="0" w:after="0"/>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2.1 </w:t>
      </w:r>
      <w:r w:rsidRPr="00C66AEB">
        <w:rPr>
          <w:rFonts w:ascii="Times New Roman" w:hAnsi="Times New Roman"/>
          <w:i w:val="0"/>
          <w:color w:val="000000" w:themeColor="text1"/>
          <w:sz w:val="24"/>
          <w:szCs w:val="24"/>
        </w:rPr>
        <w:t>Principais aspectos do descarte incorreto de óleos lubrificantes (</w:t>
      </w:r>
      <w:proofErr w:type="spellStart"/>
      <w:r w:rsidRPr="00C66AEB">
        <w:rPr>
          <w:rFonts w:ascii="Times New Roman" w:hAnsi="Times New Roman"/>
          <w:i w:val="0"/>
          <w:color w:val="000000" w:themeColor="text1"/>
          <w:sz w:val="24"/>
          <w:szCs w:val="24"/>
        </w:rPr>
        <w:t>OLUC’s</w:t>
      </w:r>
      <w:proofErr w:type="spellEnd"/>
      <w:r w:rsidRPr="00C66AEB">
        <w:rPr>
          <w:rFonts w:ascii="Times New Roman" w:hAnsi="Times New Roman"/>
          <w:i w:val="0"/>
          <w:color w:val="000000" w:themeColor="text1"/>
          <w:sz w:val="24"/>
          <w:szCs w:val="24"/>
        </w:rPr>
        <w:t>)</w:t>
      </w:r>
    </w:p>
    <w:p w:rsidR="00E1195B" w:rsidRPr="00B65BDF" w:rsidRDefault="00E1195B" w:rsidP="00E1195B">
      <w:pPr>
        <w:spacing w:after="0" w:line="200" w:lineRule="exact"/>
      </w:pPr>
    </w:p>
    <w:p w:rsidR="00E1195B" w:rsidRDefault="00E1195B" w:rsidP="00E1195B">
      <w:pPr>
        <w:rPr>
          <w:rFonts w:eastAsia="Times New Roman"/>
        </w:rPr>
      </w:pPr>
      <w:r>
        <w:rPr>
          <w:rFonts w:eastAsia="Times New Roman"/>
        </w:rPr>
        <w:t xml:space="preserve">Além de possuírem diversos componentes danosos ao meio ambiente, como cádmio, chumbo e cromo, os </w:t>
      </w:r>
      <w:proofErr w:type="spellStart"/>
      <w:r>
        <w:rPr>
          <w:rFonts w:eastAsia="Times New Roman"/>
        </w:rPr>
        <w:t>olucs</w:t>
      </w:r>
      <w:proofErr w:type="spellEnd"/>
      <w:r>
        <w:rPr>
          <w:rFonts w:eastAsia="Times New Roman"/>
        </w:rPr>
        <w:t xml:space="preserve"> contêm substâncias decorrentes da decomposição de outros metais do motor ou equipamento, como ferro (</w:t>
      </w:r>
      <w:proofErr w:type="spellStart"/>
      <w:r w:rsidRPr="00521ACF">
        <w:rPr>
          <w:rFonts w:eastAsia="Times New Roman"/>
        </w:rPr>
        <w:t>Sohn</w:t>
      </w:r>
      <w:proofErr w:type="spellEnd"/>
      <w:r w:rsidRPr="00521ACF">
        <w:rPr>
          <w:rFonts w:eastAsia="Times New Roman"/>
        </w:rPr>
        <w:t>, 2007).</w:t>
      </w:r>
    </w:p>
    <w:p w:rsidR="00E1195B" w:rsidRDefault="00E1195B" w:rsidP="00E1195B">
      <w:pPr>
        <w:rPr>
          <w:rFonts w:eastAsia="Times New Roman"/>
        </w:rPr>
      </w:pPr>
      <w:r>
        <w:rPr>
          <w:rFonts w:eastAsia="Times New Roman"/>
        </w:rPr>
        <w:t>Esses componentes são altamente tóxicos e nocivos à saúde humana e à natureza e p</w:t>
      </w:r>
      <w:r w:rsidRPr="0070294E">
        <w:rPr>
          <w:rFonts w:eastAsia="Times New Roman"/>
        </w:rPr>
        <w:t xml:space="preserve">or serem </w:t>
      </w:r>
      <w:proofErr w:type="spellStart"/>
      <w:r w:rsidRPr="0070294E">
        <w:rPr>
          <w:rFonts w:eastAsia="Times New Roman"/>
        </w:rPr>
        <w:t>bioacumulativos</w:t>
      </w:r>
      <w:proofErr w:type="spellEnd"/>
      <w:r w:rsidRPr="0070294E">
        <w:rPr>
          <w:rFonts w:eastAsia="Times New Roman"/>
        </w:rPr>
        <w:t xml:space="preserve">, essas substâncias não deixam o organismo, causando doenças como câncer, asma, danos </w:t>
      </w:r>
      <w:proofErr w:type="spellStart"/>
      <w:r w:rsidRPr="0070294E">
        <w:rPr>
          <w:rFonts w:eastAsia="Times New Roman"/>
        </w:rPr>
        <w:t>á</w:t>
      </w:r>
      <w:proofErr w:type="spellEnd"/>
      <w:r>
        <w:rPr>
          <w:rFonts w:eastAsia="Times New Roman"/>
        </w:rPr>
        <w:t xml:space="preserve"> pele e ao sistema respiratório. Outro aspecto que impacta diretamente na saúde humana é em relação ao descarte incorreto feito em esgotos, o que pode levar ao comprometimento do funcionamento de estações de tratamento de água utilizada por milhares de pessoas (</w:t>
      </w:r>
      <w:r w:rsidRPr="00521ACF">
        <w:rPr>
          <w:rFonts w:eastAsia="Times New Roman"/>
        </w:rPr>
        <w:t>C</w:t>
      </w:r>
      <w:r>
        <w:rPr>
          <w:rFonts w:eastAsia="Times New Roman"/>
        </w:rPr>
        <w:t>empre,</w:t>
      </w:r>
      <w:r w:rsidRPr="00521ACF">
        <w:rPr>
          <w:rFonts w:eastAsia="Times New Roman"/>
        </w:rPr>
        <w:t>2013)</w:t>
      </w:r>
      <w:r>
        <w:rPr>
          <w:rFonts w:eastAsia="Times New Roman"/>
        </w:rPr>
        <w:t>.</w:t>
      </w:r>
    </w:p>
    <w:p w:rsidR="00E1195B" w:rsidRDefault="00E1195B" w:rsidP="00E1195B">
      <w:pPr>
        <w:rPr>
          <w:rFonts w:eastAsia="Times New Roman"/>
        </w:rPr>
      </w:pPr>
      <w:r w:rsidRPr="0070294E">
        <w:rPr>
          <w:rFonts w:eastAsia="Times New Roman"/>
        </w:rPr>
        <w:t xml:space="preserve"> </w:t>
      </w:r>
      <w:r>
        <w:rPr>
          <w:rFonts w:eastAsia="Times New Roman"/>
        </w:rPr>
        <w:t>Além disso, os lubrificantes mal descartados polu</w:t>
      </w:r>
      <w:r w:rsidRPr="0070294E">
        <w:rPr>
          <w:rFonts w:eastAsia="Times New Roman"/>
        </w:rPr>
        <w:t>em o ar e as águas, podendo afetar também todo um ecossistema, destruindo fauna, flora e lençóis freáticos</w:t>
      </w:r>
      <w:r>
        <w:rPr>
          <w:rFonts w:eastAsia="Times New Roman"/>
        </w:rPr>
        <w:t>, causando problemas na fotossíntese das plantas e impactando a cadeia alimentar</w:t>
      </w:r>
      <w:r w:rsidRPr="0070294E">
        <w:rPr>
          <w:rFonts w:eastAsia="Times New Roman"/>
        </w:rPr>
        <w:t>. É estimado que apenas um litro de óleo não descartado corretamente basta para contaminar 1 milhão de litros de água</w:t>
      </w:r>
      <w:r w:rsidRPr="00521ACF">
        <w:rPr>
          <w:rFonts w:eastAsia="Times New Roman"/>
        </w:rPr>
        <w:t xml:space="preserve"> (</w:t>
      </w:r>
      <w:proofErr w:type="spellStart"/>
      <w:r w:rsidRPr="00521ACF">
        <w:rPr>
          <w:rFonts w:eastAsia="Times New Roman"/>
        </w:rPr>
        <w:t>Sohn</w:t>
      </w:r>
      <w:proofErr w:type="spellEnd"/>
      <w:r w:rsidRPr="00521ACF">
        <w:rPr>
          <w:rFonts w:eastAsia="Times New Roman"/>
        </w:rPr>
        <w:t xml:space="preserve"> ,2007)</w:t>
      </w:r>
    </w:p>
    <w:p w:rsidR="00E1195B" w:rsidRDefault="00E1195B" w:rsidP="00E1195B">
      <w:pPr>
        <w:rPr>
          <w:rFonts w:eastAsia="Times New Roman"/>
        </w:rPr>
      </w:pPr>
      <w:r>
        <w:rPr>
          <w:rFonts w:eastAsia="Times New Roman"/>
        </w:rPr>
        <w:lastRenderedPageBreak/>
        <w:t xml:space="preserve">Segundo </w:t>
      </w:r>
      <w:proofErr w:type="spellStart"/>
      <w:r w:rsidRPr="00521ACF">
        <w:rPr>
          <w:rFonts w:eastAsia="Times New Roman"/>
        </w:rPr>
        <w:t>Sohn</w:t>
      </w:r>
      <w:proofErr w:type="spellEnd"/>
      <w:r w:rsidRPr="00521ACF">
        <w:rPr>
          <w:rFonts w:eastAsia="Times New Roman"/>
        </w:rPr>
        <w:t xml:space="preserve"> (2007),</w:t>
      </w:r>
      <w:r w:rsidRPr="00EB3F7E">
        <w:rPr>
          <w:rFonts w:eastAsia="Times New Roman"/>
        </w:rPr>
        <w:t xml:space="preserve"> n</w:t>
      </w:r>
      <w:r>
        <w:rPr>
          <w:rFonts w:eastAsia="Times New Roman"/>
        </w:rPr>
        <w:t xml:space="preserve">ão obstante esse panorama, o setor de lubrificantes é responsável por uma quantia considerável em relação ao gasto de energia e recursos, tanto naturais, quanto financeiros, gerando um número elevado de resíduos gasosos, líquidos e </w:t>
      </w:r>
      <w:proofErr w:type="spellStart"/>
      <w:r>
        <w:rPr>
          <w:rFonts w:eastAsia="Times New Roman"/>
        </w:rPr>
        <w:t>sólídos</w:t>
      </w:r>
      <w:proofErr w:type="spellEnd"/>
      <w:r>
        <w:rPr>
          <w:rFonts w:eastAsia="Times New Roman"/>
        </w:rPr>
        <w:t xml:space="preserve"> tóxicos que impactam diretamente no meio ambiente e na vida da população.</w:t>
      </w:r>
      <w:r w:rsidRPr="00C86C36">
        <w:rPr>
          <w:rFonts w:eastAsia="Times New Roman"/>
        </w:rPr>
        <w:t xml:space="preserve"> </w:t>
      </w:r>
    </w:p>
    <w:p w:rsidR="00E1195B" w:rsidRPr="00B65BDF" w:rsidRDefault="00E1195B" w:rsidP="00E1195B">
      <w:pPr>
        <w:spacing w:after="0" w:line="358" w:lineRule="auto"/>
        <w:ind w:right="20"/>
        <w:rPr>
          <w:rFonts w:eastAsia="Times New Roman" w:cs="Arial"/>
          <w:lang w:eastAsia="pt-BR"/>
        </w:rPr>
      </w:pPr>
      <w:r>
        <w:rPr>
          <w:rFonts w:eastAsia="Times New Roman"/>
        </w:rPr>
        <w:t xml:space="preserve">Fica claro, portanto, que a logística reversa de lubrificantes utilizados na indústria tem papel </w:t>
      </w:r>
      <w:r w:rsidRPr="00B65BDF">
        <w:rPr>
          <w:rFonts w:eastAsia="Times New Roman" w:cs="Arial"/>
          <w:lang w:eastAsia="pt-BR"/>
        </w:rPr>
        <w:t xml:space="preserve">essencial para a prevenção de danos à saúde humana e ao meio ambiente. </w:t>
      </w:r>
    </w:p>
    <w:p w:rsidR="00E1195B" w:rsidRPr="00B65BDF" w:rsidRDefault="00E1195B" w:rsidP="00E1195B">
      <w:pPr>
        <w:spacing w:after="0" w:line="200" w:lineRule="exact"/>
        <w:rPr>
          <w:rFonts w:eastAsia="Times New Roman" w:cs="Arial"/>
          <w:b/>
          <w:lang w:eastAsia="pt-BR"/>
        </w:rPr>
      </w:pPr>
    </w:p>
    <w:p w:rsidR="00E1195B" w:rsidRDefault="00E1195B" w:rsidP="00E1195B">
      <w:pPr>
        <w:spacing w:after="0" w:line="200" w:lineRule="exact"/>
        <w:rPr>
          <w:b/>
        </w:rPr>
      </w:pPr>
    </w:p>
    <w:p w:rsidR="00E1195B" w:rsidRPr="00B65BDF" w:rsidRDefault="00E1195B" w:rsidP="00E1195B">
      <w:pPr>
        <w:spacing w:after="0" w:line="200" w:lineRule="exact"/>
        <w:rPr>
          <w:b/>
        </w:rPr>
      </w:pPr>
    </w:p>
    <w:p w:rsidR="00E1195B" w:rsidRPr="00EB3F7E" w:rsidRDefault="00E1195B" w:rsidP="00E1195B">
      <w:pPr>
        <w:pStyle w:val="Ttulo2"/>
        <w:spacing w:before="0" w:after="0"/>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2.2 </w:t>
      </w:r>
      <w:r w:rsidRPr="00EB3F7E">
        <w:rPr>
          <w:rFonts w:ascii="Times New Roman" w:hAnsi="Times New Roman"/>
          <w:i w:val="0"/>
          <w:color w:val="000000" w:themeColor="text1"/>
          <w:sz w:val="24"/>
          <w:szCs w:val="24"/>
        </w:rPr>
        <w:t xml:space="preserve">Legislação ambiental da logística reversa dos </w:t>
      </w:r>
      <w:proofErr w:type="spellStart"/>
      <w:r w:rsidRPr="00EB3F7E">
        <w:rPr>
          <w:rFonts w:ascii="Times New Roman" w:hAnsi="Times New Roman"/>
          <w:i w:val="0"/>
          <w:color w:val="000000" w:themeColor="text1"/>
          <w:sz w:val="24"/>
          <w:szCs w:val="24"/>
        </w:rPr>
        <w:t>OLUC’s</w:t>
      </w:r>
      <w:proofErr w:type="spellEnd"/>
    </w:p>
    <w:p w:rsidR="00E1195B" w:rsidRDefault="00E1195B" w:rsidP="00E1195B">
      <w:pPr>
        <w:spacing w:after="0" w:line="200" w:lineRule="exact"/>
        <w:rPr>
          <w:rFonts w:ascii="Arial" w:hAnsi="Arial" w:cs="Arial"/>
          <w:color w:val="000000"/>
          <w:sz w:val="21"/>
          <w:szCs w:val="21"/>
          <w:shd w:val="clear" w:color="auto" w:fill="FFFFFF"/>
        </w:rPr>
      </w:pPr>
    </w:p>
    <w:p w:rsidR="00E1195B" w:rsidRPr="00EB3F7E" w:rsidRDefault="00E1195B" w:rsidP="00E1195B">
      <w:pPr>
        <w:rPr>
          <w:rFonts w:eastAsia="Times New Roman"/>
        </w:rPr>
      </w:pPr>
      <w:r w:rsidRPr="00EB3F7E">
        <w:rPr>
          <w:rFonts w:eastAsia="Times New Roman"/>
        </w:rPr>
        <w:t>O óleo lubrificante, ao ser utilizado sofre deterioração de seus componentes, perdendo suas propriedades químicas, tornando-se um resíduo tóxico perigoso. Devido a este fato, foram criadas leis para o controle do recolhimento e coleta deste óleo, além de regular uma destinação final para o produto, para assim diminuir o descarte incorreto e evitar maiores danos ambientais. Segundo a Resolução CONAMA 362/2005 que trata da coleta, recolhimento, e destinação final de óleo lubrificante usado ou contaminado:</w:t>
      </w:r>
    </w:p>
    <w:p w:rsidR="00E1195B" w:rsidRPr="00DA2AEB" w:rsidRDefault="00E1195B" w:rsidP="00E1195B">
      <w:pPr>
        <w:spacing w:line="336" w:lineRule="auto"/>
        <w:ind w:left="2247" w:hanging="13"/>
        <w:rPr>
          <w:rFonts w:cs="Times New Roman"/>
          <w:sz w:val="20"/>
        </w:rPr>
      </w:pPr>
      <w:r>
        <w:rPr>
          <w:rFonts w:cs="Times New Roman"/>
          <w:sz w:val="20"/>
        </w:rPr>
        <w:t>“</w:t>
      </w:r>
      <w:r w:rsidRPr="00DA2AEB">
        <w:rPr>
          <w:rFonts w:cs="Times New Roman"/>
          <w:sz w:val="20"/>
        </w:rPr>
        <w:t>Art. 1º: Todo óleo lubrificante usado ou contaminado deverá ser recolhido, coletado e ter destinação final, de modo que não afete negativamente o meio ambiente e propicie a máxima recuperação dos constituintes nele contidos, na forma prevista nesta Resolução.</w:t>
      </w:r>
      <w:r>
        <w:rPr>
          <w:rFonts w:cs="Times New Roman"/>
          <w:sz w:val="20"/>
        </w:rPr>
        <w:t>”</w:t>
      </w:r>
    </w:p>
    <w:p w:rsidR="00E1195B" w:rsidRPr="00EB3F7E" w:rsidRDefault="00E1195B" w:rsidP="00E1195B">
      <w:pPr>
        <w:rPr>
          <w:rFonts w:eastAsia="Times New Roman"/>
        </w:rPr>
      </w:pPr>
      <w:r w:rsidRPr="00693198">
        <w:rPr>
          <w:rFonts w:eastAsia="Times New Roman" w:cs="Arial"/>
          <w:lang w:eastAsia="pt-BR"/>
        </w:rPr>
        <w:t xml:space="preserve"> </w:t>
      </w:r>
      <w:r w:rsidRPr="00EB3F7E">
        <w:rPr>
          <w:rFonts w:eastAsia="Times New Roman"/>
        </w:rPr>
        <w:t xml:space="preserve">Foi determinada na Resolução CONAMA 362/2005 a responsabilidade ao produtor e importador de realizar o recolhimento, coleta e destinação final do óleo utilizado, criando assim a necessidade de os mesmos realizarem toda a logística reversa deste produto, garantindo a destinação final do óleo lubrificante usado ou contaminado. Além disso, a identificação da quantidade de óleo a ser recolhida pelos produtores e importadores está diretamente relacionada com a proporção da quantidade de óleo distribuída por eles no mercado.  </w:t>
      </w:r>
    </w:p>
    <w:p w:rsidR="00E1195B" w:rsidRDefault="00E1195B" w:rsidP="00E1195B">
      <w:pPr>
        <w:rPr>
          <w:rFonts w:eastAsia="Times New Roman" w:cs="Arial"/>
          <w:lang w:eastAsia="pt-BR"/>
        </w:rPr>
      </w:pPr>
      <w:r w:rsidRPr="00EB3F7E">
        <w:rPr>
          <w:rFonts w:eastAsia="Times New Roman"/>
        </w:rPr>
        <w:t xml:space="preserve">Segundo a Resolução CONAMA nº 362/2005 partir da coleta do óleo usado, uma técnica, chamada de </w:t>
      </w:r>
      <w:proofErr w:type="spellStart"/>
      <w:r w:rsidRPr="00EB3F7E">
        <w:rPr>
          <w:rFonts w:eastAsia="Times New Roman"/>
        </w:rPr>
        <w:t>rerrefino</w:t>
      </w:r>
      <w:proofErr w:type="spellEnd"/>
      <w:r w:rsidRPr="00EB3F7E">
        <w:rPr>
          <w:rFonts w:eastAsia="Times New Roman"/>
        </w:rPr>
        <w:t xml:space="preserve">, é utilizada para a reintegração do óleo contaminado por meio da reciclagem e da recuperação de suas características químicas primarias. Porém nem sempre este processo é realizado de modo correto, já que diversos estabelecimentos em todo o território nacional realizam a coleta deste óleo para outros fins divergindo do que é regulado pela legislação atual.  </w:t>
      </w:r>
      <w:r w:rsidRPr="00EB3F7E">
        <w:rPr>
          <w:rFonts w:eastAsia="Times New Roman"/>
        </w:rPr>
        <w:tab/>
      </w:r>
    </w:p>
    <w:p w:rsidR="00E1195B" w:rsidRPr="00DA2AEB" w:rsidRDefault="00E1195B" w:rsidP="00E1195B">
      <w:pPr>
        <w:spacing w:line="336" w:lineRule="auto"/>
        <w:ind w:left="2247" w:hanging="13"/>
        <w:rPr>
          <w:rFonts w:cs="Times New Roman"/>
          <w:sz w:val="20"/>
        </w:rPr>
      </w:pPr>
      <w:r w:rsidRPr="00DA2AEB">
        <w:rPr>
          <w:rFonts w:cs="Times New Roman"/>
          <w:sz w:val="20"/>
        </w:rPr>
        <w:lastRenderedPageBreak/>
        <w:t xml:space="preserve">“A prática tecnicamente recomendada para evitar a contaminação ambiental — estabelecida pela Resolução Conama nº 362/2005 — é o envio do óleo lubrificante usado para reciclagem e recuperação de seus componentes úteis por meio de um processo industrial conhecido como </w:t>
      </w:r>
      <w:proofErr w:type="spellStart"/>
      <w:r w:rsidRPr="00DA2AEB">
        <w:rPr>
          <w:rFonts w:cs="Times New Roman"/>
          <w:sz w:val="20"/>
        </w:rPr>
        <w:t>rerrefino</w:t>
      </w:r>
      <w:proofErr w:type="spellEnd"/>
      <w:r w:rsidRPr="00DA2AEB">
        <w:rPr>
          <w:rFonts w:cs="Times New Roman"/>
          <w:sz w:val="20"/>
        </w:rPr>
        <w:t>.”</w:t>
      </w:r>
    </w:p>
    <w:p w:rsidR="00E1195B" w:rsidRPr="00EB3F7E" w:rsidRDefault="00E1195B" w:rsidP="00E1195B">
      <w:pPr>
        <w:rPr>
          <w:rFonts w:eastAsia="Times New Roman"/>
        </w:rPr>
      </w:pPr>
      <w:r w:rsidRPr="00EB3F7E">
        <w:rPr>
          <w:rFonts w:eastAsia="Times New Roman"/>
        </w:rPr>
        <w:t xml:space="preserve">Devido ao fato do petróleo brasileiro ser considerado pobre em óleo básico em consequência das suas características químicas e este insumo ainda ser necessário para a fabricação de óleo lubrificante, o processo de </w:t>
      </w:r>
      <w:proofErr w:type="spellStart"/>
      <w:r w:rsidRPr="00EB3F7E">
        <w:rPr>
          <w:rFonts w:eastAsia="Times New Roman"/>
        </w:rPr>
        <w:t>rerrefino</w:t>
      </w:r>
      <w:proofErr w:type="spellEnd"/>
      <w:r w:rsidRPr="00EB3F7E">
        <w:rPr>
          <w:rFonts w:eastAsia="Times New Roman"/>
        </w:rPr>
        <w:t xml:space="preserve"> possui grande relevância para a </w:t>
      </w:r>
      <w:proofErr w:type="spellStart"/>
      <w:proofErr w:type="gramStart"/>
      <w:r w:rsidRPr="00EB3F7E">
        <w:rPr>
          <w:rFonts w:eastAsia="Times New Roman"/>
        </w:rPr>
        <w:t>politica</w:t>
      </w:r>
      <w:proofErr w:type="spellEnd"/>
      <w:proofErr w:type="gramEnd"/>
      <w:r w:rsidRPr="00EB3F7E">
        <w:rPr>
          <w:rFonts w:eastAsia="Times New Roman"/>
        </w:rPr>
        <w:t xml:space="preserve"> estratégica econômica do país, pois este processo realiza a recuperação das partículas nobres presentes no óleo lubrificante. Isso diminui tanto a necessidade de os fabricantes realizarem a importação deste petróleo leve, quanto a produção de novas quantidades deste material que demanda muita energia (CONAMA, 2005).</w:t>
      </w:r>
    </w:p>
    <w:p w:rsidR="00E1195B" w:rsidRPr="00EB3F7E" w:rsidRDefault="00E1195B" w:rsidP="00E1195B">
      <w:pPr>
        <w:rPr>
          <w:rFonts w:eastAsia="Times New Roman"/>
        </w:rPr>
      </w:pPr>
      <w:r w:rsidRPr="00EB3F7E">
        <w:rPr>
          <w:rFonts w:eastAsia="Times New Roman"/>
        </w:rPr>
        <w:t>Para o controle e aumento de quantidade de óleo devidamente reciclado, o governo criou um sistema de metas, cabendo aos Ministérios de Meio Ambiente e de Minas e Energia atribuir acompanhar o cumprimento das metas da coleta de óleo lubrificante usado e contaminado pelo produtor e importador.</w:t>
      </w:r>
    </w:p>
    <w:p w:rsidR="00E1195B" w:rsidRPr="00DA2AEB" w:rsidRDefault="00E1195B" w:rsidP="00E1195B">
      <w:pPr>
        <w:spacing w:line="240" w:lineRule="auto"/>
        <w:ind w:left="2247" w:hanging="13"/>
        <w:rPr>
          <w:rFonts w:cs="Times New Roman"/>
          <w:sz w:val="20"/>
        </w:rPr>
      </w:pPr>
      <w:r w:rsidRPr="00DA2AEB">
        <w:rPr>
          <w:rFonts w:cs="Times New Roman"/>
          <w:sz w:val="20"/>
        </w:rPr>
        <w:t xml:space="preserve">“I - </w:t>
      </w:r>
      <w:proofErr w:type="gramStart"/>
      <w:r w:rsidRPr="00DA2AEB">
        <w:rPr>
          <w:rFonts w:cs="Times New Roman"/>
          <w:sz w:val="20"/>
        </w:rPr>
        <w:t>análise</w:t>
      </w:r>
      <w:proofErr w:type="gramEnd"/>
      <w:r w:rsidRPr="00DA2AEB">
        <w:rPr>
          <w:rFonts w:cs="Times New Roman"/>
          <w:sz w:val="20"/>
        </w:rPr>
        <w:t xml:space="preserve"> do mercado de óleos lubrificantes acabados, na qual serão considerados os dados dos últimos três anos;</w:t>
      </w:r>
    </w:p>
    <w:p w:rsidR="00E1195B" w:rsidRPr="00DA2AEB" w:rsidRDefault="00E1195B" w:rsidP="00E1195B">
      <w:pPr>
        <w:spacing w:line="240" w:lineRule="auto"/>
        <w:ind w:left="2247" w:hanging="13"/>
        <w:rPr>
          <w:rFonts w:cs="Times New Roman"/>
          <w:sz w:val="20"/>
        </w:rPr>
      </w:pPr>
      <w:r w:rsidRPr="00DA2AEB">
        <w:rPr>
          <w:rFonts w:cs="Times New Roman"/>
          <w:sz w:val="20"/>
        </w:rPr>
        <w:t xml:space="preserve">II - </w:t>
      </w:r>
      <w:proofErr w:type="gramStart"/>
      <w:r w:rsidRPr="00DA2AEB">
        <w:rPr>
          <w:rFonts w:cs="Times New Roman"/>
          <w:sz w:val="20"/>
        </w:rPr>
        <w:t>tendência</w:t>
      </w:r>
      <w:proofErr w:type="gramEnd"/>
      <w:r w:rsidRPr="00DA2AEB">
        <w:rPr>
          <w:rFonts w:cs="Times New Roman"/>
          <w:sz w:val="20"/>
        </w:rPr>
        <w:t xml:space="preserve"> da frota nacional quer seja rodoviária, ferroviária, naval ou aérea;</w:t>
      </w:r>
    </w:p>
    <w:p w:rsidR="00E1195B" w:rsidRPr="00DA2AEB" w:rsidRDefault="00E1195B" w:rsidP="00E1195B">
      <w:pPr>
        <w:spacing w:line="240" w:lineRule="auto"/>
        <w:ind w:left="2247" w:hanging="13"/>
        <w:rPr>
          <w:rFonts w:cs="Times New Roman"/>
          <w:sz w:val="20"/>
        </w:rPr>
      </w:pPr>
      <w:r w:rsidRPr="00DA2AEB">
        <w:rPr>
          <w:rFonts w:cs="Times New Roman"/>
          <w:sz w:val="20"/>
        </w:rPr>
        <w:t xml:space="preserve">- </w:t>
      </w:r>
      <w:proofErr w:type="gramStart"/>
      <w:r w:rsidRPr="00DA2AEB">
        <w:rPr>
          <w:rFonts w:cs="Times New Roman"/>
          <w:sz w:val="20"/>
        </w:rPr>
        <w:t>tendência</w:t>
      </w:r>
      <w:proofErr w:type="gramEnd"/>
      <w:r w:rsidRPr="00DA2AEB">
        <w:rPr>
          <w:rFonts w:cs="Times New Roman"/>
          <w:sz w:val="20"/>
        </w:rPr>
        <w:t xml:space="preserve"> do parque máquinas industriais consumidoras de óleo, inclusive agroindustriais;</w:t>
      </w:r>
    </w:p>
    <w:p w:rsidR="00E1195B" w:rsidRPr="00DA2AEB" w:rsidRDefault="00E1195B" w:rsidP="00E1195B">
      <w:pPr>
        <w:spacing w:line="240" w:lineRule="auto"/>
        <w:ind w:left="2247" w:hanging="13"/>
        <w:rPr>
          <w:rFonts w:cs="Times New Roman"/>
          <w:sz w:val="20"/>
        </w:rPr>
      </w:pPr>
      <w:r w:rsidRPr="00DA2AEB">
        <w:rPr>
          <w:rFonts w:cs="Times New Roman"/>
          <w:sz w:val="20"/>
        </w:rPr>
        <w:t xml:space="preserve">IV - </w:t>
      </w:r>
      <w:proofErr w:type="gramStart"/>
      <w:r w:rsidRPr="00DA2AEB">
        <w:rPr>
          <w:rFonts w:cs="Times New Roman"/>
          <w:sz w:val="20"/>
        </w:rPr>
        <w:t>capacidade</w:t>
      </w:r>
      <w:proofErr w:type="gramEnd"/>
      <w:r w:rsidRPr="00DA2AEB">
        <w:rPr>
          <w:rFonts w:cs="Times New Roman"/>
          <w:sz w:val="20"/>
        </w:rPr>
        <w:t xml:space="preserve"> instalada de </w:t>
      </w:r>
      <w:proofErr w:type="spellStart"/>
      <w:r w:rsidRPr="00DA2AEB">
        <w:rPr>
          <w:rFonts w:cs="Times New Roman"/>
          <w:sz w:val="20"/>
        </w:rPr>
        <w:t>rerrefino</w:t>
      </w:r>
      <w:proofErr w:type="spellEnd"/>
      <w:r w:rsidRPr="00DA2AEB">
        <w:rPr>
          <w:rFonts w:cs="Times New Roman"/>
          <w:sz w:val="20"/>
        </w:rPr>
        <w:t>;</w:t>
      </w:r>
    </w:p>
    <w:p w:rsidR="00E1195B" w:rsidRPr="00DA2AEB" w:rsidRDefault="00E1195B" w:rsidP="00E1195B">
      <w:pPr>
        <w:spacing w:line="240" w:lineRule="auto"/>
        <w:ind w:left="2247" w:hanging="13"/>
        <w:rPr>
          <w:rFonts w:cs="Times New Roman"/>
          <w:sz w:val="20"/>
        </w:rPr>
      </w:pPr>
      <w:r w:rsidRPr="00DA2AEB">
        <w:rPr>
          <w:rFonts w:cs="Times New Roman"/>
          <w:sz w:val="20"/>
        </w:rPr>
        <w:t xml:space="preserve">V - </w:t>
      </w:r>
      <w:proofErr w:type="gramStart"/>
      <w:r w:rsidRPr="00DA2AEB">
        <w:rPr>
          <w:rFonts w:cs="Times New Roman"/>
          <w:sz w:val="20"/>
        </w:rPr>
        <w:t>avaliação</w:t>
      </w:r>
      <w:proofErr w:type="gramEnd"/>
      <w:r w:rsidRPr="00DA2AEB">
        <w:rPr>
          <w:rFonts w:cs="Times New Roman"/>
          <w:sz w:val="20"/>
        </w:rPr>
        <w:t xml:space="preserve"> do sistema de recolhimento e destinação de óleo lubrificante usado ou contaminado;</w:t>
      </w:r>
    </w:p>
    <w:p w:rsidR="00E1195B" w:rsidRPr="00DA2AEB" w:rsidRDefault="00E1195B" w:rsidP="00E1195B">
      <w:pPr>
        <w:spacing w:line="240" w:lineRule="auto"/>
        <w:ind w:left="2247" w:hanging="13"/>
        <w:rPr>
          <w:rFonts w:cs="Times New Roman"/>
          <w:sz w:val="20"/>
        </w:rPr>
      </w:pPr>
      <w:r w:rsidRPr="00DA2AEB">
        <w:rPr>
          <w:rFonts w:cs="Times New Roman"/>
          <w:sz w:val="20"/>
        </w:rPr>
        <w:t xml:space="preserve">VI - </w:t>
      </w:r>
      <w:proofErr w:type="gramStart"/>
      <w:r w:rsidRPr="00DA2AEB">
        <w:rPr>
          <w:rFonts w:cs="Times New Roman"/>
          <w:sz w:val="20"/>
        </w:rPr>
        <w:t>novas</w:t>
      </w:r>
      <w:proofErr w:type="gramEnd"/>
      <w:r w:rsidRPr="00DA2AEB">
        <w:rPr>
          <w:rFonts w:cs="Times New Roman"/>
          <w:sz w:val="20"/>
        </w:rPr>
        <w:t xml:space="preserve"> destinações do óleo lubrificante usado ou contaminado, devidamente autorizadas;</w:t>
      </w:r>
    </w:p>
    <w:p w:rsidR="00E1195B" w:rsidRPr="00DA2AEB" w:rsidRDefault="00E1195B" w:rsidP="00E1195B">
      <w:pPr>
        <w:spacing w:line="240" w:lineRule="auto"/>
        <w:ind w:left="2247" w:hanging="13"/>
        <w:rPr>
          <w:rFonts w:cs="Times New Roman"/>
          <w:sz w:val="20"/>
        </w:rPr>
      </w:pPr>
      <w:r w:rsidRPr="00DA2AEB">
        <w:rPr>
          <w:rFonts w:cs="Times New Roman"/>
          <w:sz w:val="20"/>
        </w:rPr>
        <w:t>VII - critérios regionais; e</w:t>
      </w:r>
    </w:p>
    <w:p w:rsidR="00E1195B" w:rsidRPr="00DA2AEB" w:rsidRDefault="00E1195B" w:rsidP="00E1195B">
      <w:pPr>
        <w:spacing w:line="240" w:lineRule="auto"/>
        <w:ind w:left="2247" w:hanging="13"/>
        <w:rPr>
          <w:rFonts w:cs="Times New Roman"/>
          <w:sz w:val="20"/>
        </w:rPr>
      </w:pPr>
      <w:r w:rsidRPr="00DA2AEB">
        <w:rPr>
          <w:rFonts w:cs="Times New Roman"/>
          <w:sz w:val="20"/>
        </w:rPr>
        <w:t>VIII - as quantidades de óleo usado ou contaminado efetivamente coletadas”.</w:t>
      </w:r>
    </w:p>
    <w:p w:rsidR="00E1195B" w:rsidRDefault="00E1195B" w:rsidP="00E1195B">
      <w:pPr>
        <w:spacing w:after="0" w:line="354" w:lineRule="auto"/>
        <w:ind w:right="20"/>
      </w:pPr>
    </w:p>
    <w:p w:rsidR="00E1195B" w:rsidRDefault="00E1195B" w:rsidP="00E1195B">
      <w:pPr>
        <w:rPr>
          <w:rFonts w:eastAsia="Times New Roman"/>
        </w:rPr>
      </w:pPr>
    </w:p>
    <w:p w:rsidR="00E1195B" w:rsidRDefault="00E1195B" w:rsidP="00E1195B">
      <w:pPr>
        <w:rPr>
          <w:rFonts w:eastAsia="Times New Roman"/>
        </w:rPr>
      </w:pPr>
    </w:p>
    <w:p w:rsidR="00E1195B" w:rsidRPr="00EB3F7E" w:rsidRDefault="00E1195B" w:rsidP="00E1195B">
      <w:pPr>
        <w:jc w:val="center"/>
        <w:rPr>
          <w:rFonts w:eastAsia="Times New Roman"/>
        </w:rPr>
      </w:pPr>
      <w:r w:rsidRPr="00EB3F7E">
        <w:rPr>
          <w:rFonts w:eastAsia="Times New Roman"/>
        </w:rPr>
        <w:t>Tabela1: Metas estabelecidas pelos Ministérios de Meio Ambiente e de Minas e Energia:</w:t>
      </w:r>
    </w:p>
    <w:p w:rsidR="00E1195B" w:rsidRDefault="00E1195B" w:rsidP="00E1195B">
      <w:pPr>
        <w:spacing w:after="0" w:line="354" w:lineRule="auto"/>
        <w:ind w:right="20"/>
        <w:rPr>
          <w:rFonts w:eastAsia="Times New Roman" w:cs="Arial"/>
          <w:lang w:eastAsia="pt-BR"/>
        </w:rPr>
      </w:pPr>
      <w:r w:rsidRPr="00CC5BC1">
        <w:rPr>
          <w:noProof/>
          <w:lang w:eastAsia="pt-BR"/>
        </w:rPr>
        <w:lastRenderedPageBreak/>
        <w:drawing>
          <wp:inline distT="0" distB="0" distL="0" distR="0" wp14:anchorId="170E844B" wp14:editId="22F5E613">
            <wp:extent cx="6229628" cy="21717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228896" cy="2171445"/>
                    </a:xfrm>
                    <a:prstGeom prst="rect">
                      <a:avLst/>
                    </a:prstGeom>
                  </pic:spPr>
                </pic:pic>
              </a:graphicData>
            </a:graphic>
          </wp:inline>
        </w:drawing>
      </w:r>
    </w:p>
    <w:p w:rsidR="00E1195B" w:rsidRDefault="00E1195B" w:rsidP="00E1195B">
      <w:pPr>
        <w:spacing w:after="0" w:line="354" w:lineRule="auto"/>
        <w:ind w:right="20"/>
        <w:jc w:val="center"/>
        <w:rPr>
          <w:rFonts w:eastAsia="Times New Roman" w:cs="Arial"/>
          <w:lang w:eastAsia="pt-BR"/>
        </w:rPr>
      </w:pPr>
      <w:r w:rsidRPr="00EB3F7E">
        <w:rPr>
          <w:rFonts w:eastAsia="Times New Roman" w:cs="Times New Roman"/>
          <w:color w:val="333333"/>
          <w:sz w:val="20"/>
          <w:lang w:eastAsia="pt-BR"/>
        </w:rPr>
        <w:t>Fonte: Adaptado (ANP 2015)</w:t>
      </w:r>
    </w:p>
    <w:p w:rsidR="00E1195B" w:rsidRDefault="00E1195B" w:rsidP="00E1195B">
      <w:pPr>
        <w:spacing w:after="0" w:line="354" w:lineRule="auto"/>
        <w:ind w:right="20"/>
        <w:rPr>
          <w:rFonts w:eastAsia="Times New Roman" w:cs="Arial"/>
          <w:lang w:eastAsia="pt-BR"/>
        </w:rPr>
      </w:pPr>
    </w:p>
    <w:p w:rsidR="00E1195B" w:rsidRPr="00353F66" w:rsidRDefault="00E1195B" w:rsidP="00E1195B">
      <w:pPr>
        <w:spacing w:after="0" w:line="354" w:lineRule="auto"/>
        <w:ind w:right="20"/>
      </w:pPr>
      <w:r>
        <w:t xml:space="preserve">Tabela2: Cumprimento de Metas estabelecidas pelos </w:t>
      </w:r>
      <w:r>
        <w:rPr>
          <w:rFonts w:eastAsia="Times New Roman" w:cs="Arial"/>
          <w:lang w:eastAsia="pt-BR"/>
        </w:rPr>
        <w:t>Ministérios</w:t>
      </w:r>
      <w:r>
        <w:t xml:space="preserve"> de Meio Ambiente e de Minas e Energia:</w:t>
      </w:r>
    </w:p>
    <w:p w:rsidR="00E1195B" w:rsidRDefault="00E1195B" w:rsidP="00E1195B">
      <w:pPr>
        <w:spacing w:after="0" w:line="354" w:lineRule="auto"/>
        <w:ind w:right="20"/>
        <w:jc w:val="center"/>
        <w:rPr>
          <w:rFonts w:eastAsia="Times New Roman" w:cs="Arial"/>
          <w:lang w:eastAsia="pt-BR"/>
        </w:rPr>
      </w:pPr>
      <w:r>
        <w:rPr>
          <w:rFonts w:ascii="Open Sans" w:hAnsi="Open Sans"/>
          <w:b/>
          <w:bCs/>
          <w:noProof/>
          <w:color w:val="000000"/>
          <w:sz w:val="21"/>
          <w:szCs w:val="21"/>
          <w:lang w:eastAsia="pt-BR"/>
        </w:rPr>
        <w:drawing>
          <wp:inline distT="0" distB="0" distL="0" distR="0" wp14:anchorId="4E881C8D" wp14:editId="56BC2929">
            <wp:extent cx="5316279" cy="2413590"/>
            <wp:effectExtent l="0" t="0" r="0" b="6350"/>
            <wp:docPr id="6" name="Imagem 6" descr="cumprimento da meta x meta estabelecida por norm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mprimento da meta x meta estabelecida por normativa"/>
                    <pic:cNvPicPr>
                      <a:picLocks noChangeAspect="1" noChangeArrowheads="1"/>
                    </pic:cNvPicPr>
                  </pic:nvPicPr>
                  <pic:blipFill rotWithShape="1">
                    <a:blip r:embed="rId12">
                      <a:extLst>
                        <a:ext uri="{28A0092B-C50C-407E-A947-70E740481C1C}">
                          <a14:useLocalDpi xmlns:a14="http://schemas.microsoft.com/office/drawing/2010/main" val="0"/>
                        </a:ext>
                      </a:extLst>
                    </a:blip>
                    <a:srcRect l="1575" t="6422" b="16843"/>
                    <a:stretch/>
                  </pic:blipFill>
                  <pic:spPr bwMode="auto">
                    <a:xfrm>
                      <a:off x="0" y="0"/>
                      <a:ext cx="5315000" cy="2413009"/>
                    </a:xfrm>
                    <a:prstGeom prst="rect">
                      <a:avLst/>
                    </a:prstGeom>
                    <a:noFill/>
                    <a:ln>
                      <a:noFill/>
                    </a:ln>
                    <a:extLst>
                      <a:ext uri="{53640926-AAD7-44D8-BBD7-CCE9431645EC}">
                        <a14:shadowObscured xmlns:a14="http://schemas.microsoft.com/office/drawing/2010/main"/>
                      </a:ext>
                    </a:extLst>
                  </pic:spPr>
                </pic:pic>
              </a:graphicData>
            </a:graphic>
          </wp:inline>
        </w:drawing>
      </w:r>
    </w:p>
    <w:p w:rsidR="00E1195B" w:rsidRDefault="00E1195B" w:rsidP="00E1195B">
      <w:pPr>
        <w:spacing w:after="0" w:line="354" w:lineRule="auto"/>
        <w:ind w:right="20"/>
        <w:jc w:val="center"/>
        <w:rPr>
          <w:rFonts w:eastAsia="Times New Roman" w:cs="Times New Roman"/>
          <w:color w:val="333333"/>
          <w:sz w:val="20"/>
          <w:lang w:eastAsia="pt-BR"/>
        </w:rPr>
      </w:pPr>
      <w:r w:rsidRPr="00EB3F7E">
        <w:rPr>
          <w:rFonts w:eastAsia="Times New Roman" w:cs="Times New Roman"/>
          <w:color w:val="333333"/>
          <w:sz w:val="20"/>
          <w:lang w:eastAsia="pt-BR"/>
        </w:rPr>
        <w:t xml:space="preserve">Fonte </w:t>
      </w:r>
      <w:proofErr w:type="gramStart"/>
      <w:r w:rsidRPr="00EB3F7E">
        <w:rPr>
          <w:rFonts w:eastAsia="Times New Roman" w:cs="Times New Roman"/>
          <w:color w:val="333333"/>
          <w:sz w:val="20"/>
          <w:lang w:eastAsia="pt-BR"/>
        </w:rPr>
        <w:t>Agencia</w:t>
      </w:r>
      <w:proofErr w:type="gramEnd"/>
      <w:r w:rsidRPr="00EB3F7E">
        <w:rPr>
          <w:rFonts w:eastAsia="Times New Roman" w:cs="Times New Roman"/>
          <w:color w:val="333333"/>
          <w:sz w:val="20"/>
          <w:lang w:eastAsia="pt-BR"/>
        </w:rPr>
        <w:t xml:space="preserve"> Nacional do Petróleo, Gás Natural e </w:t>
      </w:r>
      <w:proofErr w:type="spellStart"/>
      <w:r w:rsidRPr="00EB3F7E">
        <w:rPr>
          <w:rFonts w:eastAsia="Times New Roman" w:cs="Times New Roman"/>
          <w:color w:val="333333"/>
          <w:sz w:val="20"/>
          <w:lang w:eastAsia="pt-BR"/>
        </w:rPr>
        <w:t>Brocombustíveis</w:t>
      </w:r>
      <w:proofErr w:type="spellEnd"/>
      <w:r w:rsidRPr="00EB3F7E">
        <w:rPr>
          <w:rFonts w:eastAsia="Times New Roman" w:cs="Times New Roman"/>
          <w:color w:val="333333"/>
          <w:sz w:val="20"/>
          <w:lang w:eastAsia="pt-BR"/>
        </w:rPr>
        <w:t xml:space="preserve"> </w:t>
      </w:r>
      <w:r>
        <w:rPr>
          <w:rFonts w:eastAsia="Times New Roman" w:cs="Times New Roman"/>
          <w:color w:val="333333"/>
          <w:sz w:val="20"/>
          <w:lang w:eastAsia="pt-BR"/>
        </w:rPr>
        <w:t>–</w:t>
      </w:r>
      <w:r w:rsidRPr="00EB3F7E">
        <w:rPr>
          <w:rFonts w:eastAsia="Times New Roman" w:cs="Times New Roman"/>
          <w:color w:val="333333"/>
          <w:sz w:val="20"/>
          <w:lang w:eastAsia="pt-BR"/>
        </w:rPr>
        <w:t xml:space="preserve"> ANP</w:t>
      </w:r>
    </w:p>
    <w:p w:rsidR="00E1195B" w:rsidRDefault="00E1195B" w:rsidP="00E1195B">
      <w:pPr>
        <w:spacing w:after="0" w:line="354" w:lineRule="auto"/>
        <w:ind w:right="20"/>
        <w:jc w:val="center"/>
        <w:rPr>
          <w:rFonts w:eastAsia="Times New Roman" w:cs="Times New Roman"/>
          <w:color w:val="333333"/>
          <w:sz w:val="20"/>
          <w:lang w:eastAsia="pt-BR"/>
        </w:rPr>
      </w:pPr>
    </w:p>
    <w:p w:rsidR="00E1195B" w:rsidRPr="00EB3F7E" w:rsidRDefault="00E1195B" w:rsidP="00E1195B">
      <w:pPr>
        <w:spacing w:after="0" w:line="354" w:lineRule="auto"/>
        <w:ind w:right="20"/>
        <w:jc w:val="center"/>
        <w:rPr>
          <w:rFonts w:eastAsia="Times New Roman" w:cs="Times New Roman"/>
          <w:color w:val="333333"/>
          <w:sz w:val="20"/>
          <w:lang w:eastAsia="pt-BR"/>
        </w:rPr>
      </w:pPr>
    </w:p>
    <w:p w:rsidR="00E1195B" w:rsidRDefault="00E1195B" w:rsidP="00E1195B">
      <w:pPr>
        <w:pStyle w:val="Ttulo2"/>
        <w:numPr>
          <w:ilvl w:val="1"/>
          <w:numId w:val="5"/>
        </w:numPr>
        <w:spacing w:before="0" w:after="0"/>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Distribuição territorial de estações coletores e de </w:t>
      </w:r>
      <w:proofErr w:type="spellStart"/>
      <w:r>
        <w:rPr>
          <w:rFonts w:ascii="Times New Roman" w:hAnsi="Times New Roman"/>
          <w:i w:val="0"/>
          <w:color w:val="000000" w:themeColor="text1"/>
          <w:sz w:val="24"/>
          <w:szCs w:val="24"/>
        </w:rPr>
        <w:t>rerrefino</w:t>
      </w:r>
      <w:proofErr w:type="spellEnd"/>
      <w:r>
        <w:rPr>
          <w:rFonts w:ascii="Times New Roman" w:hAnsi="Times New Roman"/>
          <w:i w:val="0"/>
          <w:color w:val="000000" w:themeColor="text1"/>
          <w:sz w:val="24"/>
          <w:szCs w:val="24"/>
        </w:rPr>
        <w:t xml:space="preserve"> do OLUC</w:t>
      </w:r>
    </w:p>
    <w:p w:rsidR="00E1195B" w:rsidRDefault="00E1195B" w:rsidP="00E1195B">
      <w:pPr>
        <w:spacing w:after="0" w:line="354" w:lineRule="auto"/>
        <w:ind w:right="20"/>
      </w:pPr>
    </w:p>
    <w:p w:rsidR="00E1195B" w:rsidRPr="00B84111" w:rsidRDefault="00E1195B" w:rsidP="00E1195B">
      <w:pPr>
        <w:spacing w:after="0" w:line="354" w:lineRule="auto"/>
        <w:ind w:right="20"/>
      </w:pPr>
      <w:r w:rsidRPr="00B84111">
        <w:t xml:space="preserve">Figura </w:t>
      </w:r>
      <w:r w:rsidRPr="00B84111">
        <w:fldChar w:fldCharType="begin"/>
      </w:r>
      <w:r w:rsidRPr="00B84111">
        <w:instrText xml:space="preserve"> SEQ Figura \* ARABIC </w:instrText>
      </w:r>
      <w:r w:rsidRPr="00B84111">
        <w:fldChar w:fldCharType="separate"/>
      </w:r>
      <w:r w:rsidRPr="00B84111">
        <w:t>1</w:t>
      </w:r>
      <w:r w:rsidRPr="00B84111">
        <w:fldChar w:fldCharType="end"/>
      </w:r>
      <w:r w:rsidRPr="00B84111">
        <w:t xml:space="preserve"> Estações de coleta de </w:t>
      </w:r>
      <w:proofErr w:type="spellStart"/>
      <w:r w:rsidRPr="00B84111">
        <w:t>OLUC's</w:t>
      </w:r>
      <w:proofErr w:type="spellEnd"/>
      <w:r w:rsidRPr="00B84111">
        <w:t xml:space="preserve"> no Brasil</w:t>
      </w:r>
    </w:p>
    <w:p w:rsidR="00E1195B" w:rsidRPr="00874150" w:rsidRDefault="00E1195B" w:rsidP="00E1195B">
      <w:pPr>
        <w:rPr>
          <w:rFonts w:eastAsia="Times New Roman"/>
        </w:rPr>
      </w:pPr>
      <w:r w:rsidRPr="00874150">
        <w:rPr>
          <w:rFonts w:eastAsia="Times New Roman"/>
          <w:noProof/>
          <w:lang w:eastAsia="pt-BR"/>
        </w:rPr>
        <w:lastRenderedPageBreak/>
        <w:drawing>
          <wp:inline distT="0" distB="0" distL="0" distR="0" wp14:anchorId="0B83DEDE" wp14:editId="5D099D60">
            <wp:extent cx="5849620" cy="3251835"/>
            <wp:effectExtent l="0" t="0" r="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AÇÕES DE COLETA NO BRASIL.png"/>
                    <pic:cNvPicPr/>
                  </pic:nvPicPr>
                  <pic:blipFill>
                    <a:blip r:embed="rId13">
                      <a:extLst>
                        <a:ext uri="{28A0092B-C50C-407E-A947-70E740481C1C}">
                          <a14:useLocalDpi xmlns:a14="http://schemas.microsoft.com/office/drawing/2010/main" val="0"/>
                        </a:ext>
                      </a:extLst>
                    </a:blip>
                    <a:stretch>
                      <a:fillRect/>
                    </a:stretch>
                  </pic:blipFill>
                  <pic:spPr>
                    <a:xfrm>
                      <a:off x="0" y="0"/>
                      <a:ext cx="5849620" cy="3251835"/>
                    </a:xfrm>
                    <a:prstGeom prst="rect">
                      <a:avLst/>
                    </a:prstGeom>
                  </pic:spPr>
                </pic:pic>
              </a:graphicData>
            </a:graphic>
          </wp:inline>
        </w:drawing>
      </w:r>
    </w:p>
    <w:p w:rsidR="00E1195B" w:rsidRDefault="00E1195B" w:rsidP="00E1195B">
      <w:pPr>
        <w:spacing w:after="0" w:line="354" w:lineRule="auto"/>
        <w:ind w:right="20"/>
        <w:jc w:val="center"/>
        <w:rPr>
          <w:rFonts w:eastAsia="Times New Roman" w:cs="Times New Roman"/>
          <w:color w:val="333333"/>
          <w:sz w:val="20"/>
          <w:lang w:eastAsia="pt-BR"/>
        </w:rPr>
      </w:pPr>
      <w:r w:rsidRPr="00EB3F7E">
        <w:rPr>
          <w:rFonts w:eastAsia="Times New Roman" w:cs="Times New Roman"/>
          <w:color w:val="333333"/>
          <w:sz w:val="20"/>
          <w:lang w:eastAsia="pt-BR"/>
        </w:rPr>
        <w:t>Fonte</w:t>
      </w:r>
      <w:r>
        <w:rPr>
          <w:rFonts w:eastAsia="Times New Roman" w:cs="Times New Roman"/>
          <w:color w:val="333333"/>
          <w:sz w:val="20"/>
          <w:lang w:eastAsia="pt-BR"/>
        </w:rPr>
        <w:t xml:space="preserve"> Boletim de lubrificantes ANP, outubro de 2017</w:t>
      </w:r>
    </w:p>
    <w:p w:rsidR="00E1195B" w:rsidRDefault="00E1195B" w:rsidP="00E1195B">
      <w:pPr>
        <w:rPr>
          <w:rFonts w:eastAsia="Times New Roman"/>
        </w:rPr>
      </w:pPr>
      <w:r>
        <w:rPr>
          <w:rFonts w:eastAsia="Times New Roman"/>
        </w:rPr>
        <w:t xml:space="preserve">Na figura 1, onde é indicado a localização das estações de coletas de OLUC no Brasil, pode se notar que </w:t>
      </w:r>
      <w:r w:rsidRPr="001179CA">
        <w:rPr>
          <w:rFonts w:eastAsia="Times New Roman"/>
        </w:rPr>
        <w:t xml:space="preserve">número de coletores registrados é extremamente baixo para um país como o Brasil e mais da metade dos coletores estão concentrados apenas no estado de São Paulo. Quando comparado o número de coletores ao número de produtores e importadores de óleo acabado, fica claro como existe um déficit na logística reversa dos </w:t>
      </w:r>
      <w:proofErr w:type="spellStart"/>
      <w:r w:rsidRPr="001179CA">
        <w:rPr>
          <w:rFonts w:eastAsia="Times New Roman"/>
        </w:rPr>
        <w:t>OLUC’s</w:t>
      </w:r>
      <w:proofErr w:type="spellEnd"/>
      <w:r w:rsidRPr="001179CA">
        <w:rPr>
          <w:rFonts w:eastAsia="Times New Roman"/>
        </w:rPr>
        <w:t xml:space="preserve">. Enquanto que há 302 produtores e importadores de óleos acabados, existem apenas 27 estações de coleta devidamente registradas na </w:t>
      </w:r>
      <w:proofErr w:type="gramStart"/>
      <w:r w:rsidRPr="001179CA">
        <w:rPr>
          <w:rFonts w:eastAsia="Times New Roman"/>
        </w:rPr>
        <w:t>Agencia</w:t>
      </w:r>
      <w:proofErr w:type="gramEnd"/>
      <w:r w:rsidRPr="001179CA">
        <w:rPr>
          <w:rFonts w:eastAsia="Times New Roman"/>
        </w:rPr>
        <w:t xml:space="preserve"> Nacional do Petróleo, Gás Natural e Biocombustíveis.</w:t>
      </w:r>
    </w:p>
    <w:p w:rsidR="00E1195B" w:rsidRDefault="00E1195B" w:rsidP="00E1195B">
      <w:pPr>
        <w:rPr>
          <w:rFonts w:eastAsia="Times New Roman"/>
        </w:rPr>
      </w:pPr>
      <w:r>
        <w:rPr>
          <w:rFonts w:eastAsia="Times New Roman"/>
        </w:rPr>
        <w:t>Na grande maioria dos estados, uma mesma estação de coleta atende a diversos municípios, a figura 2 mostra o número de municípios por estado que possuem ou não coleta.</w:t>
      </w:r>
    </w:p>
    <w:p w:rsidR="00E1195B" w:rsidRPr="00C974DD" w:rsidRDefault="00E1195B" w:rsidP="00E1195B">
      <w:pPr>
        <w:spacing w:after="0" w:line="354" w:lineRule="auto"/>
        <w:ind w:right="20"/>
      </w:pPr>
      <w:r w:rsidRPr="00B84111">
        <w:t xml:space="preserve">Figura </w:t>
      </w:r>
      <w:r>
        <w:t>2</w:t>
      </w:r>
      <w:r w:rsidRPr="00B84111">
        <w:t xml:space="preserve"> </w:t>
      </w:r>
      <w:r>
        <w:t>Municípios com coleta no Brasil</w:t>
      </w:r>
    </w:p>
    <w:p w:rsidR="00E1195B" w:rsidRDefault="00E1195B" w:rsidP="00E1195B">
      <w:pPr>
        <w:rPr>
          <w:rFonts w:eastAsia="Times New Roman"/>
        </w:rPr>
      </w:pPr>
      <w:r>
        <w:rPr>
          <w:rFonts w:eastAsia="Times New Roman"/>
          <w:noProof/>
          <w:lang w:eastAsia="pt-BR"/>
        </w:rPr>
        <w:lastRenderedPageBreak/>
        <w:drawing>
          <wp:inline distT="0" distB="0" distL="0" distR="0" wp14:anchorId="54E74497" wp14:editId="473F3118">
            <wp:extent cx="5849620" cy="370078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UMERO DE MUNICIPIOS ONDE FOI REALIZADA A COLETA.png"/>
                    <pic:cNvPicPr/>
                  </pic:nvPicPr>
                  <pic:blipFill>
                    <a:blip r:embed="rId14">
                      <a:extLst>
                        <a:ext uri="{28A0092B-C50C-407E-A947-70E740481C1C}">
                          <a14:useLocalDpi xmlns:a14="http://schemas.microsoft.com/office/drawing/2010/main" val="0"/>
                        </a:ext>
                      </a:extLst>
                    </a:blip>
                    <a:stretch>
                      <a:fillRect/>
                    </a:stretch>
                  </pic:blipFill>
                  <pic:spPr>
                    <a:xfrm>
                      <a:off x="0" y="0"/>
                      <a:ext cx="5849620" cy="3700780"/>
                    </a:xfrm>
                    <a:prstGeom prst="rect">
                      <a:avLst/>
                    </a:prstGeom>
                  </pic:spPr>
                </pic:pic>
              </a:graphicData>
            </a:graphic>
          </wp:inline>
        </w:drawing>
      </w:r>
    </w:p>
    <w:p w:rsidR="00E1195B" w:rsidRDefault="00E1195B" w:rsidP="00E1195B">
      <w:pPr>
        <w:spacing w:after="0" w:line="354" w:lineRule="auto"/>
        <w:ind w:right="20"/>
        <w:jc w:val="center"/>
        <w:rPr>
          <w:rFonts w:eastAsia="Times New Roman" w:cs="Times New Roman"/>
          <w:color w:val="333333"/>
          <w:sz w:val="20"/>
          <w:lang w:eastAsia="pt-BR"/>
        </w:rPr>
      </w:pPr>
      <w:r w:rsidRPr="00EB3F7E">
        <w:rPr>
          <w:rFonts w:eastAsia="Times New Roman" w:cs="Times New Roman"/>
          <w:color w:val="333333"/>
          <w:sz w:val="20"/>
          <w:lang w:eastAsia="pt-BR"/>
        </w:rPr>
        <w:t>Fonte</w:t>
      </w:r>
      <w:r>
        <w:rPr>
          <w:rFonts w:eastAsia="Times New Roman" w:cs="Times New Roman"/>
          <w:color w:val="333333"/>
          <w:sz w:val="20"/>
          <w:lang w:eastAsia="pt-BR"/>
        </w:rPr>
        <w:t xml:space="preserve"> Boletim de lubrificantes ANP, outubro de 2017</w:t>
      </w:r>
    </w:p>
    <w:p w:rsidR="00E1195B" w:rsidRDefault="00E1195B" w:rsidP="00E1195B">
      <w:pPr>
        <w:rPr>
          <w:rFonts w:eastAsia="Times New Roman"/>
        </w:rPr>
      </w:pPr>
      <w:r>
        <w:rPr>
          <w:rFonts w:eastAsia="Times New Roman"/>
        </w:rPr>
        <w:t>A figura 1 em conjunto com a figura 2 indicam que existe uma relação entre o número de estações coletoras no estado e o número de municípios atendidos pela coleta. Além do número de estações de coleta, a qualidade das estradas e facilidade de locomoção entre um município e outro afetam diretamente o nível de atendimento destas estações, sendo o estado do Amazonas o mais afetado por essas características visto que muitas de suas estradas não são asfaltadas e atravessam grandes partes da floresta amazônica.</w:t>
      </w:r>
    </w:p>
    <w:p w:rsidR="00E1195B" w:rsidRPr="00874150" w:rsidRDefault="00E1195B" w:rsidP="00E1195B">
      <w:pPr>
        <w:rPr>
          <w:rFonts w:cs="Times New Roman"/>
          <w:szCs w:val="24"/>
        </w:rPr>
      </w:pPr>
      <w:r w:rsidRPr="00874150">
        <w:rPr>
          <w:rFonts w:cs="Times New Roman"/>
          <w:szCs w:val="24"/>
        </w:rPr>
        <w:t xml:space="preserve">Para se tornar um coletor de </w:t>
      </w:r>
      <w:proofErr w:type="spellStart"/>
      <w:r w:rsidRPr="00874150">
        <w:rPr>
          <w:rFonts w:cs="Times New Roman"/>
          <w:szCs w:val="24"/>
        </w:rPr>
        <w:t>OLUC’s</w:t>
      </w:r>
      <w:proofErr w:type="spellEnd"/>
      <w:r w:rsidRPr="00874150">
        <w:rPr>
          <w:rFonts w:cs="Times New Roman"/>
          <w:szCs w:val="24"/>
        </w:rPr>
        <w:t xml:space="preserve">, a </w:t>
      </w:r>
      <w:proofErr w:type="gramStart"/>
      <w:r w:rsidRPr="00874150">
        <w:rPr>
          <w:rFonts w:cs="Times New Roman"/>
          <w:szCs w:val="24"/>
        </w:rPr>
        <w:t>agencia</w:t>
      </w:r>
      <w:proofErr w:type="gramEnd"/>
      <w:r w:rsidRPr="00874150">
        <w:rPr>
          <w:rFonts w:cs="Times New Roman"/>
          <w:szCs w:val="24"/>
        </w:rPr>
        <w:t xml:space="preserve"> nacional do Petróleo, Gás Natural e Biocombustíveis exige que seja realizado um cadastro onde devem ser entregues as seguintes documentações:</w:t>
      </w:r>
    </w:p>
    <w:p w:rsidR="00E1195B" w:rsidRPr="00874150" w:rsidRDefault="00E1195B" w:rsidP="00E1195B">
      <w:pPr>
        <w:pStyle w:val="PargrafodaLista"/>
        <w:numPr>
          <w:ilvl w:val="0"/>
          <w:numId w:val="6"/>
        </w:numPr>
        <w:spacing w:line="360" w:lineRule="auto"/>
        <w:rPr>
          <w:rFonts w:ascii="Times New Roman" w:hAnsi="Times New Roman" w:cs="Times New Roman"/>
          <w:sz w:val="24"/>
          <w:szCs w:val="24"/>
        </w:rPr>
      </w:pPr>
      <w:r w:rsidRPr="00874150">
        <w:rPr>
          <w:rFonts w:ascii="Times New Roman" w:hAnsi="Times New Roman" w:cs="Times New Roman"/>
          <w:sz w:val="24"/>
          <w:szCs w:val="24"/>
        </w:rPr>
        <w:t>Habilitação e autorização para o exercício da atividade: POI n° 27</w:t>
      </w:r>
    </w:p>
    <w:p w:rsidR="00E1195B" w:rsidRPr="00874150" w:rsidRDefault="00E1195B" w:rsidP="00E1195B">
      <w:pPr>
        <w:pStyle w:val="PargrafodaLista"/>
        <w:numPr>
          <w:ilvl w:val="0"/>
          <w:numId w:val="6"/>
        </w:numPr>
        <w:spacing w:line="360" w:lineRule="auto"/>
        <w:rPr>
          <w:rFonts w:ascii="Times New Roman" w:hAnsi="Times New Roman" w:cs="Times New Roman"/>
          <w:sz w:val="24"/>
          <w:szCs w:val="24"/>
        </w:rPr>
      </w:pPr>
      <w:r w:rsidRPr="00874150">
        <w:rPr>
          <w:rFonts w:ascii="Times New Roman" w:hAnsi="Times New Roman" w:cs="Times New Roman"/>
          <w:sz w:val="24"/>
          <w:szCs w:val="24"/>
        </w:rPr>
        <w:t>Recadastramento: Procedimento n° 09 do Anexo IV da Resolução ANP n° 42/2011 (fls. 53-55)</w:t>
      </w:r>
    </w:p>
    <w:p w:rsidR="00E1195B" w:rsidRPr="00874150" w:rsidRDefault="00E1195B" w:rsidP="00E1195B">
      <w:pPr>
        <w:pStyle w:val="PargrafodaLista"/>
        <w:numPr>
          <w:ilvl w:val="0"/>
          <w:numId w:val="6"/>
        </w:numPr>
        <w:spacing w:line="360" w:lineRule="auto"/>
        <w:rPr>
          <w:rFonts w:ascii="Times New Roman" w:hAnsi="Times New Roman" w:cs="Times New Roman"/>
          <w:sz w:val="24"/>
          <w:szCs w:val="24"/>
        </w:rPr>
      </w:pPr>
      <w:r w:rsidRPr="00874150">
        <w:rPr>
          <w:rFonts w:ascii="Times New Roman" w:hAnsi="Times New Roman" w:cs="Times New Roman"/>
          <w:sz w:val="24"/>
          <w:szCs w:val="24"/>
        </w:rPr>
        <w:t>Autorização de construção (AC): Procedimento n° 09 do Anexo I da Resolução ANP n° 42/2011 (fls. 19-21)</w:t>
      </w:r>
    </w:p>
    <w:p w:rsidR="00E1195B" w:rsidRPr="00874150" w:rsidRDefault="00E1195B" w:rsidP="00E1195B">
      <w:pPr>
        <w:pStyle w:val="PargrafodaLista"/>
        <w:numPr>
          <w:ilvl w:val="0"/>
          <w:numId w:val="6"/>
        </w:numPr>
        <w:spacing w:line="360" w:lineRule="auto"/>
        <w:rPr>
          <w:rFonts w:ascii="Times New Roman" w:hAnsi="Times New Roman" w:cs="Times New Roman"/>
          <w:sz w:val="24"/>
          <w:szCs w:val="24"/>
        </w:rPr>
      </w:pPr>
      <w:r w:rsidRPr="00874150">
        <w:rPr>
          <w:rFonts w:ascii="Times New Roman" w:hAnsi="Times New Roman" w:cs="Times New Roman"/>
          <w:sz w:val="24"/>
          <w:szCs w:val="24"/>
        </w:rPr>
        <w:lastRenderedPageBreak/>
        <w:t>Requalificação de instalações: Procedimento n° 09 do Anexo IV da Resolução ANP n° 42/2011 (fls. 53-55)</w:t>
      </w:r>
    </w:p>
    <w:p w:rsidR="00E1195B" w:rsidRPr="00874150" w:rsidRDefault="00E1195B" w:rsidP="00E1195B">
      <w:pPr>
        <w:pStyle w:val="PargrafodaLista"/>
        <w:numPr>
          <w:ilvl w:val="0"/>
          <w:numId w:val="6"/>
        </w:numPr>
        <w:spacing w:line="360" w:lineRule="auto"/>
        <w:rPr>
          <w:rFonts w:ascii="Times New Roman" w:hAnsi="Times New Roman" w:cs="Times New Roman"/>
          <w:sz w:val="24"/>
          <w:szCs w:val="24"/>
        </w:rPr>
      </w:pPr>
      <w:r w:rsidRPr="00874150">
        <w:rPr>
          <w:rFonts w:ascii="Times New Roman" w:hAnsi="Times New Roman" w:cs="Times New Roman"/>
          <w:sz w:val="24"/>
          <w:szCs w:val="24"/>
        </w:rPr>
        <w:t>Autorização de operação (AO): Procedimento n° 09 do Anexo II da Resolução ANP n° 42/2011 (fls. 30-31)</w:t>
      </w:r>
    </w:p>
    <w:p w:rsidR="00E1195B" w:rsidRDefault="00E1195B" w:rsidP="00E1195B">
      <w:pPr>
        <w:pStyle w:val="PargrafodaLista"/>
        <w:numPr>
          <w:ilvl w:val="0"/>
          <w:numId w:val="6"/>
        </w:numPr>
        <w:spacing w:line="360" w:lineRule="auto"/>
        <w:rPr>
          <w:rFonts w:ascii="Times New Roman" w:hAnsi="Times New Roman" w:cs="Times New Roman"/>
          <w:sz w:val="24"/>
          <w:szCs w:val="24"/>
        </w:rPr>
      </w:pPr>
      <w:r w:rsidRPr="00A30152">
        <w:rPr>
          <w:rFonts w:ascii="Times New Roman" w:hAnsi="Times New Roman" w:cs="Times New Roman"/>
          <w:sz w:val="24"/>
          <w:szCs w:val="24"/>
        </w:rPr>
        <w:t>Resolução ANP nº 20/2009 – estabelece os requisitos necessários à autorização para o exercício da atividade de coleta de óleo lubrificante usado ou contaminado e a sua regulação. Revoga as portarias ANP nº 125 e nº 127 de 1999.</w:t>
      </w:r>
    </w:p>
    <w:p w:rsidR="00E1195B" w:rsidRDefault="00E1195B" w:rsidP="00E1195B">
      <w:pPr>
        <w:rPr>
          <w:rFonts w:cs="Times New Roman"/>
          <w:szCs w:val="24"/>
        </w:rPr>
      </w:pPr>
      <w:r>
        <w:rPr>
          <w:rFonts w:cs="Times New Roman"/>
          <w:szCs w:val="24"/>
        </w:rPr>
        <w:t>Além do requerido para cadastro o interessado em se tornar um coletor de OLUC deve cumprir uma série de premissas para comprovar sua qualificação jurídica e regularidade fiscal, tornando o processo extremamente burocrático, fato que pode ser uma das razões para o baixo número de estações de coletas existentes no Brasil. Deve se notar também que segundo o artigo 7 da resolução Nº362, de 23 de junho de 2005 as seguintes responsabilidades com relação a coleta de OLUC são atribuídas aos importadores e produtores de óleos acabados:</w:t>
      </w:r>
    </w:p>
    <w:p w:rsidR="00E1195B" w:rsidRDefault="00E1195B" w:rsidP="00E1195B">
      <w:pPr>
        <w:spacing w:before="100" w:beforeAutospacing="1" w:after="100" w:afterAutospacing="1"/>
        <w:ind w:left="2124"/>
        <w:rPr>
          <w:rFonts w:cs="Times New Roman"/>
          <w:sz w:val="20"/>
        </w:rPr>
      </w:pPr>
      <w:r>
        <w:rPr>
          <w:rFonts w:cs="Times New Roman"/>
          <w:sz w:val="20"/>
        </w:rPr>
        <w:t>“</w:t>
      </w:r>
      <w:r w:rsidRPr="001179CA">
        <w:rPr>
          <w:rFonts w:cs="Times New Roman"/>
          <w:sz w:val="20"/>
        </w:rPr>
        <w:t>Art. 7 o Os produtores e importadores são obrigados a coletar todo óleo disponível ou garantir o custeio de toda a coleta de óleo lubrificante usado ou contaminado efetivamente realizada, na proporção do óleo que colocarem no mercado conforme metas progressivas intermediárias e finais a serem estabelecidas pelos Ministérios de Meio Ambiente e de Minas e Energia em ato normativo conjunto, mesmo que superado o percentual mínimo fixado.</w:t>
      </w:r>
      <w:r>
        <w:rPr>
          <w:rFonts w:cs="Times New Roman"/>
          <w:sz w:val="20"/>
        </w:rPr>
        <w:t>”</w:t>
      </w:r>
    </w:p>
    <w:p w:rsidR="00E1195B" w:rsidRDefault="00E1195B" w:rsidP="00E1195B">
      <w:pPr>
        <w:rPr>
          <w:rFonts w:cs="Times New Roman"/>
          <w:szCs w:val="24"/>
        </w:rPr>
      </w:pPr>
      <w:r>
        <w:rPr>
          <w:rFonts w:cs="Times New Roman"/>
          <w:szCs w:val="24"/>
        </w:rPr>
        <w:t>Portanto muitas das empresas coletoras são na realidade divisões das próprias produtoras e importadoras de óleos lubrificantes acabados, e mesmo quando não possuem vínculo com os produtores e importadores ainda sim possuem suas operações custeadas por eles. Como existe um alto custo ligado a logística reversa dos OLUC e, invariavelmente, as produtoras e importadoras devem arcar com o mesmo, torna-se pouco rentável o interesse em aumentar o número de estações de coleta através da contratação de mais empresas terceirizadas, sendo mais cômodo manter uma operação centralizada e receber os valores provenientes da venda/</w:t>
      </w:r>
      <w:proofErr w:type="spellStart"/>
      <w:r>
        <w:rPr>
          <w:rFonts w:cs="Times New Roman"/>
          <w:szCs w:val="24"/>
        </w:rPr>
        <w:t>rerrefino</w:t>
      </w:r>
      <w:proofErr w:type="spellEnd"/>
      <w:r>
        <w:rPr>
          <w:rFonts w:cs="Times New Roman"/>
          <w:szCs w:val="24"/>
        </w:rPr>
        <w:t xml:space="preserve"> do óleo lubrificante usado ou contaminado.</w:t>
      </w:r>
    </w:p>
    <w:p w:rsidR="00E1195B" w:rsidRPr="00BB15D8" w:rsidRDefault="00E1195B" w:rsidP="00E1195B">
      <w:pPr>
        <w:spacing w:after="0" w:line="358" w:lineRule="auto"/>
        <w:ind w:right="20"/>
        <w:rPr>
          <w:rFonts w:eastAsia="Times New Roman"/>
        </w:rPr>
      </w:pPr>
      <w:r w:rsidRPr="00B65BDF">
        <w:rPr>
          <w:rFonts w:eastAsia="Times New Roman" w:cs="Arial"/>
          <w:lang w:eastAsia="pt-BR"/>
        </w:rPr>
        <w:t xml:space="preserve">A centralização das estações de coleta acaba se mostrando prejudicial ao processo de logística reversa como um todo, porém sendo a opção de menor custo para as empresas, acaba sendo o modelo mais adotado. Uma das alternativas encontrada pelos pesquisadores deste artigo para </w:t>
      </w:r>
      <w:r w:rsidRPr="00B65BDF">
        <w:rPr>
          <w:rFonts w:eastAsia="Times New Roman" w:cs="Arial"/>
          <w:lang w:eastAsia="pt-BR"/>
        </w:rPr>
        <w:lastRenderedPageBreak/>
        <w:t xml:space="preserve">extinguir a prática de centralização das estações de coleta foi a subdivisão da meta criada pelo Ministério do Meio Ambiente em subcategorias que englobam não só quantidade de óleo </w:t>
      </w:r>
      <w:r w:rsidRPr="00BB15D8">
        <w:rPr>
          <w:rFonts w:eastAsia="Times New Roman"/>
        </w:rPr>
        <w:t xml:space="preserve">coletado, como também abrangência da coleta em cada estado e número de municípios que não receberam coleta. </w:t>
      </w:r>
    </w:p>
    <w:p w:rsidR="00E1195B" w:rsidRPr="00BB15D8" w:rsidRDefault="00E1195B" w:rsidP="00E1195B">
      <w:pPr>
        <w:spacing w:after="0" w:line="358" w:lineRule="auto"/>
        <w:ind w:right="20"/>
        <w:rPr>
          <w:rFonts w:eastAsia="Times New Roman"/>
        </w:rPr>
      </w:pPr>
    </w:p>
    <w:p w:rsidR="00E1195B" w:rsidRPr="00BB15D8" w:rsidRDefault="00E1195B" w:rsidP="00E1195B">
      <w:pPr>
        <w:spacing w:after="0" w:line="358" w:lineRule="auto"/>
        <w:ind w:right="20"/>
        <w:rPr>
          <w:rFonts w:eastAsia="Times New Roman"/>
        </w:rPr>
      </w:pPr>
    </w:p>
    <w:p w:rsidR="00E1195B" w:rsidRPr="00BB15D8" w:rsidRDefault="00E1195B" w:rsidP="00E1195B">
      <w:pPr>
        <w:spacing w:after="0" w:line="0" w:lineRule="atLeast"/>
        <w:ind w:left="4"/>
        <w:rPr>
          <w:rFonts w:eastAsia="Times New Roman" w:cs="Times New Roman"/>
          <w:b/>
          <w:color w:val="000000" w:themeColor="text1"/>
          <w:szCs w:val="24"/>
        </w:rPr>
      </w:pPr>
      <w:r w:rsidRPr="00BB15D8">
        <w:rPr>
          <w:rFonts w:eastAsia="Times New Roman" w:cs="Times New Roman"/>
          <w:b/>
          <w:bCs/>
          <w:iCs/>
          <w:color w:val="000000" w:themeColor="text1"/>
          <w:szCs w:val="24"/>
        </w:rPr>
        <w:t>3. Conclusão</w:t>
      </w:r>
    </w:p>
    <w:p w:rsidR="00E1195B" w:rsidRPr="00B65BDF" w:rsidRDefault="00E1195B" w:rsidP="00E1195B">
      <w:pPr>
        <w:pStyle w:val="Ttulo2"/>
        <w:spacing w:before="0" w:after="0"/>
        <w:ind w:left="360"/>
        <w:rPr>
          <w:rFonts w:ascii="Times New Roman" w:hAnsi="Times New Roman"/>
          <w:i w:val="0"/>
          <w:color w:val="000000" w:themeColor="text1"/>
          <w:sz w:val="24"/>
          <w:szCs w:val="24"/>
        </w:rPr>
      </w:pPr>
    </w:p>
    <w:p w:rsidR="00E1195B" w:rsidRDefault="00E1195B" w:rsidP="00E1195B">
      <w:pPr>
        <w:rPr>
          <w:rFonts w:eastAsia="Times New Roman" w:cs="Times New Roman"/>
          <w:bCs/>
          <w:iCs/>
          <w:color w:val="000000" w:themeColor="text1"/>
          <w:szCs w:val="24"/>
        </w:rPr>
      </w:pPr>
      <w:r>
        <w:rPr>
          <w:rFonts w:eastAsia="Times New Roman" w:cs="Times New Roman"/>
          <w:bCs/>
          <w:iCs/>
          <w:color w:val="000000" w:themeColor="text1"/>
          <w:szCs w:val="24"/>
        </w:rPr>
        <w:t xml:space="preserve">A legislação brasileira referente a destinação de </w:t>
      </w:r>
      <w:proofErr w:type="spellStart"/>
      <w:r>
        <w:rPr>
          <w:rFonts w:eastAsia="Times New Roman" w:cs="Times New Roman"/>
          <w:bCs/>
          <w:iCs/>
          <w:color w:val="000000" w:themeColor="text1"/>
          <w:szCs w:val="24"/>
        </w:rPr>
        <w:t>OLUC’s</w:t>
      </w:r>
      <w:proofErr w:type="spellEnd"/>
      <w:r>
        <w:rPr>
          <w:rFonts w:eastAsia="Times New Roman" w:cs="Times New Roman"/>
          <w:bCs/>
          <w:iCs/>
          <w:color w:val="000000" w:themeColor="text1"/>
          <w:szCs w:val="24"/>
        </w:rPr>
        <w:t xml:space="preserve"> é de extrema importância para garantir a diminuição do descarte impróprio deste resíduo extremamente perigoso ao meio ambiente e ser humano, porém nota-se que muitas vezes devido sua complexidade e outros fatores externos, o seu efeito acaba se tornando o contrário do desejado.</w:t>
      </w:r>
    </w:p>
    <w:p w:rsidR="00E1195B" w:rsidRDefault="00E1195B" w:rsidP="00E1195B">
      <w:pPr>
        <w:rPr>
          <w:rFonts w:eastAsia="Times New Roman" w:cs="Times New Roman"/>
          <w:bCs/>
          <w:iCs/>
          <w:color w:val="000000" w:themeColor="text1"/>
          <w:szCs w:val="24"/>
        </w:rPr>
      </w:pPr>
      <w:r>
        <w:rPr>
          <w:rFonts w:eastAsia="Times New Roman" w:cs="Times New Roman"/>
          <w:bCs/>
          <w:iCs/>
          <w:color w:val="000000" w:themeColor="text1"/>
          <w:szCs w:val="24"/>
        </w:rPr>
        <w:t xml:space="preserve">É inegável que o Brasil aumentou significativamente a coleta de óleos usados e contaminados, porém ainda há muito a melhorar, especialmente nos locais mais remotos onde devido à falta de informação e de opções, o uso de </w:t>
      </w:r>
      <w:proofErr w:type="spellStart"/>
      <w:r>
        <w:rPr>
          <w:rFonts w:eastAsia="Times New Roman" w:cs="Times New Roman"/>
          <w:bCs/>
          <w:iCs/>
          <w:color w:val="000000" w:themeColor="text1"/>
          <w:szCs w:val="24"/>
        </w:rPr>
        <w:t>OLUC’s</w:t>
      </w:r>
      <w:proofErr w:type="spellEnd"/>
      <w:r>
        <w:rPr>
          <w:rFonts w:eastAsia="Times New Roman" w:cs="Times New Roman"/>
          <w:bCs/>
          <w:iCs/>
          <w:color w:val="000000" w:themeColor="text1"/>
          <w:szCs w:val="24"/>
        </w:rPr>
        <w:t xml:space="preserve"> de maneiras nocivas ainda é muito comum. A logística reversa deve ter um papel fundamental para transpor os desafios ainda existentes no Brasil quanto ao descarte correto desse tipo de resíduo, podendo ser usada em futuras revisões da legislação para criar resoluções mais eficientes e simples.</w:t>
      </w:r>
    </w:p>
    <w:p w:rsidR="00E1195B" w:rsidRPr="00BB15D8" w:rsidRDefault="00E1195B" w:rsidP="00E1195B">
      <w:pPr>
        <w:rPr>
          <w:rFonts w:eastAsia="Times New Roman" w:cs="Times New Roman"/>
          <w:bCs/>
          <w:iCs/>
          <w:color w:val="000000" w:themeColor="text1"/>
          <w:szCs w:val="24"/>
        </w:rPr>
      </w:pPr>
      <w:r>
        <w:rPr>
          <w:rFonts w:eastAsia="Times New Roman" w:cs="Times New Roman"/>
          <w:bCs/>
          <w:iCs/>
          <w:color w:val="000000" w:themeColor="text1"/>
          <w:szCs w:val="24"/>
        </w:rPr>
        <w:t>Além disso, pode-se notar uma contradição em relação à legislação atual e o plano de meta do país, dado que no</w:t>
      </w:r>
      <w:r w:rsidRPr="00BB15D8">
        <w:rPr>
          <w:rFonts w:eastAsia="Times New Roman" w:cs="Times New Roman"/>
          <w:bCs/>
          <w:iCs/>
          <w:color w:val="000000" w:themeColor="text1"/>
          <w:szCs w:val="24"/>
        </w:rPr>
        <w:t xml:space="preserve"> Art. 1º </w:t>
      </w:r>
      <w:proofErr w:type="gramStart"/>
      <w:r w:rsidRPr="00BB15D8">
        <w:rPr>
          <w:rFonts w:eastAsia="Times New Roman" w:cs="Times New Roman"/>
          <w:bCs/>
          <w:iCs/>
          <w:color w:val="000000" w:themeColor="text1"/>
          <w:szCs w:val="24"/>
        </w:rPr>
        <w:t xml:space="preserve">da </w:t>
      </w:r>
      <w:r>
        <w:rPr>
          <w:rFonts w:eastAsia="Times New Roman" w:cs="Times New Roman"/>
          <w:bCs/>
          <w:iCs/>
          <w:color w:val="000000" w:themeColor="text1"/>
          <w:szCs w:val="24"/>
        </w:rPr>
        <w:t xml:space="preserve"> </w:t>
      </w:r>
      <w:r w:rsidRPr="00BB15D8">
        <w:rPr>
          <w:rFonts w:eastAsia="Times New Roman" w:cs="Times New Roman"/>
          <w:bCs/>
          <w:iCs/>
          <w:color w:val="000000" w:themeColor="text1"/>
          <w:szCs w:val="24"/>
        </w:rPr>
        <w:t>Resolução</w:t>
      </w:r>
      <w:proofErr w:type="gramEnd"/>
      <w:r w:rsidRPr="00BB15D8">
        <w:rPr>
          <w:rFonts w:eastAsia="Times New Roman" w:cs="Times New Roman"/>
          <w:bCs/>
          <w:iCs/>
          <w:color w:val="000000" w:themeColor="text1"/>
          <w:szCs w:val="24"/>
        </w:rPr>
        <w:t xml:space="preserve"> CONAMA 362/2005 está explicito que todo óleo contaminado deve ser recolhido, e recuperado, ao mesmo tempo que o plano de meta estipulado e fiscalizado pelos Ministérios de Meio Ambiente e de Minas e Energia propõem metas de coleta inferiores a 50%, reduzindo o incentivo a coleta . </w:t>
      </w:r>
    </w:p>
    <w:p w:rsidR="00632AF2" w:rsidRDefault="00632AF2" w:rsidP="00632AF2">
      <w:pPr>
        <w:spacing w:after="0" w:line="0" w:lineRule="atLeast"/>
        <w:rPr>
          <w:rFonts w:eastAsia="Times New Roman"/>
          <w:b/>
        </w:rPr>
      </w:pPr>
      <w:r>
        <w:rPr>
          <w:rFonts w:eastAsia="Times New Roman"/>
          <w:b/>
        </w:rPr>
        <w:t>REFERÊNCIAS</w:t>
      </w:r>
    </w:p>
    <w:p w:rsidR="00632AF2" w:rsidRDefault="00632AF2" w:rsidP="00632AF2">
      <w:pPr>
        <w:spacing w:after="0" w:line="229" w:lineRule="exact"/>
        <w:rPr>
          <w:rFonts w:eastAsia="Times New Roman"/>
          <w:b/>
        </w:rPr>
      </w:pPr>
    </w:p>
    <w:p w:rsidR="007C61AB" w:rsidRPr="00BB15D8" w:rsidRDefault="007C61AB" w:rsidP="007C61AB">
      <w:pPr>
        <w:rPr>
          <w:rFonts w:cs="Times New Roman"/>
          <w:sz w:val="20"/>
        </w:rPr>
      </w:pPr>
      <w:r w:rsidRPr="00BB15D8">
        <w:rPr>
          <w:rFonts w:cs="Times New Roman"/>
          <w:sz w:val="20"/>
        </w:rPr>
        <w:t>ABNT – Associação Brasileira de Normas Técnicas. NBR 10.004. Resíduos Sólidos - classificação. Rio de Janeiro, 2004.</w:t>
      </w:r>
    </w:p>
    <w:p w:rsidR="007C61AB" w:rsidRPr="00BB15D8" w:rsidRDefault="007C61AB" w:rsidP="007C61AB">
      <w:pPr>
        <w:rPr>
          <w:rFonts w:cs="Times New Roman"/>
          <w:sz w:val="20"/>
        </w:rPr>
      </w:pPr>
      <w:r w:rsidRPr="00BB15D8">
        <w:rPr>
          <w:rFonts w:cs="Times New Roman"/>
          <w:sz w:val="20"/>
        </w:rPr>
        <w:t xml:space="preserve">ANP – </w:t>
      </w:r>
      <w:proofErr w:type="gramStart"/>
      <w:r w:rsidRPr="00BB15D8">
        <w:rPr>
          <w:rFonts w:cs="Times New Roman"/>
          <w:sz w:val="20"/>
        </w:rPr>
        <w:t>Agencia</w:t>
      </w:r>
      <w:proofErr w:type="gramEnd"/>
      <w:r w:rsidRPr="00BB15D8">
        <w:rPr>
          <w:rFonts w:cs="Times New Roman"/>
          <w:sz w:val="20"/>
        </w:rPr>
        <w:t xml:space="preserve"> Nacional do Petróleo, Gás Natural e Biocombustíveis. Disponível em: http://www.anp.gov.br/?id=1086. Acesso em: 20 de outubro de 2017.</w:t>
      </w:r>
    </w:p>
    <w:p w:rsidR="007C61AB" w:rsidRPr="00BB15D8" w:rsidRDefault="007C61AB" w:rsidP="007C61AB">
      <w:pPr>
        <w:rPr>
          <w:rFonts w:cs="Times New Roman"/>
          <w:sz w:val="20"/>
        </w:rPr>
      </w:pPr>
      <w:r w:rsidRPr="00BB15D8">
        <w:rPr>
          <w:rFonts w:cs="Times New Roman"/>
          <w:sz w:val="20"/>
        </w:rPr>
        <w:t xml:space="preserve">ASSOCIAÇÃO DE PROTEÇÃO AO MEIO AMBIENTE DE CIANORTE- APROMAC. Guia básico de Gerenciamento de Óleos lubrificantes usados ou contaminados. Disponível em: </w:t>
      </w:r>
      <w:r w:rsidRPr="00BB15D8">
        <w:rPr>
          <w:rFonts w:cs="Times New Roman"/>
          <w:sz w:val="20"/>
        </w:rPr>
        <w:lastRenderedPageBreak/>
        <w:t>&lt;http://www.brasilpostos.com.br/wpcontent/uploads/2013/05/OLEO_LUBRIFICANTE_USAD GUIA.pdf&gt;. Acesso em: 20 de outubro de 2017.</w:t>
      </w:r>
    </w:p>
    <w:p w:rsidR="007C61AB" w:rsidRPr="00BB15D8" w:rsidRDefault="007C61AB" w:rsidP="007C61AB">
      <w:pPr>
        <w:rPr>
          <w:rFonts w:cs="Times New Roman"/>
          <w:sz w:val="20"/>
        </w:rPr>
      </w:pPr>
      <w:r w:rsidRPr="00BB15D8">
        <w:rPr>
          <w:rFonts w:cs="Times New Roman"/>
          <w:sz w:val="20"/>
        </w:rPr>
        <w:t>BRASIL. Resolução CONAMA nº 362, de 23 de junho de 2005. Dispõe sobre o recolhimento, coleta e destinação final de óleo lubrificante usado ou contaminado.</w:t>
      </w:r>
    </w:p>
    <w:p w:rsidR="007C61AB" w:rsidRPr="00BB15D8" w:rsidRDefault="007C61AB" w:rsidP="007C61AB">
      <w:pPr>
        <w:rPr>
          <w:rFonts w:cs="Times New Roman"/>
          <w:sz w:val="20"/>
        </w:rPr>
      </w:pPr>
      <w:r w:rsidRPr="00BB15D8">
        <w:rPr>
          <w:rFonts w:cs="Times New Roman"/>
          <w:sz w:val="20"/>
        </w:rPr>
        <w:t>BRASIL. Ministério do Meio Ambiente. Portaria Interministerial MME/MMA nº 59, de 17 de fevereiro de 2012. Estabelece os percentuais mínimos de coleta de óleos lubrificantes usados ou contaminados, para o período de 2012 a 2015.</w:t>
      </w:r>
    </w:p>
    <w:p w:rsidR="007C61AB" w:rsidRPr="00BB15D8" w:rsidRDefault="007C61AB" w:rsidP="007C61AB">
      <w:pPr>
        <w:rPr>
          <w:rFonts w:cs="Times New Roman"/>
          <w:sz w:val="20"/>
        </w:rPr>
      </w:pPr>
      <w:r w:rsidRPr="00BB15D8">
        <w:rPr>
          <w:rFonts w:cs="Times New Roman"/>
          <w:sz w:val="20"/>
        </w:rPr>
        <w:t>BRASIL. Ministério do Meio Ambiente. Relatório: Coleta de óleo lubrificante usado ou contaminado – dados de 2013. Relatório para o Conselho Nacional do Meio Ambiente (CONAMA), conforme exigência do Artigo 9º da Resolução CONAMA n○ 362/2005 que trata de Óleos Lubrificantes Usados e/ou Contaminados (OLUC).</w:t>
      </w:r>
    </w:p>
    <w:p w:rsidR="007C61AB" w:rsidRPr="00BB15D8" w:rsidRDefault="007C61AB" w:rsidP="007C61AB">
      <w:pPr>
        <w:rPr>
          <w:rFonts w:cs="Times New Roman"/>
          <w:sz w:val="20"/>
        </w:rPr>
      </w:pPr>
      <w:r w:rsidRPr="00BB15D8">
        <w:rPr>
          <w:rFonts w:cs="Times New Roman"/>
          <w:sz w:val="20"/>
        </w:rPr>
        <w:t xml:space="preserve">Conselho Nacional do Meio Ambiente (2005), Resolução 362/2005, Regulamentação da Coleta, Transporte, Armazenamento e Destinação Adequada dos óleos lubrificantes usados e contaminados, disponível em: http:// www.mma.gov.br/port/conama/res/res05/res36205.xml (Acesso em </w:t>
      </w:r>
      <w:proofErr w:type="gramStart"/>
      <w:r w:rsidRPr="00BB15D8">
        <w:rPr>
          <w:rFonts w:cs="Times New Roman"/>
          <w:sz w:val="20"/>
        </w:rPr>
        <w:t>20  de</w:t>
      </w:r>
      <w:proofErr w:type="gramEnd"/>
      <w:r w:rsidRPr="00BB15D8">
        <w:rPr>
          <w:rFonts w:cs="Times New Roman"/>
          <w:sz w:val="20"/>
        </w:rPr>
        <w:t xml:space="preserve"> Outubro  de 2017).</w:t>
      </w:r>
    </w:p>
    <w:p w:rsidR="007C61AB" w:rsidRPr="00BB15D8" w:rsidRDefault="007C61AB" w:rsidP="007C61AB">
      <w:pPr>
        <w:rPr>
          <w:rFonts w:cs="Times New Roman"/>
          <w:sz w:val="20"/>
        </w:rPr>
      </w:pPr>
      <w:r w:rsidRPr="00BB15D8">
        <w:rPr>
          <w:rFonts w:cs="Times New Roman"/>
          <w:sz w:val="20"/>
        </w:rPr>
        <w:t>CERVO, A. L.; BERVIAN, P. Metodologia científica. 4. ed. São Paulo: Makron Books, 2007.</w:t>
      </w:r>
    </w:p>
    <w:p w:rsidR="007C61AB" w:rsidRPr="00BB15D8" w:rsidRDefault="007C61AB" w:rsidP="007C61AB">
      <w:pPr>
        <w:rPr>
          <w:rFonts w:cs="Times New Roman"/>
          <w:sz w:val="20"/>
        </w:rPr>
      </w:pPr>
      <w:r w:rsidRPr="00BB15D8">
        <w:rPr>
          <w:rFonts w:cs="Times New Roman"/>
          <w:sz w:val="20"/>
        </w:rPr>
        <w:t>GOMES, P, L; OLIVEIRA, V, B, P; NASCIMENTO, E, A. Aspectos e impactos no descarte de óleos lubrificantes: o caso das oficinas. In: IV CONGRESSO NACIONAL DE EXCELÊNCIA EM GESTÃO ,4., Niterói, RJ, 2008. 15 p.</w:t>
      </w:r>
    </w:p>
    <w:p w:rsidR="007C61AB" w:rsidRPr="00BB15D8" w:rsidRDefault="007C61AB" w:rsidP="007C61AB">
      <w:pPr>
        <w:rPr>
          <w:rFonts w:cs="Times New Roman"/>
          <w:sz w:val="20"/>
        </w:rPr>
      </w:pPr>
      <w:r w:rsidRPr="00BB15D8">
        <w:rPr>
          <w:rFonts w:cs="Times New Roman"/>
          <w:sz w:val="20"/>
        </w:rPr>
        <w:t>Ministério Meio Ambiente (2007), Relatório do Ministério do Meio Ambiente para o Conselho NacionaldoMeioAmbiente(CONAMA</w:t>
      </w:r>
      <w:proofErr w:type="gramStart"/>
      <w:r w:rsidRPr="00BB15D8">
        <w:rPr>
          <w:rFonts w:cs="Times New Roman"/>
          <w:sz w:val="20"/>
        </w:rPr>
        <w:t>),disponívelem</w:t>
      </w:r>
      <w:proofErr w:type="gramEnd"/>
      <w:r w:rsidRPr="00BB15D8">
        <w:rPr>
          <w:rFonts w:cs="Times New Roman"/>
          <w:sz w:val="20"/>
        </w:rPr>
        <w:t>:http://www.mma.gov.br/port/conama/processos/242B8FC6/Relat6oGTMonitora362Conama24abr2007.pdf (Acesso em 27de outubro de 2017).</w:t>
      </w:r>
    </w:p>
    <w:p w:rsidR="007C61AB" w:rsidRPr="00BB15D8" w:rsidRDefault="007C61AB" w:rsidP="007C61AB">
      <w:pPr>
        <w:rPr>
          <w:rFonts w:cs="Times New Roman"/>
          <w:sz w:val="20"/>
        </w:rPr>
      </w:pPr>
      <w:proofErr w:type="spellStart"/>
      <w:proofErr w:type="gramStart"/>
      <w:r w:rsidRPr="00BB15D8">
        <w:rPr>
          <w:rFonts w:cs="Times New Roman"/>
          <w:sz w:val="20"/>
        </w:rPr>
        <w:t>Sohn</w:t>
      </w:r>
      <w:proofErr w:type="spellEnd"/>
      <w:r w:rsidRPr="00BB15D8">
        <w:rPr>
          <w:rFonts w:cs="Times New Roman"/>
          <w:sz w:val="20"/>
        </w:rPr>
        <w:t xml:space="preserve"> ,</w:t>
      </w:r>
      <w:proofErr w:type="gramEnd"/>
      <w:r w:rsidRPr="00BB15D8">
        <w:rPr>
          <w:rFonts w:cs="Times New Roman"/>
          <w:sz w:val="20"/>
        </w:rPr>
        <w:t xml:space="preserve"> H., (Coord.) (2007), Guia Básico: Gerenciamento de Óleos Lubrificantes Usados ou Contaminados, Senai, São Paulo, SP.</w:t>
      </w:r>
    </w:p>
    <w:sectPr w:rsidR="007C61AB" w:rsidRPr="00BB15D8" w:rsidSect="00800B44">
      <w:headerReference w:type="default" r:id="rId15"/>
      <w:footerReference w:type="even" r:id="rId16"/>
      <w:footerReference w:type="default" r:id="rId17"/>
      <w:pgSz w:w="11906" w:h="16838" w:code="9"/>
      <w:pgMar w:top="680" w:right="1418" w:bottom="680"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FA6" w:rsidRDefault="00871FA6">
      <w:pPr>
        <w:spacing w:after="0" w:line="240" w:lineRule="auto"/>
      </w:pPr>
      <w:r>
        <w:separator/>
      </w:r>
    </w:p>
  </w:endnote>
  <w:endnote w:type="continuationSeparator" w:id="0">
    <w:p w:rsidR="00871FA6" w:rsidRDefault="00871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OMOJC+TimesNewRoman">
    <w:altName w:val="Times New Roman"/>
    <w:panose1 w:val="00000000000000000000"/>
    <w:charset w:val="00"/>
    <w:family w:val="roman"/>
    <w:notTrueType/>
    <w:pitch w:val="default"/>
    <w:sig w:usb0="00000003" w:usb1="00000000" w:usb2="00000000" w:usb3="00000000" w:csb0="00000001" w:csb1="00000000"/>
  </w:font>
  <w:font w:name="Open Sans">
    <w:altName w:val="Times New Roman"/>
    <w:charset w:val="00"/>
    <w:family w:val="auto"/>
    <w:pitch w:val="default"/>
  </w:font>
  <w:font w:name="Swis721 Cn BT">
    <w:altName w:val="Arial Narrow"/>
    <w:charset w:val="00"/>
    <w:family w:val="swiss"/>
    <w:pitch w:val="variable"/>
    <w:sig w:usb0="00000001"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7BE" w:rsidRDefault="004217BE"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17BE" w:rsidRDefault="004217BE" w:rsidP="004217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rsidR="0070158A" w:rsidRPr="005B3461" w:rsidRDefault="0070158A" w:rsidP="005B34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FA6" w:rsidRDefault="00871FA6">
      <w:pPr>
        <w:spacing w:after="0" w:line="240" w:lineRule="auto"/>
      </w:pPr>
      <w:r>
        <w:separator/>
      </w:r>
    </w:p>
  </w:footnote>
  <w:footnote w:type="continuationSeparator" w:id="0">
    <w:p w:rsidR="00871FA6" w:rsidRDefault="00871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003C0B49" w:rsidRPr="00C35221">
      <w:rPr>
        <w:rFonts w:ascii="Swis721 Cn BT" w:hAnsi="Swis721 Cn BT"/>
        <w:sz w:val="18"/>
        <w:szCs w:val="18"/>
      </w:rPr>
      <w:br/>
    </w:r>
  </w:p>
  <w:p w:rsidR="005B3461" w:rsidRPr="00C35221" w:rsidRDefault="005B3461" w:rsidP="00E75EB3">
    <w:pPr>
      <w:jc w:val="right"/>
      <w:rPr>
        <w:sz w:val="14"/>
        <w:szCs w:val="14"/>
      </w:rPr>
    </w:pPr>
  </w:p>
  <w:p w:rsidR="005B3461" w:rsidRPr="00EB2059" w:rsidRDefault="005B3461" w:rsidP="00E75EB3">
    <w:pPr>
      <w:jc w:val="right"/>
      <w:rPr>
        <w:rFonts w:ascii="Arial" w:hAnsi="Arial" w:cs="Arial"/>
        <w:color w:val="808080"/>
        <w:sz w:val="14"/>
        <w:szCs w:val="14"/>
      </w:rPr>
    </w:pPr>
  </w:p>
  <w:p w:rsidR="005B3461" w:rsidRDefault="005B3461" w:rsidP="00E75EB3">
    <w:pPr>
      <w:jc w:val="right"/>
      <w:rPr>
        <w:rFonts w:ascii="Arial" w:hAnsi="Arial" w:cs="Arial"/>
        <w:color w:val="808080"/>
        <w:sz w:val="14"/>
        <w:szCs w:val="14"/>
      </w:rPr>
    </w:pPr>
  </w:p>
  <w:p w:rsidR="004217BE" w:rsidRPr="005B3461" w:rsidRDefault="004217BE" w:rsidP="005B34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806AB4"/>
    <w:multiLevelType w:val="hybridMultilevel"/>
    <w:tmpl w:val="CA9076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 w15:restartNumberingAfterBreak="0">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 w15:restartNumberingAfterBreak="0">
    <w:nsid w:val="540102DA"/>
    <w:multiLevelType w:val="multilevel"/>
    <w:tmpl w:val="3B4AE8E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AU" w:vendorID="64" w:dllVersion="6" w:nlCheck="1" w:checkStyle="1"/>
  <w:activeWritingStyle w:appName="MSWord" w:lang="pt-BR" w:vendorID="64" w:dllVersion="0" w:nlCheck="1" w:checkStyle="0"/>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2E2"/>
    <w:rsid w:val="00000CC6"/>
    <w:rsid w:val="00005C91"/>
    <w:rsid w:val="00017F84"/>
    <w:rsid w:val="000271BB"/>
    <w:rsid w:val="00027E8F"/>
    <w:rsid w:val="000307BA"/>
    <w:rsid w:val="00050E48"/>
    <w:rsid w:val="00061DCC"/>
    <w:rsid w:val="00066DBC"/>
    <w:rsid w:val="00082187"/>
    <w:rsid w:val="00091D53"/>
    <w:rsid w:val="000B417B"/>
    <w:rsid w:val="000C61AB"/>
    <w:rsid w:val="000D111A"/>
    <w:rsid w:val="000D6016"/>
    <w:rsid w:val="000E00A8"/>
    <w:rsid w:val="000E0D27"/>
    <w:rsid w:val="000E79B9"/>
    <w:rsid w:val="000E7EB2"/>
    <w:rsid w:val="00106848"/>
    <w:rsid w:val="00106E54"/>
    <w:rsid w:val="001148A8"/>
    <w:rsid w:val="0011518A"/>
    <w:rsid w:val="001277C2"/>
    <w:rsid w:val="0013224E"/>
    <w:rsid w:val="0013561C"/>
    <w:rsid w:val="00141B94"/>
    <w:rsid w:val="00142D82"/>
    <w:rsid w:val="00144CF8"/>
    <w:rsid w:val="00146865"/>
    <w:rsid w:val="001532FA"/>
    <w:rsid w:val="00166ABF"/>
    <w:rsid w:val="00184BEA"/>
    <w:rsid w:val="00194BD9"/>
    <w:rsid w:val="001A0309"/>
    <w:rsid w:val="001A0FD7"/>
    <w:rsid w:val="001A3650"/>
    <w:rsid w:val="001A38A1"/>
    <w:rsid w:val="001A546C"/>
    <w:rsid w:val="001B2E8C"/>
    <w:rsid w:val="001B6AEA"/>
    <w:rsid w:val="001C6937"/>
    <w:rsid w:val="001E4599"/>
    <w:rsid w:val="001F358D"/>
    <w:rsid w:val="001F5FCE"/>
    <w:rsid w:val="002006B1"/>
    <w:rsid w:val="00205A66"/>
    <w:rsid w:val="00213A24"/>
    <w:rsid w:val="00231FAA"/>
    <w:rsid w:val="00232168"/>
    <w:rsid w:val="002326A8"/>
    <w:rsid w:val="002362B0"/>
    <w:rsid w:val="00236A0D"/>
    <w:rsid w:val="00244A8B"/>
    <w:rsid w:val="00251C74"/>
    <w:rsid w:val="002639A2"/>
    <w:rsid w:val="00272A92"/>
    <w:rsid w:val="002832B3"/>
    <w:rsid w:val="00286D65"/>
    <w:rsid w:val="00287BA6"/>
    <w:rsid w:val="00287F4A"/>
    <w:rsid w:val="002950F1"/>
    <w:rsid w:val="002C24C8"/>
    <w:rsid w:val="002C25AC"/>
    <w:rsid w:val="002D4C0F"/>
    <w:rsid w:val="002D6D13"/>
    <w:rsid w:val="002E27FD"/>
    <w:rsid w:val="002E3645"/>
    <w:rsid w:val="002E51BD"/>
    <w:rsid w:val="002E76FD"/>
    <w:rsid w:val="002F1D5C"/>
    <w:rsid w:val="002F631A"/>
    <w:rsid w:val="00311B2E"/>
    <w:rsid w:val="00320ED9"/>
    <w:rsid w:val="00330B04"/>
    <w:rsid w:val="00332CC6"/>
    <w:rsid w:val="00334A54"/>
    <w:rsid w:val="0034783A"/>
    <w:rsid w:val="003741F3"/>
    <w:rsid w:val="00387D54"/>
    <w:rsid w:val="003A3408"/>
    <w:rsid w:val="003C0B49"/>
    <w:rsid w:val="003C4480"/>
    <w:rsid w:val="003C7A61"/>
    <w:rsid w:val="003D0305"/>
    <w:rsid w:val="003D4584"/>
    <w:rsid w:val="003D6393"/>
    <w:rsid w:val="003D6D34"/>
    <w:rsid w:val="003E4A9F"/>
    <w:rsid w:val="003E4E91"/>
    <w:rsid w:val="003F6615"/>
    <w:rsid w:val="0040424A"/>
    <w:rsid w:val="00406D36"/>
    <w:rsid w:val="004217BE"/>
    <w:rsid w:val="0043080E"/>
    <w:rsid w:val="00431210"/>
    <w:rsid w:val="00435862"/>
    <w:rsid w:val="004403A0"/>
    <w:rsid w:val="00453A4D"/>
    <w:rsid w:val="00454AC9"/>
    <w:rsid w:val="00455359"/>
    <w:rsid w:val="0045627D"/>
    <w:rsid w:val="004602DD"/>
    <w:rsid w:val="004613D4"/>
    <w:rsid w:val="00462F31"/>
    <w:rsid w:val="00464010"/>
    <w:rsid w:val="004645AB"/>
    <w:rsid w:val="00464E59"/>
    <w:rsid w:val="00466238"/>
    <w:rsid w:val="00481B48"/>
    <w:rsid w:val="00485205"/>
    <w:rsid w:val="004903D4"/>
    <w:rsid w:val="004A4C16"/>
    <w:rsid w:val="004A5F7F"/>
    <w:rsid w:val="004B684D"/>
    <w:rsid w:val="004C145E"/>
    <w:rsid w:val="004D0374"/>
    <w:rsid w:val="004D04E2"/>
    <w:rsid w:val="004D0FC4"/>
    <w:rsid w:val="004D420E"/>
    <w:rsid w:val="004F26A9"/>
    <w:rsid w:val="004F6D85"/>
    <w:rsid w:val="005050A4"/>
    <w:rsid w:val="0050779E"/>
    <w:rsid w:val="00511DBF"/>
    <w:rsid w:val="00520F36"/>
    <w:rsid w:val="0052213B"/>
    <w:rsid w:val="00531183"/>
    <w:rsid w:val="00536F33"/>
    <w:rsid w:val="00555536"/>
    <w:rsid w:val="00570741"/>
    <w:rsid w:val="00576518"/>
    <w:rsid w:val="00583510"/>
    <w:rsid w:val="00586EAF"/>
    <w:rsid w:val="00590F3B"/>
    <w:rsid w:val="00592BFA"/>
    <w:rsid w:val="005942B2"/>
    <w:rsid w:val="00594B70"/>
    <w:rsid w:val="005A62E0"/>
    <w:rsid w:val="005A66A0"/>
    <w:rsid w:val="005B3461"/>
    <w:rsid w:val="005B51B4"/>
    <w:rsid w:val="005B62F9"/>
    <w:rsid w:val="005C0ACC"/>
    <w:rsid w:val="005C2991"/>
    <w:rsid w:val="005C5D56"/>
    <w:rsid w:val="005D02BF"/>
    <w:rsid w:val="005F3BDF"/>
    <w:rsid w:val="005F728F"/>
    <w:rsid w:val="0060040A"/>
    <w:rsid w:val="00604A58"/>
    <w:rsid w:val="00612DEA"/>
    <w:rsid w:val="00623345"/>
    <w:rsid w:val="00623A6D"/>
    <w:rsid w:val="00632AF2"/>
    <w:rsid w:val="00633FA9"/>
    <w:rsid w:val="00652221"/>
    <w:rsid w:val="00652F59"/>
    <w:rsid w:val="00665550"/>
    <w:rsid w:val="006771DC"/>
    <w:rsid w:val="006779E0"/>
    <w:rsid w:val="00682F4F"/>
    <w:rsid w:val="00684C11"/>
    <w:rsid w:val="00694743"/>
    <w:rsid w:val="006B1801"/>
    <w:rsid w:val="006B256B"/>
    <w:rsid w:val="006B583F"/>
    <w:rsid w:val="006B5D09"/>
    <w:rsid w:val="006B61E1"/>
    <w:rsid w:val="006C0B4E"/>
    <w:rsid w:val="006D3FBA"/>
    <w:rsid w:val="006D4D67"/>
    <w:rsid w:val="006D68D7"/>
    <w:rsid w:val="006F4E82"/>
    <w:rsid w:val="0070158A"/>
    <w:rsid w:val="00704FB5"/>
    <w:rsid w:val="00716F3A"/>
    <w:rsid w:val="007239EA"/>
    <w:rsid w:val="00733CB2"/>
    <w:rsid w:val="00743A6C"/>
    <w:rsid w:val="0075590D"/>
    <w:rsid w:val="007709EA"/>
    <w:rsid w:val="0077453A"/>
    <w:rsid w:val="00775F8B"/>
    <w:rsid w:val="007870D8"/>
    <w:rsid w:val="007964D8"/>
    <w:rsid w:val="007A0B8F"/>
    <w:rsid w:val="007A0EAF"/>
    <w:rsid w:val="007A3083"/>
    <w:rsid w:val="007B2113"/>
    <w:rsid w:val="007C61AB"/>
    <w:rsid w:val="007E5663"/>
    <w:rsid w:val="007E5F96"/>
    <w:rsid w:val="007F4C16"/>
    <w:rsid w:val="00800B44"/>
    <w:rsid w:val="008330ED"/>
    <w:rsid w:val="00842E34"/>
    <w:rsid w:val="0085415D"/>
    <w:rsid w:val="00856163"/>
    <w:rsid w:val="00860A58"/>
    <w:rsid w:val="00870416"/>
    <w:rsid w:val="00871FA6"/>
    <w:rsid w:val="0089002A"/>
    <w:rsid w:val="008A52FC"/>
    <w:rsid w:val="008B5276"/>
    <w:rsid w:val="008C0EAA"/>
    <w:rsid w:val="008C21C3"/>
    <w:rsid w:val="008C2503"/>
    <w:rsid w:val="008C548B"/>
    <w:rsid w:val="008C63BB"/>
    <w:rsid w:val="008D1B83"/>
    <w:rsid w:val="008E000E"/>
    <w:rsid w:val="008F6E5B"/>
    <w:rsid w:val="00930750"/>
    <w:rsid w:val="009318DB"/>
    <w:rsid w:val="0093258B"/>
    <w:rsid w:val="00944B44"/>
    <w:rsid w:val="00951654"/>
    <w:rsid w:val="00951AC8"/>
    <w:rsid w:val="00960C72"/>
    <w:rsid w:val="00965B17"/>
    <w:rsid w:val="00980F5A"/>
    <w:rsid w:val="0098322B"/>
    <w:rsid w:val="009928B0"/>
    <w:rsid w:val="009928B3"/>
    <w:rsid w:val="00993AD5"/>
    <w:rsid w:val="009A0882"/>
    <w:rsid w:val="009B188A"/>
    <w:rsid w:val="009B27A5"/>
    <w:rsid w:val="009C5479"/>
    <w:rsid w:val="009C6FEC"/>
    <w:rsid w:val="009D0C0B"/>
    <w:rsid w:val="009D1673"/>
    <w:rsid w:val="009D1B6F"/>
    <w:rsid w:val="009E3AC4"/>
    <w:rsid w:val="009E5401"/>
    <w:rsid w:val="009F02D0"/>
    <w:rsid w:val="00A14915"/>
    <w:rsid w:val="00A15354"/>
    <w:rsid w:val="00A24AC1"/>
    <w:rsid w:val="00A269D1"/>
    <w:rsid w:val="00A26A86"/>
    <w:rsid w:val="00A316FC"/>
    <w:rsid w:val="00A33852"/>
    <w:rsid w:val="00A36377"/>
    <w:rsid w:val="00A36C26"/>
    <w:rsid w:val="00A43DFB"/>
    <w:rsid w:val="00A539CF"/>
    <w:rsid w:val="00A6161D"/>
    <w:rsid w:val="00A66C8B"/>
    <w:rsid w:val="00A724C8"/>
    <w:rsid w:val="00A82B03"/>
    <w:rsid w:val="00A8585E"/>
    <w:rsid w:val="00A91124"/>
    <w:rsid w:val="00AA75C5"/>
    <w:rsid w:val="00AB7772"/>
    <w:rsid w:val="00AC4C47"/>
    <w:rsid w:val="00AD18D8"/>
    <w:rsid w:val="00AD4D66"/>
    <w:rsid w:val="00AE54E6"/>
    <w:rsid w:val="00AE5B08"/>
    <w:rsid w:val="00AF0FFA"/>
    <w:rsid w:val="00B12D05"/>
    <w:rsid w:val="00B133DF"/>
    <w:rsid w:val="00B200EF"/>
    <w:rsid w:val="00B204EB"/>
    <w:rsid w:val="00B3368C"/>
    <w:rsid w:val="00B35265"/>
    <w:rsid w:val="00B46C71"/>
    <w:rsid w:val="00B50730"/>
    <w:rsid w:val="00B52FCC"/>
    <w:rsid w:val="00B56744"/>
    <w:rsid w:val="00B56BF0"/>
    <w:rsid w:val="00B73A0E"/>
    <w:rsid w:val="00B83A2B"/>
    <w:rsid w:val="00B83E19"/>
    <w:rsid w:val="00BA2BA6"/>
    <w:rsid w:val="00BA2F06"/>
    <w:rsid w:val="00BB1DD6"/>
    <w:rsid w:val="00BC2919"/>
    <w:rsid w:val="00BC37EA"/>
    <w:rsid w:val="00BC5764"/>
    <w:rsid w:val="00BC5AB8"/>
    <w:rsid w:val="00BC7259"/>
    <w:rsid w:val="00BC73A3"/>
    <w:rsid w:val="00BE66FE"/>
    <w:rsid w:val="00BF0BED"/>
    <w:rsid w:val="00BF67EA"/>
    <w:rsid w:val="00C0322F"/>
    <w:rsid w:val="00C03E3D"/>
    <w:rsid w:val="00C17A3E"/>
    <w:rsid w:val="00C226FA"/>
    <w:rsid w:val="00C324C1"/>
    <w:rsid w:val="00C34B5C"/>
    <w:rsid w:val="00C36177"/>
    <w:rsid w:val="00C4044E"/>
    <w:rsid w:val="00C4279F"/>
    <w:rsid w:val="00C512E2"/>
    <w:rsid w:val="00C547CA"/>
    <w:rsid w:val="00C57479"/>
    <w:rsid w:val="00CA512B"/>
    <w:rsid w:val="00CB4A2E"/>
    <w:rsid w:val="00CB539B"/>
    <w:rsid w:val="00CC1F94"/>
    <w:rsid w:val="00CC7870"/>
    <w:rsid w:val="00CE2ABD"/>
    <w:rsid w:val="00CF1542"/>
    <w:rsid w:val="00CF410B"/>
    <w:rsid w:val="00D05B5F"/>
    <w:rsid w:val="00D14D3C"/>
    <w:rsid w:val="00D200EE"/>
    <w:rsid w:val="00D25301"/>
    <w:rsid w:val="00D41575"/>
    <w:rsid w:val="00D41C52"/>
    <w:rsid w:val="00D45151"/>
    <w:rsid w:val="00D52F9C"/>
    <w:rsid w:val="00D534AD"/>
    <w:rsid w:val="00D56E18"/>
    <w:rsid w:val="00D57E9B"/>
    <w:rsid w:val="00D608FC"/>
    <w:rsid w:val="00D66E11"/>
    <w:rsid w:val="00D752FB"/>
    <w:rsid w:val="00D77F25"/>
    <w:rsid w:val="00D80047"/>
    <w:rsid w:val="00D826EE"/>
    <w:rsid w:val="00D8769E"/>
    <w:rsid w:val="00D90252"/>
    <w:rsid w:val="00D97598"/>
    <w:rsid w:val="00DA219C"/>
    <w:rsid w:val="00DA228F"/>
    <w:rsid w:val="00DA50D1"/>
    <w:rsid w:val="00DA5AA1"/>
    <w:rsid w:val="00DA75D5"/>
    <w:rsid w:val="00DB77E1"/>
    <w:rsid w:val="00DC06E1"/>
    <w:rsid w:val="00DD6CF5"/>
    <w:rsid w:val="00DE7D7F"/>
    <w:rsid w:val="00E013CD"/>
    <w:rsid w:val="00E1195B"/>
    <w:rsid w:val="00E12B8F"/>
    <w:rsid w:val="00E1310E"/>
    <w:rsid w:val="00E17044"/>
    <w:rsid w:val="00E2047A"/>
    <w:rsid w:val="00E35137"/>
    <w:rsid w:val="00E37C4D"/>
    <w:rsid w:val="00E50B57"/>
    <w:rsid w:val="00E608F0"/>
    <w:rsid w:val="00E6106F"/>
    <w:rsid w:val="00E74FC1"/>
    <w:rsid w:val="00E75EB3"/>
    <w:rsid w:val="00EA799C"/>
    <w:rsid w:val="00EB1794"/>
    <w:rsid w:val="00EB1B29"/>
    <w:rsid w:val="00EC4353"/>
    <w:rsid w:val="00EC7E7A"/>
    <w:rsid w:val="00ED120F"/>
    <w:rsid w:val="00ED48FE"/>
    <w:rsid w:val="00ED7F62"/>
    <w:rsid w:val="00EE1D8B"/>
    <w:rsid w:val="00EE4C83"/>
    <w:rsid w:val="00EE67B8"/>
    <w:rsid w:val="00EF3047"/>
    <w:rsid w:val="00EF3708"/>
    <w:rsid w:val="00F02119"/>
    <w:rsid w:val="00F0560C"/>
    <w:rsid w:val="00F06206"/>
    <w:rsid w:val="00F1001D"/>
    <w:rsid w:val="00F13285"/>
    <w:rsid w:val="00F24193"/>
    <w:rsid w:val="00F31122"/>
    <w:rsid w:val="00F32592"/>
    <w:rsid w:val="00F34985"/>
    <w:rsid w:val="00F40288"/>
    <w:rsid w:val="00F40483"/>
    <w:rsid w:val="00F631D7"/>
    <w:rsid w:val="00F72948"/>
    <w:rsid w:val="00F91DAD"/>
    <w:rsid w:val="00F93AE8"/>
    <w:rsid w:val="00FA352B"/>
    <w:rsid w:val="00FB05D8"/>
    <w:rsid w:val="00FB5D98"/>
    <w:rsid w:val="00FC2C28"/>
    <w:rsid w:val="00FD1C91"/>
    <w:rsid w:val="00FF1A09"/>
    <w:rsid w:val="00FF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EA42A"/>
  <w15:chartTrackingRefBased/>
  <w15:docId w15:val="{364FD1A4-E8D8-B547-8A46-5A9499E2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paragraph" w:customStyle="1" w:styleId="Default">
    <w:name w:val="Default"/>
    <w:rsid w:val="00632AF2"/>
    <w:pPr>
      <w:autoSpaceDE w:val="0"/>
      <w:autoSpaceDN w:val="0"/>
      <w:adjustRightInd w:val="0"/>
    </w:pPr>
    <w:rPr>
      <w:rFonts w:ascii="Times New Roman" w:eastAsiaTheme="minorHAnsi" w:hAnsi="Times New Roman"/>
      <w:color w:val="000000"/>
      <w:sz w:val="24"/>
      <w:szCs w:val="24"/>
      <w:lang w:eastAsia="en-US"/>
    </w:rPr>
  </w:style>
  <w:style w:type="paragraph" w:styleId="PargrafodaLista">
    <w:name w:val="List Paragraph"/>
    <w:basedOn w:val="Normal"/>
    <w:uiPriority w:val="34"/>
    <w:qFormat/>
    <w:rsid w:val="00632AF2"/>
    <w:pPr>
      <w:spacing w:after="200" w:line="276" w:lineRule="auto"/>
      <w:ind w:left="720"/>
      <w:contextualSpacing/>
      <w:jc w:val="left"/>
    </w:pPr>
    <w:rPr>
      <w:rFonts w:asciiTheme="minorHAnsi" w:eastAsiaTheme="minorHAnsi" w:hAnsiTheme="minorHAnsi" w:cstheme="minorBidi"/>
      <w:sz w:val="22"/>
      <w:szCs w:val="22"/>
    </w:rPr>
  </w:style>
  <w:style w:type="character" w:styleId="MenoPendente">
    <w:name w:val="Unresolved Mention"/>
    <w:basedOn w:val="Fontepargpadro"/>
    <w:uiPriority w:val="99"/>
    <w:semiHidden/>
    <w:unhideWhenUsed/>
    <w:rsid w:val="00BC72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ir.gov.br/web/guest/oleo-lubrificante-usado-ou-contaminado-oluc-"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edropferes@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wcgligoco@gmail.com"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16BB7-4117-49D0-81DE-D89E1007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3414</Words>
  <Characters>18441</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21812</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keywords/>
  <dc:description/>
  <cp:lastModifiedBy>Max Filipe Silva Gonçalves</cp:lastModifiedBy>
  <cp:revision>9</cp:revision>
  <dcterms:created xsi:type="dcterms:W3CDTF">2018-02-13T04:32:00Z</dcterms:created>
  <dcterms:modified xsi:type="dcterms:W3CDTF">2018-02-13T04:39:00Z</dcterms:modified>
</cp:coreProperties>
</file>