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65DC" w14:textId="30C858F2" w:rsidR="00D22A2A" w:rsidRPr="00511BC1" w:rsidRDefault="0098649C" w:rsidP="00D22A2A">
      <w:pPr>
        <w:spacing w:line="276" w:lineRule="auto"/>
        <w:jc w:val="center"/>
        <w:rPr>
          <w:rFonts w:ascii="Times" w:hAnsi="Times"/>
          <w:b/>
          <w:sz w:val="24"/>
          <w:szCs w:val="24"/>
        </w:rPr>
      </w:pPr>
      <w:r w:rsidRPr="00511BC1">
        <w:rPr>
          <w:rFonts w:ascii="Times" w:hAnsi="Times"/>
          <w:b/>
          <w:sz w:val="24"/>
          <w:szCs w:val="24"/>
        </w:rPr>
        <w:t xml:space="preserve">Insights in the biology and life cycle of the lichen-inhabiting fungus </w:t>
      </w:r>
      <w:r w:rsidRPr="00511BC1">
        <w:rPr>
          <w:rFonts w:ascii="Times" w:hAnsi="Times"/>
          <w:b/>
          <w:i/>
          <w:sz w:val="24"/>
          <w:szCs w:val="24"/>
        </w:rPr>
        <w:t xml:space="preserve">Tremella </w:t>
      </w:r>
      <w:proofErr w:type="spellStart"/>
      <w:r w:rsidRPr="00511BC1">
        <w:rPr>
          <w:rFonts w:ascii="Times" w:hAnsi="Times"/>
          <w:b/>
          <w:i/>
          <w:sz w:val="24"/>
          <w:szCs w:val="24"/>
        </w:rPr>
        <w:t>hypogymniae</w:t>
      </w:r>
      <w:proofErr w:type="spellEnd"/>
      <w:r w:rsidRPr="00511BC1">
        <w:rPr>
          <w:rFonts w:ascii="Times" w:hAnsi="Times"/>
          <w:b/>
          <w:sz w:val="24"/>
          <w:szCs w:val="24"/>
        </w:rPr>
        <w:t xml:space="preserve"> (</w:t>
      </w:r>
      <w:proofErr w:type="spellStart"/>
      <w:r w:rsidRPr="00511BC1">
        <w:rPr>
          <w:rFonts w:ascii="Times" w:hAnsi="Times"/>
          <w:b/>
          <w:sz w:val="24"/>
          <w:szCs w:val="24"/>
        </w:rPr>
        <w:t>Tremellales</w:t>
      </w:r>
      <w:proofErr w:type="spellEnd"/>
      <w:r w:rsidRPr="00511BC1">
        <w:rPr>
          <w:rFonts w:ascii="Times" w:hAnsi="Times"/>
          <w:b/>
          <w:sz w:val="24"/>
          <w:szCs w:val="24"/>
        </w:rPr>
        <w:t>, Basidiomycota, Fungi)</w:t>
      </w:r>
    </w:p>
    <w:p w14:paraId="05D45549" w14:textId="6F8A46F1" w:rsidR="00D22A2A" w:rsidRPr="00511BC1" w:rsidRDefault="00736F36" w:rsidP="00D22A2A">
      <w:pPr>
        <w:spacing w:after="120"/>
        <w:jc w:val="center"/>
        <w:rPr>
          <w:rFonts w:ascii="Times" w:hAnsi="Times"/>
          <w:color w:val="000000" w:themeColor="text1"/>
          <w:sz w:val="24"/>
          <w:szCs w:val="24"/>
          <w:vertAlign w:val="superscript"/>
        </w:rPr>
      </w:pPr>
      <w:bookmarkStart w:id="0" w:name="_GoBack"/>
      <w:r w:rsidRPr="00511BC1">
        <w:rPr>
          <w:rFonts w:ascii="Times" w:hAnsi="Times"/>
          <w:sz w:val="24"/>
          <w:szCs w:val="24"/>
        </w:rPr>
        <w:t xml:space="preserve">Ana M. </w:t>
      </w:r>
      <w:r w:rsidRPr="00511BC1">
        <w:rPr>
          <w:rFonts w:ascii="Times" w:hAnsi="Times"/>
          <w:color w:val="000000" w:themeColor="text1"/>
          <w:sz w:val="24"/>
          <w:szCs w:val="24"/>
        </w:rPr>
        <w:t>Millanes</w:t>
      </w:r>
      <w:r w:rsidR="0062477E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1</w:t>
      </w:r>
      <w:r w:rsidR="00DE21D0">
        <w:rPr>
          <w:rFonts w:ascii="Times" w:hAnsi="Times"/>
          <w:color w:val="000000" w:themeColor="text1"/>
          <w:sz w:val="24"/>
          <w:szCs w:val="24"/>
          <w:vertAlign w:val="superscript"/>
        </w:rPr>
        <w:t>*</w:t>
      </w:r>
      <w:r w:rsidR="0062477E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653FD" w:rsidRPr="00511BC1">
        <w:rPr>
          <w:rFonts w:ascii="Times" w:hAnsi="Times"/>
          <w:color w:val="000000" w:themeColor="text1"/>
          <w:sz w:val="24"/>
          <w:szCs w:val="24"/>
        </w:rPr>
        <w:t>Veera Tuovinen</w:t>
      </w:r>
      <w:r w:rsidR="0062477E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2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653FD" w:rsidRPr="00511BC1">
        <w:rPr>
          <w:rFonts w:ascii="Times" w:hAnsi="Times"/>
          <w:color w:val="000000" w:themeColor="text1"/>
          <w:sz w:val="24"/>
          <w:szCs w:val="24"/>
        </w:rPr>
        <w:t>Juan Periáñez</w:t>
      </w:r>
      <w:r w:rsidR="00B86E0D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1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6D06A8">
        <w:rPr>
          <w:rFonts w:ascii="Times" w:hAnsi="Times"/>
          <w:color w:val="000000" w:themeColor="text1"/>
          <w:sz w:val="24"/>
          <w:szCs w:val="24"/>
        </w:rPr>
        <w:t>Sandra Freire-Rallo</w:t>
      </w:r>
      <w:r w:rsidR="006D06A8" w:rsidRPr="006D06A8">
        <w:rPr>
          <w:rFonts w:ascii="Times" w:hAnsi="Times" w:cs="Latha (Cuerpo en alfabeto compl"/>
          <w:color w:val="000000" w:themeColor="text1"/>
          <w:sz w:val="24"/>
          <w:szCs w:val="24"/>
          <w:vertAlign w:val="superscript"/>
        </w:rPr>
        <w:t>1</w:t>
      </w:r>
      <w:r w:rsidR="006D06A8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94777A" w:rsidRPr="00511BC1">
        <w:rPr>
          <w:rFonts w:ascii="Times" w:hAnsi="Times"/>
          <w:color w:val="000000" w:themeColor="text1"/>
          <w:sz w:val="24"/>
          <w:szCs w:val="24"/>
        </w:rPr>
        <w:t>Paul Diederich</w:t>
      </w:r>
      <w:r w:rsidR="0094777A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3</w:t>
      </w:r>
      <w:r w:rsidR="0094777A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bookmarkEnd w:id="0"/>
      <w:r w:rsidR="004653FD" w:rsidRPr="00511BC1">
        <w:rPr>
          <w:rFonts w:ascii="Times" w:hAnsi="Times"/>
          <w:color w:val="000000" w:themeColor="text1"/>
          <w:sz w:val="24"/>
          <w:szCs w:val="24"/>
        </w:rPr>
        <w:t>Martin Westberg</w:t>
      </w:r>
      <w:r w:rsidR="00B86E0D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2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>;</w:t>
      </w:r>
      <w:r w:rsidR="002F2FBD" w:rsidRPr="00511BC1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4653FD" w:rsidRPr="00511BC1">
        <w:rPr>
          <w:rFonts w:ascii="Times" w:hAnsi="Times"/>
          <w:color w:val="000000" w:themeColor="text1"/>
          <w:sz w:val="24"/>
          <w:szCs w:val="24"/>
        </w:rPr>
        <w:t>Hanna Johannesson</w:t>
      </w:r>
      <w:r w:rsidR="00B86E0D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2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>;</w:t>
      </w:r>
      <w:r w:rsidR="00AE6CBF" w:rsidRPr="00511BC1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4653FD" w:rsidRPr="00511BC1">
        <w:rPr>
          <w:rFonts w:ascii="Times" w:hAnsi="Times"/>
          <w:color w:val="000000" w:themeColor="text1"/>
          <w:sz w:val="24"/>
          <w:szCs w:val="24"/>
        </w:rPr>
        <w:t>Mats Wedin</w:t>
      </w:r>
      <w:r w:rsidR="002F2FBD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4</w:t>
      </w:r>
    </w:p>
    <w:p w14:paraId="3DD87303" w14:textId="54170B68" w:rsidR="00D22A2A" w:rsidRPr="00511BC1" w:rsidRDefault="00D22A2A" w:rsidP="002F2FBD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</w:rPr>
      </w:pPr>
      <w:r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1</w:t>
      </w:r>
      <w:r w:rsidR="0041562C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 </w:t>
      </w:r>
      <w:r w:rsidR="004C168B" w:rsidRPr="00511BC1">
        <w:rPr>
          <w:rFonts w:ascii="Times" w:hAnsi="Times"/>
          <w:color w:val="000000" w:themeColor="text1"/>
          <w:sz w:val="24"/>
          <w:szCs w:val="24"/>
        </w:rPr>
        <w:t>Universidad Rey Juan Carlos, Spain</w:t>
      </w:r>
      <w:r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2 </w:t>
      </w:r>
      <w:r w:rsidR="00B86E0D" w:rsidRPr="00511BC1">
        <w:rPr>
          <w:rFonts w:ascii="Times" w:hAnsi="Times"/>
          <w:color w:val="000000" w:themeColor="text1"/>
          <w:sz w:val="24"/>
          <w:szCs w:val="24"/>
        </w:rPr>
        <w:t>Uppsala</w:t>
      </w:r>
      <w:r w:rsidR="004653FD" w:rsidRPr="00511BC1">
        <w:rPr>
          <w:rFonts w:ascii="Times" w:hAnsi="Times"/>
          <w:color w:val="000000" w:themeColor="text1"/>
          <w:sz w:val="24"/>
          <w:szCs w:val="24"/>
        </w:rPr>
        <w:t xml:space="preserve"> University</w:t>
      </w:r>
      <w:r w:rsidR="00B86E0D" w:rsidRPr="00511BC1">
        <w:rPr>
          <w:rFonts w:ascii="Times" w:hAnsi="Times"/>
          <w:color w:val="000000" w:themeColor="text1"/>
          <w:sz w:val="24"/>
          <w:szCs w:val="24"/>
        </w:rPr>
        <w:t>, Sweden</w:t>
      </w:r>
      <w:r w:rsidR="002F2FBD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2F2FBD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3 </w:t>
      </w:r>
      <w:r w:rsidR="002F2FBD" w:rsidRPr="00511BC1">
        <w:rPr>
          <w:rFonts w:ascii="Times" w:hAnsi="Times"/>
          <w:color w:val="000000" w:themeColor="text1"/>
          <w:sz w:val="24"/>
          <w:szCs w:val="24"/>
        </w:rPr>
        <w:t>National Natural History Museum, Luxembourg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2F2FBD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4</w:t>
      </w:r>
      <w:r w:rsidR="0041562C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 </w:t>
      </w:r>
      <w:r w:rsidR="00B86E0D" w:rsidRPr="00511BC1">
        <w:rPr>
          <w:rFonts w:ascii="Times" w:hAnsi="Times"/>
          <w:color w:val="000000" w:themeColor="text1"/>
          <w:sz w:val="24"/>
          <w:szCs w:val="24"/>
        </w:rPr>
        <w:t>Swedish Museum of Natural History</w:t>
      </w:r>
      <w:r w:rsidR="002F2FBD" w:rsidRPr="00511BC1">
        <w:rPr>
          <w:rFonts w:ascii="Times" w:hAnsi="Times"/>
          <w:color w:val="000000" w:themeColor="text1"/>
          <w:sz w:val="24"/>
          <w:szCs w:val="24"/>
        </w:rPr>
        <w:t>, Sweden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1562C" w:rsidRPr="00511BC1">
        <w:rPr>
          <w:rFonts w:ascii="Times" w:hAnsi="Times"/>
          <w:color w:val="000000" w:themeColor="text1"/>
          <w:sz w:val="24"/>
          <w:szCs w:val="24"/>
          <w:vertAlign w:val="superscript"/>
        </w:rPr>
        <w:t>*</w:t>
      </w:r>
      <w:r w:rsidR="0041562C" w:rsidRPr="00511BC1">
        <w:rPr>
          <w:rFonts w:ascii="Times" w:hAnsi="Times"/>
          <w:color w:val="000000" w:themeColor="text1"/>
          <w:sz w:val="24"/>
          <w:szCs w:val="24"/>
        </w:rPr>
        <w:t xml:space="preserve">E-mail: </w:t>
      </w:r>
      <w:r w:rsidR="00110BB1" w:rsidRPr="00511BC1">
        <w:rPr>
          <w:rFonts w:ascii="Times" w:hAnsi="Times"/>
          <w:color w:val="000000" w:themeColor="text1"/>
          <w:sz w:val="24"/>
          <w:szCs w:val="24"/>
        </w:rPr>
        <w:t>ana.millanes@urjc.es</w:t>
      </w:r>
    </w:p>
    <w:p w14:paraId="33C11B59" w14:textId="77777777" w:rsidR="00D22A2A" w:rsidRPr="00511BC1" w:rsidRDefault="00D22A2A" w:rsidP="00D22A2A">
      <w:pPr>
        <w:rPr>
          <w:rStyle w:val="Hipervnculo"/>
          <w:rFonts w:ascii="Times" w:hAnsi="Times"/>
          <w:sz w:val="24"/>
          <w:szCs w:val="24"/>
        </w:rPr>
      </w:pPr>
    </w:p>
    <w:p w14:paraId="32227F12" w14:textId="682F719B" w:rsidR="00EA2182" w:rsidRPr="0064232F" w:rsidRDefault="00110BB1" w:rsidP="0064232F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</w:rPr>
      </w:pP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In the </w:t>
      </w:r>
      <w:r w:rsidR="002B71A1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past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decades, lichens have been revealed as complex systems that </w:t>
      </w:r>
      <w:r w:rsidR="00EA29C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harbour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 diversity of additional organisms, including fungi other than the mycobiont (referred to as the m</w:t>
      </w:r>
      <w:r w:rsidR="005305E5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ycobiome)</w:t>
      </w:r>
      <w:r w:rsidR="002B71A1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and bacteria</w:t>
      </w:r>
      <w:r w:rsidR="005305E5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.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Some lichen-inhabiting </w:t>
      </w:r>
      <w:r w:rsidR="00E512D1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basidiomycetes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– and also many </w:t>
      </w:r>
      <w:r w:rsidR="00E512D1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fungi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associated </w:t>
      </w:r>
      <w:r w:rsidR="00E512D1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with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other organisms – are dimorphic, </w:t>
      </w:r>
      <w:r w:rsidR="00F41997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</w:t>
      </w:r>
      <w:r w:rsidR="00150BFF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.e.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they include a yeast phase and a filamentous phase in their life</w:t>
      </w:r>
      <w:r w:rsidR="00CC1FA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cycle. </w:t>
      </w:r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 filamentous phase of dimorphic lichen-inhabiting basidiomycetes (e.g. </w:t>
      </w:r>
      <w:proofErr w:type="spellStart"/>
      <w:r w:rsidR="008655DE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Cyphobasidium</w:t>
      </w:r>
      <w:proofErr w:type="spellEnd"/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and </w:t>
      </w:r>
      <w:r w:rsidR="008655DE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Tremella</w:t>
      </w:r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s.l.</w:t>
      </w:r>
      <w:proofErr w:type="spellEnd"/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) is hig</w:t>
      </w:r>
      <w:r w:rsidR="00E14C8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</w:t>
      </w:r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ly host-specific and </w:t>
      </w:r>
      <w:r w:rsidR="007A0908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produces</w:t>
      </w:r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basidiomata</w:t>
      </w:r>
      <w:proofErr w:type="spellEnd"/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, often </w:t>
      </w:r>
      <w:r w:rsidR="00390BE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associated with</w:t>
      </w:r>
      <w:r w:rsidR="008655D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galls on the lichen thallus</w:t>
      </w:r>
      <w:r w:rsidR="005B2F8D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8655DE" w:rsidRPr="00511BC1" w:rsidDel="008655D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F47C0B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he yeast phase of </w:t>
      </w:r>
      <w:r w:rsidR="00806E5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some of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these fungi </w:t>
      </w:r>
      <w:r w:rsidR="00806E5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has been shown </w:t>
      </w:r>
      <w:r w:rsidR="00102BD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to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grow in the </w:t>
      </w:r>
      <w:r w:rsidR="00E512D1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lichen 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cortex</w:t>
      </w:r>
      <w:r w:rsidR="00086707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, but</w:t>
      </w:r>
      <w:r w:rsidR="007336C4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at least in </w:t>
      </w:r>
      <w:r w:rsidR="007336C4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Tremella</w:t>
      </w:r>
      <w:r w:rsidR="007336C4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,</w:t>
      </w:r>
      <w:r w:rsidR="00086707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he level of </w:t>
      </w:r>
      <w:r w:rsidR="00102BD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host-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spe</w:t>
      </w:r>
      <w:r w:rsidR="006F43F8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cificity is </w:t>
      </w:r>
      <w:r w:rsidR="00102BD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unclear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 Here</w:t>
      </w:r>
      <w:r w:rsidR="00086707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, we provide further data on</w:t>
      </w:r>
      <w:r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AB1CFE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 different phases of the life cycle within the lichen thallus. </w:t>
      </w:r>
      <w:r w:rsidR="00EA4BC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As study object we </w:t>
      </w:r>
      <w:r w:rsidR="00FC7DA3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have cho</w:t>
      </w:r>
      <w:r w:rsidR="00EA4BC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se</w:t>
      </w:r>
      <w:r w:rsidR="00FC7DA3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n</w:t>
      </w:r>
      <w:r w:rsidR="00EA4BC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EA4BCC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 xml:space="preserve">Tremella </w:t>
      </w:r>
      <w:proofErr w:type="spellStart"/>
      <w:r w:rsidR="00EA4BCC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hypogymniae</w:t>
      </w:r>
      <w:proofErr w:type="spellEnd"/>
      <w:r w:rsidR="00EA4BC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, a species that is so far known </w:t>
      </w:r>
      <w:r w:rsidR="00FC7DA3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to grow</w:t>
      </w:r>
      <w:r w:rsidR="00EA4BC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only </w:t>
      </w:r>
      <w:r w:rsidR="00FC7DA3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</w:t>
      </w:r>
      <w:r w:rsidR="00EA4BC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n </w:t>
      </w:r>
      <w:proofErr w:type="spellStart"/>
      <w:r w:rsidR="00EA4BCC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Hypogymnia</w:t>
      </w:r>
      <w:proofErr w:type="spellEnd"/>
      <w:r w:rsidR="00EA4BCC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4BCC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physodes</w:t>
      </w:r>
      <w:proofErr w:type="spellEnd"/>
      <w:r w:rsidR="0012110A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. We have used highly specific PCR primers to selectively amplify </w:t>
      </w:r>
      <w:r w:rsidR="0012110A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 xml:space="preserve">T. </w:t>
      </w:r>
      <w:proofErr w:type="spellStart"/>
      <w:r w:rsidR="0012110A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hypogymniae</w:t>
      </w:r>
      <w:proofErr w:type="spellEnd"/>
      <w:r w:rsidR="00390BE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FC7DA3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and, </w:t>
      </w:r>
      <w:r w:rsidR="00390BE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</w:t>
      </w:r>
      <w:r w:rsidR="0012110A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n addition, we </w:t>
      </w:r>
      <w:r w:rsidR="0098649C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have </w:t>
      </w:r>
      <w:r w:rsidR="0012110A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performed fluorescent </w:t>
      </w:r>
      <w:r w:rsidR="0012110A" w:rsidRPr="00511BC1">
        <w:rPr>
          <w:rFonts w:ascii="Times" w:hAnsi="Times"/>
          <w:i/>
          <w:color w:val="000000"/>
          <w:sz w:val="24"/>
          <w:szCs w:val="24"/>
          <w:bdr w:val="none" w:sz="0" w:space="0" w:color="auto" w:frame="1"/>
        </w:rPr>
        <w:t>in situ</w:t>
      </w:r>
      <w:r w:rsidR="0012110A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hybridization (FISH) to identify the location of the different phases of the life cycle</w:t>
      </w:r>
      <w:r w:rsidR="00390BE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EA29C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102BD6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Here, w</w:t>
      </w:r>
      <w:r w:rsidR="00EA29C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 investigate </w:t>
      </w:r>
      <w:r w:rsidR="00102BD6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frequency and host range of </w:t>
      </w:r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Tremella </w:t>
      </w:r>
      <w:proofErr w:type="spellStart"/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hypogymniae</w:t>
      </w:r>
      <w:proofErr w:type="spellEnd"/>
      <w:r w:rsidR="00102BD6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EB493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whether</w:t>
      </w:r>
      <w:r w:rsidR="00EB4932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A6437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hypogymniae</w:t>
      </w:r>
      <w:proofErr w:type="spellEnd"/>
      <w:r w:rsidR="00EA29C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102BD6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may </w:t>
      </w:r>
      <w:r w:rsidR="00EA29C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coexist with </w:t>
      </w:r>
      <w:proofErr w:type="spellStart"/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Cyphobas</w:t>
      </w:r>
      <w:r w:rsidR="00E835BE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dium</w:t>
      </w:r>
      <w:proofErr w:type="spellEnd"/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6751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hypogymni</w:t>
      </w:r>
      <w:r w:rsidR="009D675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icola</w:t>
      </w:r>
      <w:proofErr w:type="spellEnd"/>
      <w:r w:rsidR="009D6751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6437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the same host thallus</w:t>
      </w:r>
      <w:r w:rsidR="00EA29C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and finally how </w:t>
      </w:r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Tremella</w:t>
      </w:r>
      <w:r w:rsidR="00EA29C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proofErr w:type="spellStart"/>
      <w:r w:rsidR="00EA29CE" w:rsidRPr="00C93B4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Cyphobasidium</w:t>
      </w:r>
      <w:proofErr w:type="spellEnd"/>
      <w:r w:rsidR="00EA29CE" w:rsidRPr="00C93B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 structured genetically.</w:t>
      </w:r>
      <w:r w:rsidR="0064232F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12110A" w:rsidRPr="00511B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Our study represents an important step in the understanding of the life cycle and biology of lichen-inhabiting basidiomycete fungi.</w:t>
      </w:r>
    </w:p>
    <w:sectPr w:rsidR="00EA2182" w:rsidRPr="0064232F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atha (Cuerpo en alfabeto compl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036F4"/>
    <w:rsid w:val="00016657"/>
    <w:rsid w:val="000315A0"/>
    <w:rsid w:val="000413B7"/>
    <w:rsid w:val="00074E0B"/>
    <w:rsid w:val="00086707"/>
    <w:rsid w:val="000C0216"/>
    <w:rsid w:val="000F077D"/>
    <w:rsid w:val="000F146E"/>
    <w:rsid w:val="00102BD6"/>
    <w:rsid w:val="00102ECB"/>
    <w:rsid w:val="00110BB1"/>
    <w:rsid w:val="0012110A"/>
    <w:rsid w:val="00150BFF"/>
    <w:rsid w:val="001853E3"/>
    <w:rsid w:val="001969BC"/>
    <w:rsid w:val="001974FC"/>
    <w:rsid w:val="001A6974"/>
    <w:rsid w:val="00200EAE"/>
    <w:rsid w:val="00205ACB"/>
    <w:rsid w:val="00215F6C"/>
    <w:rsid w:val="00226CB5"/>
    <w:rsid w:val="002416A1"/>
    <w:rsid w:val="002469B0"/>
    <w:rsid w:val="00260A60"/>
    <w:rsid w:val="002977A5"/>
    <w:rsid w:val="002B71A1"/>
    <w:rsid w:val="002D548B"/>
    <w:rsid w:val="002F2FBD"/>
    <w:rsid w:val="002F4395"/>
    <w:rsid w:val="00390BE8"/>
    <w:rsid w:val="003A3E4B"/>
    <w:rsid w:val="003A6258"/>
    <w:rsid w:val="003D7309"/>
    <w:rsid w:val="0041562C"/>
    <w:rsid w:val="004326CB"/>
    <w:rsid w:val="00460F2A"/>
    <w:rsid w:val="004653FD"/>
    <w:rsid w:val="004A563A"/>
    <w:rsid w:val="004A64DD"/>
    <w:rsid w:val="004C168B"/>
    <w:rsid w:val="00511BC1"/>
    <w:rsid w:val="00521615"/>
    <w:rsid w:val="005305E5"/>
    <w:rsid w:val="00562005"/>
    <w:rsid w:val="0058249B"/>
    <w:rsid w:val="00584709"/>
    <w:rsid w:val="005B2F8D"/>
    <w:rsid w:val="0062477E"/>
    <w:rsid w:val="00635A68"/>
    <w:rsid w:val="0064232F"/>
    <w:rsid w:val="00665FB5"/>
    <w:rsid w:val="00670B13"/>
    <w:rsid w:val="006C6BAE"/>
    <w:rsid w:val="006D06A8"/>
    <w:rsid w:val="006F43F8"/>
    <w:rsid w:val="007336C4"/>
    <w:rsid w:val="00736F36"/>
    <w:rsid w:val="00762713"/>
    <w:rsid w:val="00774C08"/>
    <w:rsid w:val="0079190C"/>
    <w:rsid w:val="00795A0D"/>
    <w:rsid w:val="007A0908"/>
    <w:rsid w:val="007B2127"/>
    <w:rsid w:val="007B7E0D"/>
    <w:rsid w:val="00806E53"/>
    <w:rsid w:val="00834153"/>
    <w:rsid w:val="008655DE"/>
    <w:rsid w:val="00870577"/>
    <w:rsid w:val="008817D8"/>
    <w:rsid w:val="009019C7"/>
    <w:rsid w:val="0091681A"/>
    <w:rsid w:val="0094777A"/>
    <w:rsid w:val="0098649C"/>
    <w:rsid w:val="009B584F"/>
    <w:rsid w:val="009D6751"/>
    <w:rsid w:val="009F7874"/>
    <w:rsid w:val="00A6437E"/>
    <w:rsid w:val="00AA4161"/>
    <w:rsid w:val="00AB1CFE"/>
    <w:rsid w:val="00AE6CBF"/>
    <w:rsid w:val="00B26E73"/>
    <w:rsid w:val="00B63FA9"/>
    <w:rsid w:val="00B812AC"/>
    <w:rsid w:val="00B86E0D"/>
    <w:rsid w:val="00BD2764"/>
    <w:rsid w:val="00C43165"/>
    <w:rsid w:val="00C71241"/>
    <w:rsid w:val="00C93B47"/>
    <w:rsid w:val="00CC1FA3"/>
    <w:rsid w:val="00D22A2A"/>
    <w:rsid w:val="00D33B09"/>
    <w:rsid w:val="00D43097"/>
    <w:rsid w:val="00DE21D0"/>
    <w:rsid w:val="00E14C88"/>
    <w:rsid w:val="00E45C3C"/>
    <w:rsid w:val="00E512D1"/>
    <w:rsid w:val="00E55328"/>
    <w:rsid w:val="00E74D8F"/>
    <w:rsid w:val="00E7764D"/>
    <w:rsid w:val="00E835BE"/>
    <w:rsid w:val="00EA2182"/>
    <w:rsid w:val="00EA29CE"/>
    <w:rsid w:val="00EA4BCC"/>
    <w:rsid w:val="00EB4932"/>
    <w:rsid w:val="00EB67A1"/>
    <w:rsid w:val="00F30591"/>
    <w:rsid w:val="00F41997"/>
    <w:rsid w:val="00F44110"/>
    <w:rsid w:val="00F47C0B"/>
    <w:rsid w:val="00F57D52"/>
    <w:rsid w:val="00FA6EA9"/>
    <w:rsid w:val="00FB4266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472F4"/>
  <w15:docId w15:val="{30F21EB5-DAD2-45BF-B1EF-A96C3B1A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977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7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7A5"/>
    <w:rPr>
      <w:rFonts w:eastAsiaTheme="minorHAnsi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7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7A5"/>
    <w:rPr>
      <w:rFonts w:eastAsiaTheme="minorHAnsi"/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A5"/>
    <w:rPr>
      <w:rFonts w:ascii="Segoe UI" w:eastAsiaTheme="minorHAnsi" w:hAnsi="Segoe UI" w:cs="Segoe UI"/>
      <w:sz w:val="18"/>
      <w:szCs w:val="18"/>
      <w:lang w:val="pt-BR"/>
    </w:rPr>
  </w:style>
  <w:style w:type="paragraph" w:styleId="Revisin">
    <w:name w:val="Revision"/>
    <w:hidden/>
    <w:uiPriority w:val="99"/>
    <w:semiHidden/>
    <w:rsid w:val="00102ECB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Microsoft Office User</cp:lastModifiedBy>
  <cp:revision>9</cp:revision>
  <cp:lastPrinted>2020-01-23T12:49:00Z</cp:lastPrinted>
  <dcterms:created xsi:type="dcterms:W3CDTF">2020-01-31T10:52:00Z</dcterms:created>
  <dcterms:modified xsi:type="dcterms:W3CDTF">2021-04-18T08:08:00Z</dcterms:modified>
</cp:coreProperties>
</file>