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8ABF" w14:textId="77777777" w:rsidR="0029101D" w:rsidRPr="00E21A2C" w:rsidRDefault="0029101D" w:rsidP="00E21A2C">
      <w:pPr>
        <w:pStyle w:val="Subttulo"/>
        <w:jc w:val="both"/>
        <w:rPr>
          <w:rFonts w:ascii="Arial" w:hAnsi="Arial" w:cs="Arial"/>
          <w:b w:val="0"/>
          <w:bCs w:val="0"/>
          <w:i w:val="0"/>
          <w:sz w:val="24"/>
          <w:szCs w:val="24"/>
          <w:lang w:val="pt-BR"/>
        </w:rPr>
      </w:pPr>
    </w:p>
    <w:p w14:paraId="4DE0D4BC" w14:textId="57755CDE" w:rsidR="0029101D" w:rsidRPr="00F00B00" w:rsidRDefault="00755E66" w:rsidP="0014629D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F00B00">
        <w:rPr>
          <w:rFonts w:ascii="Arial" w:hAnsi="Arial" w:cs="Arial"/>
          <w:b/>
          <w:bCs/>
          <w:lang w:val="pt-BR"/>
        </w:rPr>
        <w:t>CIDADANIAS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MUTILADAS: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MOVIMENTOS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REGRESSIVOS,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RACISMO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E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EXCLUSÃO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SÓCIO-ÉTNICO-RACIAL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NO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F00B00">
        <w:rPr>
          <w:rFonts w:ascii="Arial" w:hAnsi="Arial" w:cs="Arial"/>
          <w:b/>
          <w:bCs/>
          <w:lang w:val="pt-BR"/>
        </w:rPr>
        <w:t>BRASIL</w:t>
      </w:r>
      <w:r w:rsidR="0029101D" w:rsidRPr="00F00B00">
        <w:rPr>
          <w:rStyle w:val="Refdenotaderodap"/>
          <w:rFonts w:ascii="Arial" w:hAnsi="Arial" w:cs="Arial"/>
          <w:b/>
          <w:bCs/>
        </w:rPr>
        <w:footnoteReference w:id="2"/>
      </w:r>
    </w:p>
    <w:p w14:paraId="661CD23E" w14:textId="77777777" w:rsidR="0029101D" w:rsidRPr="00F00B00" w:rsidRDefault="0029101D" w:rsidP="00FE17B8">
      <w:pPr>
        <w:shd w:val="clear" w:color="auto" w:fill="FFFFFF"/>
        <w:jc w:val="center"/>
        <w:rPr>
          <w:rFonts w:ascii="Arial" w:hAnsi="Arial" w:cs="Arial"/>
          <w:noProof/>
          <w:lang w:val="pt-BR"/>
        </w:rPr>
      </w:pPr>
    </w:p>
    <w:p w14:paraId="602C5843" w14:textId="5B29654D" w:rsidR="0029101D" w:rsidRPr="00F00B00" w:rsidRDefault="0029101D" w:rsidP="00E21A2C">
      <w:pPr>
        <w:jc w:val="center"/>
        <w:rPr>
          <w:rFonts w:ascii="Arial" w:hAnsi="Arial" w:cs="Arial"/>
          <w:noProof/>
          <w:lang w:val="pt-BR"/>
        </w:rPr>
      </w:pPr>
      <w:r w:rsidRPr="00F00B00">
        <w:rPr>
          <w:rFonts w:ascii="Arial" w:hAnsi="Arial" w:cs="Arial"/>
          <w:noProof/>
          <w:lang w:val="pt-BR"/>
        </w:rPr>
        <w:t>Sérgio</w:t>
      </w:r>
      <w:r>
        <w:rPr>
          <w:rFonts w:ascii="Arial" w:hAnsi="Arial" w:cs="Arial"/>
          <w:noProof/>
          <w:lang w:val="pt-BR"/>
        </w:rPr>
        <w:t xml:space="preserve"> </w:t>
      </w:r>
      <w:r w:rsidRPr="00F00B00">
        <w:rPr>
          <w:rFonts w:ascii="Arial" w:hAnsi="Arial" w:cs="Arial"/>
          <w:noProof/>
          <w:lang w:val="pt-BR"/>
        </w:rPr>
        <w:t>Luiz</w:t>
      </w:r>
      <w:r>
        <w:rPr>
          <w:rFonts w:ascii="Arial" w:hAnsi="Arial" w:cs="Arial"/>
          <w:noProof/>
          <w:lang w:val="pt-BR"/>
        </w:rPr>
        <w:t xml:space="preserve"> </w:t>
      </w:r>
      <w:r w:rsidRPr="00F00B00">
        <w:rPr>
          <w:rFonts w:ascii="Arial" w:hAnsi="Arial" w:cs="Arial"/>
          <w:noProof/>
          <w:lang w:val="pt-BR"/>
        </w:rPr>
        <w:t>de</w:t>
      </w:r>
      <w:r>
        <w:rPr>
          <w:rFonts w:ascii="Arial" w:hAnsi="Arial" w:cs="Arial"/>
          <w:noProof/>
          <w:lang w:val="pt-BR"/>
        </w:rPr>
        <w:t xml:space="preserve"> </w:t>
      </w:r>
      <w:r w:rsidRPr="00F00B00">
        <w:rPr>
          <w:rFonts w:ascii="Arial" w:hAnsi="Arial" w:cs="Arial"/>
          <w:noProof/>
          <w:lang w:val="pt-BR"/>
        </w:rPr>
        <w:t>SOUZA</w:t>
      </w:r>
      <w:r w:rsidRPr="00F00B00">
        <w:rPr>
          <w:rStyle w:val="Refdenotaderodap"/>
          <w:rFonts w:ascii="Arial" w:hAnsi="Arial" w:cs="Arial"/>
          <w:noProof/>
        </w:rPr>
        <w:footnoteReference w:id="3"/>
      </w:r>
    </w:p>
    <w:p w14:paraId="2042E745" w14:textId="0C9E81AD" w:rsidR="0029101D" w:rsidRPr="00F00B00" w:rsidRDefault="0029101D" w:rsidP="00E21A2C">
      <w:pPr>
        <w:jc w:val="center"/>
        <w:rPr>
          <w:rFonts w:ascii="Arial" w:hAnsi="Arial" w:cs="Arial"/>
          <w:noProof/>
          <w:lang w:val="pt-BR"/>
        </w:rPr>
      </w:pPr>
      <w:r w:rsidRPr="00F00B00">
        <w:rPr>
          <w:rFonts w:ascii="Arial" w:hAnsi="Arial" w:cs="Arial"/>
          <w:noProof/>
          <w:lang w:val="pt-BR"/>
        </w:rPr>
        <w:t>Andrea</w:t>
      </w:r>
      <w:r>
        <w:rPr>
          <w:rFonts w:ascii="Arial" w:hAnsi="Arial" w:cs="Arial"/>
          <w:noProof/>
          <w:lang w:val="pt-BR"/>
        </w:rPr>
        <w:t xml:space="preserve"> </w:t>
      </w:r>
      <w:r w:rsidRPr="00F00B00">
        <w:rPr>
          <w:rFonts w:ascii="Arial" w:hAnsi="Arial" w:cs="Arial"/>
          <w:noProof/>
          <w:lang w:val="pt-BR"/>
        </w:rPr>
        <w:t>Coelho</w:t>
      </w:r>
      <w:r>
        <w:rPr>
          <w:rFonts w:ascii="Arial" w:hAnsi="Arial" w:cs="Arial"/>
          <w:noProof/>
          <w:lang w:val="pt-BR"/>
        </w:rPr>
        <w:t xml:space="preserve"> </w:t>
      </w:r>
      <w:r w:rsidRPr="00F00B00">
        <w:rPr>
          <w:rFonts w:ascii="Arial" w:hAnsi="Arial" w:cs="Arial"/>
          <w:noProof/>
          <w:lang w:val="pt-BR"/>
        </w:rPr>
        <w:t>LASTÓRIA</w:t>
      </w:r>
      <w:r w:rsidRPr="00F00B00">
        <w:rPr>
          <w:rStyle w:val="Refdenotaderodap"/>
          <w:rFonts w:ascii="Arial" w:hAnsi="Arial" w:cs="Arial"/>
          <w:noProof/>
        </w:rPr>
        <w:footnoteReference w:id="4"/>
      </w:r>
    </w:p>
    <w:p w14:paraId="0F8D8E26" w14:textId="25780143" w:rsidR="0029101D" w:rsidRPr="00F00B00" w:rsidRDefault="0029101D" w:rsidP="00B211E9">
      <w:pPr>
        <w:pStyle w:val="Subttulo"/>
        <w:rPr>
          <w:rStyle w:val="Nenhum"/>
          <w:rFonts w:eastAsia="Arial" w:cs="Times New Roman"/>
          <w:b w:val="0"/>
          <w:bCs w:val="0"/>
          <w:i w:val="0"/>
          <w:iCs w:val="0"/>
          <w:sz w:val="24"/>
          <w:szCs w:val="24"/>
        </w:rPr>
      </w:pP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Universidade</w:t>
      </w:r>
      <w:r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de</w:t>
      </w:r>
      <w:r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São</w:t>
      </w:r>
      <w:r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Paulo,</w:t>
      </w:r>
      <w:r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São</w:t>
      </w:r>
      <w:r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Paulo,</w:t>
      </w:r>
      <w:r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F00B00">
        <w:rPr>
          <w:rStyle w:val="Nenhum"/>
          <w:rFonts w:cs="Times New Roman"/>
          <w:b w:val="0"/>
          <w:bCs w:val="0"/>
          <w:i w:val="0"/>
          <w:iCs w:val="0"/>
          <w:sz w:val="24"/>
          <w:szCs w:val="24"/>
        </w:rPr>
        <w:t>SP</w:t>
      </w:r>
    </w:p>
    <w:p w14:paraId="662CD0D8" w14:textId="77777777" w:rsidR="0029101D" w:rsidRPr="00E21A2C" w:rsidRDefault="0029101D" w:rsidP="00E21A2C">
      <w:pPr>
        <w:pStyle w:val="Subttulo"/>
        <w:jc w:val="both"/>
        <w:rPr>
          <w:rFonts w:ascii="Arial" w:hAnsi="Arial" w:cs="Arial"/>
          <w:b w:val="0"/>
          <w:i w:val="0"/>
          <w:noProof/>
          <w:sz w:val="24"/>
          <w:szCs w:val="24"/>
          <w:lang w:val="pt-BR"/>
        </w:rPr>
      </w:pPr>
    </w:p>
    <w:p w14:paraId="12107771" w14:textId="77777777" w:rsidR="0029101D" w:rsidRDefault="0029101D" w:rsidP="00A9743E">
      <w:pPr>
        <w:pStyle w:val="Subttulo"/>
        <w:jc w:val="both"/>
        <w:rPr>
          <w:rStyle w:val="Nenhum"/>
          <w:rFonts w:ascii="Arial" w:eastAsia="Arial" w:hAnsi="Arial" w:cs="Arial"/>
          <w:i w:val="0"/>
          <w:iCs w:val="0"/>
          <w:sz w:val="24"/>
          <w:szCs w:val="24"/>
        </w:rPr>
      </w:pPr>
      <w:r>
        <w:rPr>
          <w:rStyle w:val="Nenhum"/>
          <w:rFonts w:ascii="Arial" w:hAnsi="Arial"/>
          <w:i w:val="0"/>
          <w:iCs w:val="0"/>
          <w:sz w:val="24"/>
          <w:szCs w:val="24"/>
        </w:rPr>
        <w:t>RESUMO</w:t>
      </w:r>
    </w:p>
    <w:p w14:paraId="73E89ACE" w14:textId="77777777" w:rsidR="0029101D" w:rsidRPr="00E21A2C" w:rsidRDefault="0029101D" w:rsidP="00E21A2C">
      <w:pPr>
        <w:pStyle w:val="Subttulo"/>
        <w:jc w:val="both"/>
        <w:rPr>
          <w:rFonts w:ascii="Arial" w:hAnsi="Arial" w:cs="Arial"/>
          <w:b w:val="0"/>
          <w:i w:val="0"/>
          <w:noProof/>
          <w:sz w:val="24"/>
          <w:szCs w:val="24"/>
          <w:lang w:val="pt-BR"/>
        </w:rPr>
      </w:pPr>
    </w:p>
    <w:p w14:paraId="53C2A12E" w14:textId="3547D203" w:rsidR="0029101D" w:rsidRPr="002C308C" w:rsidRDefault="0029101D" w:rsidP="00617FF1">
      <w:pPr>
        <w:jc w:val="both"/>
        <w:rPr>
          <w:rFonts w:ascii="Arial" w:hAnsi="Arial" w:cs="Arial"/>
          <w:lang w:val="pt-BR"/>
        </w:rPr>
      </w:pPr>
      <w:r w:rsidRPr="002C308C">
        <w:rPr>
          <w:rFonts w:ascii="Arial" w:hAnsi="Arial" w:cs="Arial"/>
          <w:lang w:val="pt-BR"/>
        </w:rPr>
        <w:t>Apresentamos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elaborações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sobre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relações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sócio-étnico-raciais,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diversidade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poder.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Focamos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dinâmica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brasileira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desigualdade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marca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realidade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política,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configurada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por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cidadanias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degradadas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para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amplas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parcelas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populacionais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com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acesso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ínfimo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direitos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bens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sociais.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Levantamos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dados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plataformas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digitais,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teses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dissertações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sobre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ação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movimentos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regressivos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que,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partir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2013,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por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meio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difusão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práticas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discursivas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eivadas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estigmas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estereótipos,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atacam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instituições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educacionais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movimentos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envolvidos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promoção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cidadania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negros,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indígenas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outros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segmentos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cujas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experiências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tem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sido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atravessadas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ao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longo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nossa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história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por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intensas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heteronomia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exclusão</w:t>
      </w:r>
      <w:r>
        <w:rPr>
          <w:rFonts w:ascii="Arial" w:hAnsi="Arial" w:cs="Arial"/>
          <w:lang w:val="pt-BR"/>
        </w:rPr>
        <w:t xml:space="preserve"> </w:t>
      </w:r>
      <w:r w:rsidRPr="002C308C">
        <w:rPr>
          <w:rFonts w:ascii="Arial" w:hAnsi="Arial" w:cs="Arial"/>
          <w:lang w:val="pt-BR"/>
        </w:rPr>
        <w:t>social.</w:t>
      </w:r>
    </w:p>
    <w:p w14:paraId="2F2ED479" w14:textId="527E72E5" w:rsidR="0029101D" w:rsidRDefault="0029101D" w:rsidP="002C308C">
      <w:pPr>
        <w:jc w:val="both"/>
        <w:rPr>
          <w:rFonts w:ascii="Arial" w:hAnsi="Arial" w:cs="Arial"/>
          <w:b/>
          <w:bCs/>
          <w:lang w:val="pt-BR"/>
        </w:rPr>
      </w:pPr>
    </w:p>
    <w:p w14:paraId="580A8C6A" w14:textId="77777777" w:rsidR="0029101D" w:rsidRDefault="0029101D" w:rsidP="002C308C">
      <w:pPr>
        <w:jc w:val="both"/>
        <w:rPr>
          <w:rFonts w:ascii="Arial" w:hAnsi="Arial" w:cs="Arial"/>
          <w:b/>
          <w:bCs/>
          <w:lang w:val="pt-BR"/>
        </w:rPr>
      </w:pPr>
    </w:p>
    <w:p w14:paraId="055641BF" w14:textId="5A1953C0" w:rsidR="0029101D" w:rsidRPr="00755E66" w:rsidRDefault="0029101D" w:rsidP="00755E66">
      <w:pPr>
        <w:spacing w:line="360" w:lineRule="auto"/>
        <w:jc w:val="both"/>
        <w:rPr>
          <w:rFonts w:ascii="Arial" w:hAnsi="Arial" w:cs="Arial"/>
          <w:lang w:val="pt-BR"/>
        </w:rPr>
      </w:pPr>
      <w:r w:rsidRPr="00755E66">
        <w:rPr>
          <w:rFonts w:ascii="Arial" w:hAnsi="Arial" w:cs="Arial"/>
          <w:b/>
          <w:bCs/>
          <w:lang w:val="pt-BR"/>
        </w:rPr>
        <w:t>Palavras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755E66">
        <w:rPr>
          <w:rFonts w:ascii="Arial" w:hAnsi="Arial" w:cs="Arial"/>
          <w:b/>
          <w:bCs/>
          <w:lang w:val="pt-BR"/>
        </w:rPr>
        <w:t>chave</w:t>
      </w:r>
      <w:r w:rsidRPr="00755E66">
        <w:rPr>
          <w:rFonts w:ascii="Arial" w:hAnsi="Arial" w:cs="Arial"/>
          <w:lang w:val="pt-BR"/>
        </w:rPr>
        <w:t>:</w:t>
      </w:r>
      <w:r>
        <w:rPr>
          <w:rFonts w:ascii="Arial" w:hAnsi="Arial" w:cs="Arial"/>
          <w:lang w:val="pt-BR"/>
        </w:rPr>
        <w:t xml:space="preserve"> c</w:t>
      </w:r>
      <w:r w:rsidRPr="00755E66">
        <w:rPr>
          <w:rFonts w:ascii="Arial" w:hAnsi="Arial" w:cs="Arial"/>
          <w:lang w:val="pt-BR"/>
        </w:rPr>
        <w:t>idadania;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movimentos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regressivos;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racismo;</w:t>
      </w:r>
      <w:r w:rsidR="006C586C">
        <w:rPr>
          <w:rFonts w:ascii="Arial" w:hAnsi="Arial" w:cs="Arial"/>
          <w:lang w:val="pt-BR"/>
        </w:rPr>
        <w:t xml:space="preserve"> educação;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direitos</w:t>
      </w:r>
      <w:r>
        <w:rPr>
          <w:rFonts w:ascii="Arial" w:hAnsi="Arial" w:cs="Arial"/>
          <w:lang w:val="pt-BR"/>
        </w:rPr>
        <w:t>.</w:t>
      </w:r>
    </w:p>
    <w:p w14:paraId="3561E63F" w14:textId="3983A803" w:rsidR="0029101D" w:rsidRDefault="0029101D" w:rsidP="006A5D2A">
      <w:pPr>
        <w:pStyle w:val="Subttulo"/>
        <w:jc w:val="both"/>
        <w:rPr>
          <w:rFonts w:ascii="Arial" w:eastAsia="Arial" w:hAnsi="Arial" w:cs="Arial"/>
          <w:i w:val="0"/>
          <w:iCs w:val="0"/>
          <w:sz w:val="24"/>
          <w:szCs w:val="24"/>
        </w:rPr>
      </w:pPr>
    </w:p>
    <w:p w14:paraId="3382565B" w14:textId="06403B43" w:rsidR="0029101D" w:rsidRPr="004C4C86" w:rsidRDefault="0029101D" w:rsidP="00C520CA">
      <w:pPr>
        <w:pStyle w:val="NormalWeb"/>
        <w:spacing w:before="0" w:after="0"/>
        <w:jc w:val="both"/>
        <w:rPr>
          <w:rStyle w:val="Nenhum"/>
          <w:rFonts w:ascii="Arial" w:eastAsia="Arial" w:hAnsi="Arial" w:cs="Arial"/>
          <w:b/>
          <w:bCs/>
          <w:lang w:val="pt-BR"/>
        </w:rPr>
      </w:pPr>
      <w:r w:rsidRPr="004C4C86">
        <w:rPr>
          <w:rStyle w:val="Nenhum"/>
          <w:rFonts w:ascii="Arial" w:hAnsi="Arial"/>
          <w:b/>
          <w:bCs/>
          <w:lang w:val="pt-BR"/>
        </w:rPr>
        <w:t>O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RACISMO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E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O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CLASSISMO: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CIDADANIAS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MUTILADAS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NO</w:t>
      </w:r>
      <w:r>
        <w:rPr>
          <w:rStyle w:val="Nenhum"/>
          <w:rFonts w:ascii="Arial" w:hAnsi="Arial"/>
          <w:b/>
          <w:bCs/>
          <w:lang w:val="pt-BR"/>
        </w:rPr>
        <w:t xml:space="preserve"> </w:t>
      </w:r>
      <w:r w:rsidRPr="004C4C86">
        <w:rPr>
          <w:rStyle w:val="Nenhum"/>
          <w:rFonts w:ascii="Arial" w:hAnsi="Arial"/>
          <w:b/>
          <w:bCs/>
          <w:lang w:val="pt-BR"/>
        </w:rPr>
        <w:t>BRASIL</w:t>
      </w:r>
    </w:p>
    <w:p w14:paraId="2A37A5B2" w14:textId="77777777" w:rsidR="0029101D" w:rsidRPr="004C4C86" w:rsidRDefault="0029101D" w:rsidP="0029101D">
      <w:pPr>
        <w:spacing w:line="360" w:lineRule="auto"/>
        <w:ind w:firstLine="709"/>
        <w:jc w:val="both"/>
        <w:rPr>
          <w:lang w:val="pt-BR"/>
        </w:rPr>
      </w:pPr>
    </w:p>
    <w:p w14:paraId="5DBABAA3" w14:textId="0F48ED06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755E66">
        <w:rPr>
          <w:rFonts w:ascii="Arial" w:hAnsi="Arial" w:cs="Arial"/>
          <w:lang w:val="pt-BR"/>
        </w:rPr>
        <w:t>Nos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mais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130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anos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República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Brasil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heteronomia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tem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sido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expressão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intensa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experiências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populações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negras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indígenas,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majoritariamente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representadas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tratadas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estranhas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inimigas.</w:t>
      </w:r>
      <w:r>
        <w:rPr>
          <w:rFonts w:ascii="Arial" w:hAnsi="Arial" w:cs="Arial"/>
          <w:lang w:val="pt-BR"/>
        </w:rPr>
        <w:t xml:space="preserve"> </w:t>
      </w:r>
    </w:p>
    <w:p w14:paraId="5395E8D0" w14:textId="79385EAC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Mesmo após quase quatro séculos de colonialismo e escravidão, com a Abolição e a proclamação da República, o republicanismo e o capitalismo no </w:t>
      </w:r>
      <w:r>
        <w:rPr>
          <w:rFonts w:ascii="Arial" w:hAnsi="Arial" w:cs="Arial"/>
          <w:lang w:val="pt-BR"/>
        </w:rPr>
        <w:lastRenderedPageBreak/>
        <w:t xml:space="preserve">Brasil têm-se definido por estruturas sociais firmadas com base em arranjos socioeconômicos, políticos e socioculturais predominantemente definidos por quadros institucionais e cotidianos de exclusão, marginalização, exploração, criminalização e eliminação das populações negras, indígenas e de seus descendentes (SOUZA, 2007). Busca-se sempre estabelecer um ordenamento político autoritário, definido pela difusão de práticas discursivas voltadas para o trato com as </w:t>
      </w:r>
      <w:r w:rsidRPr="006A42EC">
        <w:rPr>
          <w:rFonts w:ascii="Arial" w:hAnsi="Arial" w:cs="Arial"/>
          <w:lang w:val="pt-BR"/>
        </w:rPr>
        <w:t>populações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negras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seus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espaços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vida</w:t>
      </w:r>
      <w:r>
        <w:rPr>
          <w:rFonts w:ascii="Arial" w:hAnsi="Arial" w:cs="Arial"/>
          <w:lang w:val="pt-BR"/>
        </w:rPr>
        <w:t xml:space="preserve"> sob </w:t>
      </w:r>
      <w:r w:rsidRPr="006A42EC">
        <w:rPr>
          <w:rFonts w:ascii="Arial" w:hAnsi="Arial" w:cs="Arial"/>
          <w:lang w:val="pt-BR"/>
        </w:rPr>
        <w:t>estigmas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atraso,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insalubridade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perigo</w:t>
      </w:r>
      <w:r>
        <w:rPr>
          <w:rFonts w:ascii="Arial" w:hAnsi="Arial" w:cs="Arial"/>
          <w:lang w:val="pt-BR"/>
        </w:rPr>
        <w:t xml:space="preserve">. Neste intento, se instaura cotidianamente </w:t>
      </w:r>
      <w:r w:rsidRPr="006A42E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negação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corporalidade,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história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memórias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destas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populações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(SOUZA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2007,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p.</w:t>
      </w:r>
      <w:r>
        <w:rPr>
          <w:rFonts w:ascii="Arial" w:hAnsi="Arial" w:cs="Arial"/>
          <w:lang w:val="pt-BR"/>
        </w:rPr>
        <w:t xml:space="preserve"> </w:t>
      </w:r>
      <w:r w:rsidRPr="006A42EC">
        <w:rPr>
          <w:rFonts w:ascii="Arial" w:hAnsi="Arial" w:cs="Arial"/>
          <w:lang w:val="pt-BR"/>
        </w:rPr>
        <w:t>30)</w:t>
      </w:r>
      <w:r>
        <w:rPr>
          <w:rFonts w:ascii="Arial" w:hAnsi="Arial" w:cs="Arial"/>
          <w:lang w:val="pt-BR"/>
        </w:rPr>
        <w:t xml:space="preserve">. </w:t>
      </w:r>
    </w:p>
    <w:p w14:paraId="7D877AFE" w14:textId="77777777" w:rsidR="0029101D" w:rsidRDefault="0029101D" w:rsidP="00D734E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Em diálogo com esta dinâmica autoritária, situa-se a expansão dos hospícios e outras instituições de controle e tutela social (CUNHA, 1988), com apoio na configuração das concepções de classes perigosas e viciosas como entendimento das populações negras, indígenas e das parcelas mais empobrecidas da classe trabalhadora tratadas como massas incivilizadas e criminosas, moral, psíquica e fisicamente degeneradas (CHALHOUB, 1996). Estas concepções de desqualificação sobre negros e outros estratos sociais, são substrato das estruturas racistas, classistas e de gênero que sustentam as narrativas eurocêntricas de Modernidade e as políticas de branqueamento físico e cultural. São suportes dos arranjos políticos institucionais e cotidianos que têm como pano de fundo a supremacia da branquidade e os privilégios promovidos por esta supremacia para os segmentos sociais definidos como claros (brancos, homens, burgueses e </w:t>
      </w:r>
      <w:proofErr w:type="spellStart"/>
      <w:r>
        <w:rPr>
          <w:rFonts w:ascii="Arial" w:hAnsi="Arial" w:cs="Arial"/>
          <w:lang w:val="pt-BR"/>
        </w:rPr>
        <w:t>eurocentrados</w:t>
      </w:r>
      <w:proofErr w:type="spellEnd"/>
      <w:r>
        <w:rPr>
          <w:rFonts w:ascii="Arial" w:hAnsi="Arial" w:cs="Arial"/>
          <w:lang w:val="pt-BR"/>
        </w:rPr>
        <w:t>).</w:t>
      </w:r>
    </w:p>
    <w:p w14:paraId="39277640" w14:textId="258B79D5" w:rsidR="0029101D" w:rsidRDefault="0029101D" w:rsidP="0029101D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estruturação sociopolítica racista no Brasil, se dinamiza junto a concepção etnocêntrica de modernidade, traduzida em projetos concretizados como diferentes facetas de exclusão social: no mercado de trabalho</w:t>
      </w:r>
      <w:r>
        <w:rPr>
          <w:rStyle w:val="Refdenotaderodap"/>
          <w:rFonts w:ascii="Arial" w:hAnsi="Arial" w:cs="Arial"/>
          <w:lang w:val="pt-BR"/>
        </w:rPr>
        <w:footnoteReference w:id="5"/>
      </w:r>
      <w:r>
        <w:rPr>
          <w:rFonts w:ascii="Arial" w:hAnsi="Arial" w:cs="Arial"/>
          <w:lang w:val="pt-BR"/>
        </w:rPr>
        <w:t>, em espaços públicos e privados, na obstrução de acesso aos negros a posições de organização</w:t>
      </w:r>
    </w:p>
    <w:p w14:paraId="7E3208E4" w14:textId="72CD9F3E" w:rsidR="0029101D" w:rsidRDefault="0029101D" w:rsidP="0029101D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 e mando e, ainda com exclusão territorial nas áreas rurais e nas cidades</w:t>
      </w:r>
      <w:r>
        <w:rPr>
          <w:rStyle w:val="Refdenotaderodap"/>
          <w:rFonts w:ascii="Arial" w:hAnsi="Arial" w:cs="Arial"/>
          <w:lang w:val="pt-BR"/>
        </w:rPr>
        <w:footnoteReference w:id="6"/>
      </w:r>
      <w:r>
        <w:rPr>
          <w:rFonts w:ascii="Arial" w:hAnsi="Arial" w:cs="Arial"/>
          <w:lang w:val="pt-BR"/>
        </w:rPr>
        <w:t>.</w:t>
      </w:r>
    </w:p>
    <w:p w14:paraId="3B522A16" w14:textId="62245FB6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Os grupos e os segmentos de classe hegemônicos sustentam uma codificação hierárquica na qual as populações negras e indígenas e os empobrecidos são associados à uma pretensa inferioridade e a um campo delimitado por representações de perigo, insalubridade, crime e atraso civilizacional sendo, portanto, situados como o avesso das concepções etnocêntricas racistas de modernidade burguesa. Como se explicita, por exemplo, nos dados de nossas pesquisas sobre populações negras no Nordeste Paulista e Triângulo Mineiro, no século XX, em episódios de rechaço e perseguição a negros e negras, por parte das atribuídas “famílias da boa sociedade”, em Praças públicas, no interior paulista, no início do século XX:</w:t>
      </w:r>
    </w:p>
    <w:p w14:paraId="7ECAF213" w14:textId="77777777" w:rsidR="0029101D" w:rsidRDefault="0029101D" w:rsidP="00F00B00">
      <w:pPr>
        <w:pStyle w:val="CITA"/>
      </w:pPr>
    </w:p>
    <w:p w14:paraId="4A73B90B" w14:textId="464820B9" w:rsidR="0029101D" w:rsidRPr="003D5038" w:rsidRDefault="0029101D" w:rsidP="00F00B00">
      <w:pPr>
        <w:pStyle w:val="CITA"/>
      </w:pPr>
      <w:r w:rsidRPr="003D5038">
        <w:t>Espetáculo</w:t>
      </w:r>
      <w:r>
        <w:t xml:space="preserve"> </w:t>
      </w:r>
      <w:r w:rsidRPr="003D5038">
        <w:t>a</w:t>
      </w:r>
      <w:r>
        <w:t xml:space="preserve"> </w:t>
      </w:r>
      <w:r w:rsidRPr="003D5038">
        <w:t>que</w:t>
      </w:r>
      <w:r>
        <w:t xml:space="preserve"> </w:t>
      </w:r>
      <w:r w:rsidRPr="003D5038">
        <w:t>assistimos</w:t>
      </w:r>
      <w:r>
        <w:t xml:space="preserve"> </w:t>
      </w:r>
      <w:r w:rsidRPr="003D5038">
        <w:t>revoltados</w:t>
      </w:r>
      <w:r>
        <w:t xml:space="preserve"> </w:t>
      </w:r>
      <w:r w:rsidRPr="003D5038">
        <w:t>no</w:t>
      </w:r>
      <w:r>
        <w:t xml:space="preserve"> </w:t>
      </w:r>
      <w:r w:rsidRPr="003D5038">
        <w:t>domingo</w:t>
      </w:r>
      <w:r>
        <w:t xml:space="preserve"> </w:t>
      </w:r>
      <w:r w:rsidRPr="003D5038">
        <w:t>à</w:t>
      </w:r>
      <w:r>
        <w:t xml:space="preserve"> </w:t>
      </w:r>
      <w:r w:rsidRPr="003D5038">
        <w:t>noite,</w:t>
      </w:r>
      <w:r>
        <w:t xml:space="preserve"> </w:t>
      </w:r>
      <w:r w:rsidRPr="003D5038">
        <w:t>quando</w:t>
      </w:r>
      <w:r>
        <w:t xml:space="preserve"> </w:t>
      </w:r>
      <w:r w:rsidRPr="003D5038">
        <w:t>tocava</w:t>
      </w:r>
      <w:r>
        <w:t xml:space="preserve"> </w:t>
      </w:r>
      <w:r w:rsidRPr="003D5038">
        <w:t>no</w:t>
      </w:r>
      <w:r>
        <w:t xml:space="preserve"> </w:t>
      </w:r>
      <w:r w:rsidRPr="003D5038">
        <w:t>jardim</w:t>
      </w:r>
      <w:r>
        <w:t xml:space="preserve"> </w:t>
      </w:r>
      <w:r w:rsidRPr="003D5038">
        <w:t>público</w:t>
      </w:r>
      <w:r>
        <w:t xml:space="preserve"> </w:t>
      </w:r>
      <w:r w:rsidRPr="003D5038">
        <w:t>a</w:t>
      </w:r>
      <w:r>
        <w:t xml:space="preserve"> </w:t>
      </w:r>
      <w:r w:rsidRPr="003D5038">
        <w:t>Banda</w:t>
      </w:r>
      <w:r>
        <w:t xml:space="preserve"> </w:t>
      </w:r>
      <w:r w:rsidRPr="003D5038">
        <w:t>Filhos</w:t>
      </w:r>
      <w:r>
        <w:t xml:space="preserve"> </w:t>
      </w:r>
      <w:r w:rsidRPr="003D5038">
        <w:t>de</w:t>
      </w:r>
      <w:r>
        <w:t xml:space="preserve"> </w:t>
      </w:r>
      <w:r w:rsidRPr="003D5038">
        <w:t>Euterpe,</w:t>
      </w:r>
      <w:r>
        <w:t xml:space="preserve"> </w:t>
      </w:r>
      <w:r w:rsidRPr="003D5038">
        <w:t>não</w:t>
      </w:r>
      <w:r>
        <w:t xml:space="preserve"> </w:t>
      </w:r>
      <w:r w:rsidRPr="003D5038">
        <w:t>pode</w:t>
      </w:r>
      <w:r>
        <w:t xml:space="preserve"> </w:t>
      </w:r>
      <w:r w:rsidRPr="003D5038">
        <w:t>e</w:t>
      </w:r>
      <w:r>
        <w:t xml:space="preserve"> </w:t>
      </w:r>
      <w:r w:rsidRPr="003D5038">
        <w:t>não</w:t>
      </w:r>
      <w:r>
        <w:t xml:space="preserve"> </w:t>
      </w:r>
      <w:r w:rsidRPr="003D5038">
        <w:t>deve</w:t>
      </w:r>
      <w:r>
        <w:t xml:space="preserve"> </w:t>
      </w:r>
      <w:r w:rsidRPr="003D5038">
        <w:t>repetir-se.</w:t>
      </w:r>
      <w:r>
        <w:t xml:space="preserve"> </w:t>
      </w:r>
      <w:r w:rsidRPr="003D5038">
        <w:t>Ribeirão</w:t>
      </w:r>
      <w:r>
        <w:t xml:space="preserve"> </w:t>
      </w:r>
      <w:r w:rsidRPr="003D5038">
        <w:t>Preto</w:t>
      </w:r>
      <w:r>
        <w:t xml:space="preserve"> [</w:t>
      </w:r>
      <w:r w:rsidRPr="003D5038">
        <w:t>...</w:t>
      </w:r>
      <w:r>
        <w:t xml:space="preserve">] </w:t>
      </w:r>
      <w:r w:rsidRPr="003D5038">
        <w:t>não</w:t>
      </w:r>
      <w:r>
        <w:t xml:space="preserve"> </w:t>
      </w:r>
      <w:r w:rsidRPr="003D5038">
        <w:t>pode</w:t>
      </w:r>
      <w:r>
        <w:t xml:space="preserve"> </w:t>
      </w:r>
      <w:r w:rsidRPr="003D5038">
        <w:t>estar</w:t>
      </w:r>
      <w:r>
        <w:t xml:space="preserve"> </w:t>
      </w:r>
      <w:r w:rsidRPr="003D5038">
        <w:t>dominada</w:t>
      </w:r>
      <w:r>
        <w:t xml:space="preserve"> </w:t>
      </w:r>
      <w:r w:rsidRPr="003D5038">
        <w:t>por</w:t>
      </w:r>
      <w:r>
        <w:t xml:space="preserve"> </w:t>
      </w:r>
      <w:r w:rsidRPr="003D5038">
        <w:t>este</w:t>
      </w:r>
      <w:r>
        <w:t xml:space="preserve"> </w:t>
      </w:r>
      <w:r w:rsidRPr="003D5038">
        <w:t>elemento</w:t>
      </w:r>
      <w:r>
        <w:t xml:space="preserve"> </w:t>
      </w:r>
      <w:r w:rsidRPr="003D5038">
        <w:t>pernicioso</w:t>
      </w:r>
      <w:r>
        <w:t xml:space="preserve"> </w:t>
      </w:r>
      <w:r w:rsidRPr="003D5038">
        <w:t>que</w:t>
      </w:r>
      <w:r>
        <w:t xml:space="preserve"> </w:t>
      </w:r>
      <w:proofErr w:type="spellStart"/>
      <w:r w:rsidRPr="003D5038">
        <w:t>attenta</w:t>
      </w:r>
      <w:proofErr w:type="spellEnd"/>
      <w:r>
        <w:t xml:space="preserve"> </w:t>
      </w:r>
      <w:r w:rsidRPr="003D5038">
        <w:t>pública</w:t>
      </w:r>
      <w:r>
        <w:t xml:space="preserve"> </w:t>
      </w:r>
      <w:r w:rsidRPr="003D5038">
        <w:t>e</w:t>
      </w:r>
      <w:r>
        <w:t xml:space="preserve"> </w:t>
      </w:r>
      <w:r w:rsidRPr="003D5038">
        <w:t>audaciosamente</w:t>
      </w:r>
      <w:r>
        <w:t xml:space="preserve"> </w:t>
      </w:r>
      <w:r w:rsidRPr="003D5038">
        <w:t>contra</w:t>
      </w:r>
      <w:r>
        <w:t xml:space="preserve"> </w:t>
      </w:r>
      <w:r w:rsidRPr="003D5038">
        <w:t>os</w:t>
      </w:r>
      <w:r>
        <w:t xml:space="preserve"> </w:t>
      </w:r>
      <w:r w:rsidRPr="003D5038">
        <w:t>mais</w:t>
      </w:r>
      <w:r>
        <w:t xml:space="preserve"> </w:t>
      </w:r>
      <w:proofErr w:type="spellStart"/>
      <w:r w:rsidRPr="003D5038">
        <w:t>comesinhos</w:t>
      </w:r>
      <w:proofErr w:type="spellEnd"/>
      <w:r>
        <w:t xml:space="preserve"> </w:t>
      </w:r>
      <w:r w:rsidRPr="003D5038">
        <w:t>deveres</w:t>
      </w:r>
      <w:r>
        <w:t xml:space="preserve"> </w:t>
      </w:r>
      <w:r w:rsidRPr="003D5038">
        <w:t>sociais,</w:t>
      </w:r>
      <w:r>
        <w:t xml:space="preserve"> </w:t>
      </w:r>
      <w:r w:rsidRPr="003D5038">
        <w:t>e</w:t>
      </w:r>
      <w:r>
        <w:t xml:space="preserve"> </w:t>
      </w:r>
      <w:r w:rsidRPr="003D5038">
        <w:t>que</w:t>
      </w:r>
      <w:r>
        <w:t xml:space="preserve"> </w:t>
      </w:r>
      <w:r w:rsidRPr="003D5038">
        <w:t>vae</w:t>
      </w:r>
      <w:r>
        <w:t xml:space="preserve"> </w:t>
      </w:r>
      <w:r w:rsidRPr="003D5038">
        <w:t>além,</w:t>
      </w:r>
      <w:r>
        <w:t xml:space="preserve"> </w:t>
      </w:r>
      <w:r w:rsidRPr="003D5038">
        <w:t>muito</w:t>
      </w:r>
      <w:r>
        <w:t xml:space="preserve"> </w:t>
      </w:r>
      <w:r w:rsidRPr="003D5038">
        <w:t>além,</w:t>
      </w:r>
      <w:r>
        <w:t xml:space="preserve"> </w:t>
      </w:r>
      <w:r w:rsidRPr="003D5038">
        <w:t>chegando</w:t>
      </w:r>
      <w:r>
        <w:t xml:space="preserve"> </w:t>
      </w:r>
      <w:r w:rsidRPr="003D5038">
        <w:t>a</w:t>
      </w:r>
      <w:r>
        <w:t xml:space="preserve"> </w:t>
      </w:r>
      <w:r w:rsidRPr="003D5038">
        <w:t>desrespeitar</w:t>
      </w:r>
      <w:r>
        <w:t xml:space="preserve"> </w:t>
      </w:r>
      <w:r w:rsidRPr="003D5038">
        <w:t>as</w:t>
      </w:r>
      <w:r>
        <w:t xml:space="preserve"> </w:t>
      </w:r>
      <w:r w:rsidRPr="003D5038">
        <w:t>famílias,</w:t>
      </w:r>
      <w:r>
        <w:t xml:space="preserve"> </w:t>
      </w:r>
      <w:r w:rsidRPr="003D5038">
        <w:t>fazendo-as</w:t>
      </w:r>
      <w:r>
        <w:t xml:space="preserve"> </w:t>
      </w:r>
      <w:proofErr w:type="spellStart"/>
      <w:r w:rsidRPr="003D5038">
        <w:t>retrahirem-se</w:t>
      </w:r>
      <w:proofErr w:type="spellEnd"/>
      <w:r w:rsidRPr="003D5038">
        <w:t>,</w:t>
      </w:r>
      <w:r>
        <w:t xml:space="preserve"> </w:t>
      </w:r>
      <w:r w:rsidRPr="003D5038">
        <w:t>fugirem</w:t>
      </w:r>
      <w:r>
        <w:t xml:space="preserve"> </w:t>
      </w:r>
      <w:r w:rsidRPr="003D5038">
        <w:t>daquele</w:t>
      </w:r>
      <w:r>
        <w:t xml:space="preserve"> </w:t>
      </w:r>
      <w:proofErr w:type="spellStart"/>
      <w:r w:rsidRPr="003D5038">
        <w:t>logar</w:t>
      </w:r>
      <w:proofErr w:type="spellEnd"/>
      <w:r>
        <w:t xml:space="preserve"> </w:t>
      </w:r>
      <w:proofErr w:type="spellStart"/>
      <w:r w:rsidRPr="003D5038">
        <w:t>aprasível</w:t>
      </w:r>
      <w:proofErr w:type="spellEnd"/>
      <w:r>
        <w:t xml:space="preserve"> </w:t>
      </w:r>
      <w:r w:rsidRPr="003D5038">
        <w:t>e</w:t>
      </w:r>
      <w:r>
        <w:t xml:space="preserve"> </w:t>
      </w:r>
      <w:r w:rsidRPr="003D5038">
        <w:t>único</w:t>
      </w:r>
      <w:r>
        <w:t xml:space="preserve"> </w:t>
      </w:r>
      <w:r w:rsidRPr="003D5038">
        <w:t>que</w:t>
      </w:r>
      <w:r>
        <w:t xml:space="preserve"> </w:t>
      </w:r>
      <w:r w:rsidRPr="003D5038">
        <w:t>possuímos.</w:t>
      </w:r>
      <w:r>
        <w:t xml:space="preserve"> ‘</w:t>
      </w:r>
      <w:r w:rsidRPr="003D5038">
        <w:t>As</w:t>
      </w:r>
      <w:r>
        <w:t xml:space="preserve"> </w:t>
      </w:r>
      <w:proofErr w:type="spellStart"/>
      <w:r w:rsidRPr="003D5038">
        <w:t>horizontaes</w:t>
      </w:r>
      <w:proofErr w:type="spellEnd"/>
      <w:r>
        <w:t>’</w:t>
      </w:r>
      <w:r w:rsidRPr="003D5038">
        <w:t>,</w:t>
      </w:r>
      <w:r>
        <w:t xml:space="preserve"> </w:t>
      </w:r>
      <w:r w:rsidRPr="003D5038">
        <w:t>uma</w:t>
      </w:r>
      <w:r>
        <w:t xml:space="preserve"> </w:t>
      </w:r>
      <w:r w:rsidRPr="003D5038">
        <w:t>cáfila</w:t>
      </w:r>
      <w:r>
        <w:t xml:space="preserve"> </w:t>
      </w:r>
      <w:r w:rsidRPr="003D5038">
        <w:t>de</w:t>
      </w:r>
      <w:r>
        <w:t xml:space="preserve"> </w:t>
      </w:r>
      <w:r w:rsidRPr="003D5038">
        <w:t>negras</w:t>
      </w:r>
      <w:r>
        <w:t xml:space="preserve"> </w:t>
      </w:r>
      <w:r w:rsidRPr="003D5038">
        <w:t>desocupadas</w:t>
      </w:r>
      <w:r>
        <w:t xml:space="preserve"> </w:t>
      </w:r>
      <w:r w:rsidRPr="003D5038">
        <w:t>e</w:t>
      </w:r>
      <w:r>
        <w:t xml:space="preserve"> </w:t>
      </w:r>
      <w:r w:rsidRPr="003D5038">
        <w:t>atrevidas</w:t>
      </w:r>
      <w:r>
        <w:t xml:space="preserve"> </w:t>
      </w:r>
      <w:r w:rsidRPr="003D5038">
        <w:t>e</w:t>
      </w:r>
      <w:r>
        <w:t xml:space="preserve"> </w:t>
      </w:r>
      <w:r w:rsidRPr="003D5038">
        <w:t>uma</w:t>
      </w:r>
      <w:r>
        <w:t xml:space="preserve"> </w:t>
      </w:r>
      <w:r w:rsidRPr="003D5038">
        <w:t>molecada</w:t>
      </w:r>
      <w:r>
        <w:t xml:space="preserve"> </w:t>
      </w:r>
      <w:proofErr w:type="spellStart"/>
      <w:r w:rsidRPr="003D5038">
        <w:t>insolene</w:t>
      </w:r>
      <w:proofErr w:type="spellEnd"/>
      <w:r>
        <w:t xml:space="preserve"> </w:t>
      </w:r>
      <w:r w:rsidRPr="003D5038">
        <w:t>que</w:t>
      </w:r>
      <w:r>
        <w:t xml:space="preserve"> </w:t>
      </w:r>
      <w:r w:rsidRPr="003D5038">
        <w:t>está</w:t>
      </w:r>
      <w:r>
        <w:t xml:space="preserve"> </w:t>
      </w:r>
      <w:r w:rsidRPr="003D5038">
        <w:t>pedindo</w:t>
      </w:r>
      <w:r>
        <w:t xml:space="preserve"> </w:t>
      </w:r>
      <w:r w:rsidRPr="003D5038">
        <w:t>colônia</w:t>
      </w:r>
      <w:r>
        <w:t xml:space="preserve"> </w:t>
      </w:r>
      <w:r w:rsidRPr="003D5038">
        <w:t>correcional</w:t>
      </w:r>
      <w:r>
        <w:t xml:space="preserve"> [</w:t>
      </w:r>
      <w:r w:rsidRPr="003D5038">
        <w:t>...</w:t>
      </w:r>
      <w:r>
        <w:t>]</w:t>
      </w:r>
      <w:r w:rsidRPr="003D5038">
        <w:t>.</w:t>
      </w:r>
      <w:r>
        <w:t xml:space="preserve"> </w:t>
      </w:r>
      <w:r w:rsidRPr="003D5038">
        <w:t>A</w:t>
      </w:r>
      <w:r>
        <w:t xml:space="preserve"> </w:t>
      </w:r>
      <w:r w:rsidRPr="003D5038">
        <w:t>liberdade,</w:t>
      </w:r>
      <w:r>
        <w:t xml:space="preserve"> </w:t>
      </w:r>
      <w:r w:rsidRPr="003D5038">
        <w:t>já</w:t>
      </w:r>
      <w:r>
        <w:t xml:space="preserve"> </w:t>
      </w:r>
      <w:r w:rsidRPr="003D5038">
        <w:t>tivemos</w:t>
      </w:r>
      <w:r>
        <w:t xml:space="preserve"> </w:t>
      </w:r>
      <w:proofErr w:type="spellStart"/>
      <w:r w:rsidRPr="003D5038">
        <w:t>occasião</w:t>
      </w:r>
      <w:proofErr w:type="spellEnd"/>
      <w:r>
        <w:t xml:space="preserve"> </w:t>
      </w:r>
      <w:r w:rsidRPr="003D5038">
        <w:t>de</w:t>
      </w:r>
      <w:r>
        <w:t xml:space="preserve"> </w:t>
      </w:r>
      <w:r w:rsidRPr="003D5038">
        <w:t>dizer</w:t>
      </w:r>
      <w:r>
        <w:t xml:space="preserve"> </w:t>
      </w:r>
      <w:r w:rsidRPr="003D5038">
        <w:t>referindo-nos</w:t>
      </w:r>
      <w:r>
        <w:t xml:space="preserve"> </w:t>
      </w:r>
      <w:r w:rsidRPr="003D5038">
        <w:t>a</w:t>
      </w:r>
      <w:r>
        <w:t xml:space="preserve"> </w:t>
      </w:r>
      <w:r w:rsidRPr="003D5038">
        <w:t>abusos</w:t>
      </w:r>
      <w:r>
        <w:t xml:space="preserve"> </w:t>
      </w:r>
      <w:r w:rsidRPr="003D5038">
        <w:t>naquele</w:t>
      </w:r>
      <w:r>
        <w:t xml:space="preserve"> </w:t>
      </w:r>
      <w:proofErr w:type="spellStart"/>
      <w:r w:rsidRPr="003D5038">
        <w:t>logar</w:t>
      </w:r>
      <w:proofErr w:type="spellEnd"/>
      <w:r w:rsidRPr="003D5038">
        <w:t>,</w:t>
      </w:r>
      <w:r>
        <w:t xml:space="preserve"> </w:t>
      </w:r>
      <w:r w:rsidRPr="003D5038">
        <w:t>não</w:t>
      </w:r>
      <w:r>
        <w:t xml:space="preserve"> </w:t>
      </w:r>
      <w:r w:rsidRPr="003D5038">
        <w:t>pode</w:t>
      </w:r>
      <w:r>
        <w:t xml:space="preserve"> </w:t>
      </w:r>
      <w:r w:rsidRPr="003D5038">
        <w:t>ser</w:t>
      </w:r>
      <w:r>
        <w:t xml:space="preserve"> </w:t>
      </w:r>
      <w:r w:rsidRPr="003D5038">
        <w:t>esta</w:t>
      </w:r>
      <w:r>
        <w:t xml:space="preserve"> </w:t>
      </w:r>
      <w:r w:rsidRPr="003D5038">
        <w:t>criminosa.</w:t>
      </w:r>
      <w:r>
        <w:t xml:space="preserve"> </w:t>
      </w:r>
      <w:r w:rsidRPr="003D5038">
        <w:t>Desatenção</w:t>
      </w:r>
      <w:r>
        <w:t xml:space="preserve"> </w:t>
      </w:r>
      <w:r w:rsidRPr="003D5038">
        <w:t>que</w:t>
      </w:r>
      <w:r>
        <w:t xml:space="preserve"> </w:t>
      </w:r>
      <w:proofErr w:type="spellStart"/>
      <w:r w:rsidRPr="003D5038">
        <w:t>indivídoas</w:t>
      </w:r>
      <w:proofErr w:type="spellEnd"/>
      <w:r>
        <w:t xml:space="preserve"> </w:t>
      </w:r>
      <w:r w:rsidRPr="003D5038">
        <w:t>mal</w:t>
      </w:r>
      <w:r>
        <w:t xml:space="preserve"> </w:t>
      </w:r>
      <w:r w:rsidRPr="003D5038">
        <w:t>educadas</w:t>
      </w:r>
      <w:r>
        <w:t xml:space="preserve"> </w:t>
      </w:r>
      <w:r w:rsidRPr="003D5038">
        <w:t>querem</w:t>
      </w:r>
      <w:r>
        <w:t xml:space="preserve"> </w:t>
      </w:r>
      <w:r w:rsidRPr="003D5038">
        <w:t>praticar</w:t>
      </w:r>
      <w:r>
        <w:t xml:space="preserve"> </w:t>
      </w:r>
      <w:r w:rsidRPr="003D5038">
        <w:t>com</w:t>
      </w:r>
      <w:r>
        <w:t xml:space="preserve"> </w:t>
      </w:r>
      <w:proofErr w:type="spellStart"/>
      <w:r w:rsidRPr="003D5038">
        <w:t>similhante</w:t>
      </w:r>
      <w:proofErr w:type="spellEnd"/>
      <w:r>
        <w:t xml:space="preserve"> </w:t>
      </w:r>
      <w:r w:rsidRPr="003D5038">
        <w:t>desenvoltura</w:t>
      </w:r>
      <w:r>
        <w:t xml:space="preserve"> </w:t>
      </w:r>
      <w:r w:rsidRPr="003D5038">
        <w:t>-</w:t>
      </w:r>
      <w:r>
        <w:t xml:space="preserve"> </w:t>
      </w:r>
      <w:r w:rsidRPr="003D5038">
        <w:t>o</w:t>
      </w:r>
      <w:r>
        <w:t xml:space="preserve"> </w:t>
      </w:r>
      <w:r w:rsidRPr="003D5038">
        <w:t>jardim</w:t>
      </w:r>
      <w:r>
        <w:t xml:space="preserve"> </w:t>
      </w:r>
      <w:r w:rsidRPr="003D5038">
        <w:t>é</w:t>
      </w:r>
      <w:r>
        <w:t xml:space="preserve"> </w:t>
      </w:r>
      <w:r w:rsidRPr="003D5038">
        <w:t>de</w:t>
      </w:r>
      <w:r>
        <w:t xml:space="preserve"> </w:t>
      </w:r>
      <w:r w:rsidRPr="003D5038">
        <w:t>todos,</w:t>
      </w:r>
      <w:r>
        <w:t xml:space="preserve"> </w:t>
      </w:r>
      <w:r w:rsidRPr="003D5038">
        <w:t>mas</w:t>
      </w:r>
      <w:r>
        <w:t xml:space="preserve"> </w:t>
      </w:r>
      <w:r w:rsidRPr="003D5038">
        <w:t>de</w:t>
      </w:r>
      <w:r>
        <w:t xml:space="preserve"> </w:t>
      </w:r>
      <w:r w:rsidRPr="003D5038">
        <w:t>todos</w:t>
      </w:r>
      <w:r>
        <w:t xml:space="preserve"> </w:t>
      </w:r>
      <w:r w:rsidRPr="003D5038">
        <w:t>educados.</w:t>
      </w:r>
      <w:r>
        <w:t xml:space="preserve"> </w:t>
      </w:r>
      <w:r w:rsidRPr="003D5038">
        <w:t>À</w:t>
      </w:r>
      <w:r>
        <w:t xml:space="preserve"> </w:t>
      </w:r>
      <w:r w:rsidRPr="003D5038">
        <w:t>Prefeitura</w:t>
      </w:r>
      <w:r>
        <w:t xml:space="preserve"> </w:t>
      </w:r>
      <w:r w:rsidRPr="003D5038">
        <w:t>e</w:t>
      </w:r>
      <w:r>
        <w:t xml:space="preserve"> </w:t>
      </w:r>
      <w:r w:rsidRPr="003D5038">
        <w:t>às</w:t>
      </w:r>
      <w:r>
        <w:t xml:space="preserve"> </w:t>
      </w:r>
      <w:r w:rsidRPr="003D5038">
        <w:t>autoridades</w:t>
      </w:r>
      <w:r>
        <w:t xml:space="preserve"> </w:t>
      </w:r>
      <w:proofErr w:type="spellStart"/>
      <w:r w:rsidRPr="003D5038">
        <w:t>policiaes</w:t>
      </w:r>
      <w:proofErr w:type="spellEnd"/>
      <w:r>
        <w:t xml:space="preserve"> </w:t>
      </w:r>
      <w:r w:rsidRPr="003D5038">
        <w:t>endereçamos</w:t>
      </w:r>
      <w:r>
        <w:t xml:space="preserve"> </w:t>
      </w:r>
      <w:r w:rsidRPr="003D5038">
        <w:t>estas</w:t>
      </w:r>
      <w:r>
        <w:t xml:space="preserve"> </w:t>
      </w:r>
      <w:r w:rsidRPr="003D5038">
        <w:t>linhas</w:t>
      </w:r>
      <w:r>
        <w:t xml:space="preserve"> </w:t>
      </w:r>
      <w:r w:rsidRPr="003D5038">
        <w:t>como</w:t>
      </w:r>
      <w:r>
        <w:t xml:space="preserve"> </w:t>
      </w:r>
      <w:r w:rsidRPr="003D5038">
        <w:t>uma</w:t>
      </w:r>
      <w:r>
        <w:t xml:space="preserve"> </w:t>
      </w:r>
      <w:r w:rsidRPr="003D5038">
        <w:t>reclamação</w:t>
      </w:r>
      <w:r>
        <w:t xml:space="preserve"> </w:t>
      </w:r>
      <w:r w:rsidRPr="003D5038">
        <w:t>que</w:t>
      </w:r>
      <w:r>
        <w:t xml:space="preserve"> </w:t>
      </w:r>
      <w:r w:rsidRPr="003D5038">
        <w:t>nos</w:t>
      </w:r>
      <w:r>
        <w:t xml:space="preserve"> </w:t>
      </w:r>
      <w:r w:rsidRPr="003D5038">
        <w:t>fizeram</w:t>
      </w:r>
      <w:r>
        <w:t xml:space="preserve"> </w:t>
      </w:r>
      <w:r w:rsidRPr="003D5038">
        <w:t>muitas</w:t>
      </w:r>
      <w:r>
        <w:t xml:space="preserve"> </w:t>
      </w:r>
      <w:r w:rsidRPr="003D5038">
        <w:t>famílias.</w:t>
      </w:r>
      <w:r>
        <w:t xml:space="preserve"> </w:t>
      </w:r>
      <w:r w:rsidRPr="003D5038">
        <w:t>Esperamos</w:t>
      </w:r>
      <w:r>
        <w:t xml:space="preserve"> </w:t>
      </w:r>
      <w:r w:rsidRPr="003D5038">
        <w:t>o</w:t>
      </w:r>
      <w:r>
        <w:t xml:space="preserve"> </w:t>
      </w:r>
      <w:r w:rsidRPr="003D5038">
        <w:t>corretivo</w:t>
      </w:r>
      <w:r>
        <w:t xml:space="preserve"> </w:t>
      </w:r>
      <w:r w:rsidRPr="003D5038">
        <w:t>enérgico</w:t>
      </w:r>
      <w:r>
        <w:t xml:space="preserve"> </w:t>
      </w:r>
      <w:r w:rsidRPr="003D5038">
        <w:t>da</w:t>
      </w:r>
      <w:r>
        <w:t xml:space="preserve"> </w:t>
      </w:r>
      <w:r w:rsidRPr="003D5038">
        <w:t>parte</w:t>
      </w:r>
      <w:r>
        <w:t xml:space="preserve"> </w:t>
      </w:r>
      <w:r w:rsidRPr="003D5038">
        <w:t>das</w:t>
      </w:r>
      <w:r>
        <w:t xml:space="preserve"> </w:t>
      </w:r>
      <w:r w:rsidRPr="003D5038">
        <w:t>autoridades,</w:t>
      </w:r>
      <w:r>
        <w:t xml:space="preserve"> </w:t>
      </w:r>
      <w:r w:rsidRPr="003D5038">
        <w:t>mesmo</w:t>
      </w:r>
      <w:r>
        <w:t xml:space="preserve"> </w:t>
      </w:r>
      <w:r w:rsidRPr="003D5038">
        <w:t>que</w:t>
      </w:r>
      <w:r>
        <w:t xml:space="preserve"> </w:t>
      </w:r>
      <w:r w:rsidRPr="003D5038">
        <w:t>se</w:t>
      </w:r>
      <w:r>
        <w:t xml:space="preserve"> </w:t>
      </w:r>
      <w:r w:rsidRPr="003D5038">
        <w:t>torne</w:t>
      </w:r>
      <w:r>
        <w:t xml:space="preserve"> </w:t>
      </w:r>
      <w:r w:rsidRPr="003D5038">
        <w:t>preciso</w:t>
      </w:r>
      <w:r>
        <w:t xml:space="preserve"> </w:t>
      </w:r>
      <w:r w:rsidRPr="003D5038">
        <w:t>uma</w:t>
      </w:r>
      <w:r>
        <w:t xml:space="preserve"> </w:t>
      </w:r>
      <w:r w:rsidRPr="003D5038">
        <w:t>postura</w:t>
      </w:r>
      <w:r>
        <w:t xml:space="preserve"> </w:t>
      </w:r>
      <w:r w:rsidRPr="003D5038">
        <w:t>municipal</w:t>
      </w:r>
      <w:r>
        <w:t xml:space="preserve"> </w:t>
      </w:r>
      <w:r w:rsidRPr="003D5038">
        <w:t>proibindo</w:t>
      </w:r>
      <w:r>
        <w:t xml:space="preserve"> </w:t>
      </w:r>
      <w:proofErr w:type="spellStart"/>
      <w:r w:rsidRPr="003D5038">
        <w:t>alli</w:t>
      </w:r>
      <w:proofErr w:type="spellEnd"/>
      <w:r>
        <w:t xml:space="preserve"> </w:t>
      </w:r>
      <w:r w:rsidRPr="003D5038">
        <w:t>a</w:t>
      </w:r>
      <w:r>
        <w:t xml:space="preserve"> </w:t>
      </w:r>
      <w:r w:rsidRPr="003D5038">
        <w:t>entrada</w:t>
      </w:r>
      <w:r>
        <w:t xml:space="preserve"> </w:t>
      </w:r>
      <w:r w:rsidRPr="003D5038">
        <w:t>desta</w:t>
      </w:r>
      <w:r>
        <w:t xml:space="preserve"> </w:t>
      </w:r>
      <w:r w:rsidRPr="003D5038">
        <w:t>gente</w:t>
      </w:r>
      <w:r>
        <w:t xml:space="preserve"> </w:t>
      </w:r>
      <w:r w:rsidRPr="003D5038">
        <w:t>mal</w:t>
      </w:r>
      <w:r>
        <w:t xml:space="preserve"> </w:t>
      </w:r>
      <w:r w:rsidRPr="003D5038">
        <w:t>educada</w:t>
      </w:r>
      <w:r w:rsidRPr="00F15621">
        <w:t>. (Artigo publicado no jornal A cidade em 1905 apud SOUZA, 2007).</w:t>
      </w:r>
    </w:p>
    <w:p w14:paraId="653BA882" w14:textId="77777777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1FD5488E" w14:textId="381FF7CF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Estas acusações de inferioridade e as exigências de corretivo enérgico por parte das instituições contra populações afro-brasileiras, publicadas em jornal impresso de grande circulação, é uma significativa expressão da ritualística e da </w:t>
      </w:r>
      <w:proofErr w:type="spellStart"/>
      <w:r>
        <w:rPr>
          <w:rFonts w:ascii="Arial" w:hAnsi="Arial" w:cs="Arial"/>
          <w:lang w:val="pt-BR"/>
        </w:rPr>
        <w:t>performatividade</w:t>
      </w:r>
      <w:proofErr w:type="spellEnd"/>
      <w:r>
        <w:rPr>
          <w:rFonts w:ascii="Arial" w:hAnsi="Arial" w:cs="Arial"/>
          <w:lang w:val="pt-BR"/>
        </w:rPr>
        <w:t xml:space="preserve"> racista e classista, em que o desprezo e a humilhação pública são atuações difusoras de valores e representações formadoras dos processos de desumanização, exclusão e violência que orientam grande parte das instituições na realidade brasileira. São práticas discursivas constitutivas de estruturas institucionais componentes de juízos de valor, dispositivos legais e aparatos institucionais orientados principalmente para o controle e repressão dos segmentos sociais estabelecidos como inferiores e como perigo social.</w:t>
      </w:r>
    </w:p>
    <w:p w14:paraId="172D96F6" w14:textId="72B5DF65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São formas sociais que se transformam, porém se mantém em seus pressupostos centrais e atravessam diferentes conjunturas organizando relações sociais. Como na década de 1950, com as discussões sobre a necessidade de construção de um espaço social exclusivo para “indivíduos de cor” em Ribeirão Preto, cidade do interior do estado de São Paulo, quando o articulista e escritor local, Prisco da Cruz Prates se refere a separação de espaços para brancos ricos, brancos da classe trabalhadora e negros como “natural seleção de classes entre ricos, classes médias e negros”. Porém, sobretudo, o articulista acentuava não haver racismo no Brasil, pois os “indivíduos de cor” sabem reconhecer seus lugares de forma a evitar riscos “para não passarem por vexames de natureza racista” (PRATES, 1956 apud SOUZA, 2007, p. 73).</w:t>
      </w:r>
    </w:p>
    <w:p w14:paraId="3C62B90F" w14:textId="50D162C8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Desta maneira, os segmentos conotados como escuros (negros, indígenas e empobrecidos), além das mulheres, têm se deparado, nas mais diferentes conjunturas ao longo do século XX e na atualidade, com contextos adversos e hostis. Contextos urbanos e rurais, em que a tutela, a subalternidade e a repressão por aparatos institucionais estatais e privados, atuam </w:t>
      </w:r>
      <w:r w:rsidR="00AC4AC4">
        <w:rPr>
          <w:rFonts w:ascii="Arial" w:hAnsi="Arial" w:cs="Arial"/>
          <w:lang w:val="pt-BR"/>
        </w:rPr>
        <w:t xml:space="preserve">para </w:t>
      </w:r>
      <w:r>
        <w:rPr>
          <w:rFonts w:ascii="Arial" w:hAnsi="Arial" w:cs="Arial"/>
          <w:lang w:val="pt-BR"/>
        </w:rPr>
        <w:t xml:space="preserve">impor condições de </w:t>
      </w:r>
      <w:proofErr w:type="spellStart"/>
      <w:r>
        <w:rPr>
          <w:rFonts w:ascii="Arial" w:hAnsi="Arial" w:cs="Arial"/>
          <w:lang w:val="pt-BR"/>
        </w:rPr>
        <w:t>subcidadania</w:t>
      </w:r>
      <w:proofErr w:type="spellEnd"/>
      <w:r>
        <w:rPr>
          <w:rFonts w:ascii="Arial" w:hAnsi="Arial" w:cs="Arial"/>
          <w:lang w:val="pt-BR"/>
        </w:rPr>
        <w:t>, com falta de acesso</w:t>
      </w:r>
      <w:r w:rsidR="00B82E31">
        <w:rPr>
          <w:rFonts w:ascii="Arial" w:hAnsi="Arial" w:cs="Arial"/>
          <w:lang w:val="pt-BR"/>
        </w:rPr>
        <w:t xml:space="preserve"> a direitos e</w:t>
      </w:r>
      <w:r>
        <w:rPr>
          <w:rFonts w:ascii="Arial" w:hAnsi="Arial" w:cs="Arial"/>
          <w:lang w:val="pt-BR"/>
        </w:rPr>
        <w:t xml:space="preserve"> bens sociais</w:t>
      </w:r>
      <w:r w:rsidR="00B82E31">
        <w:rPr>
          <w:rFonts w:ascii="Arial" w:hAnsi="Arial" w:cs="Arial"/>
          <w:lang w:val="pt-BR"/>
        </w:rPr>
        <w:t xml:space="preserve"> fundamentais</w:t>
      </w:r>
      <w:r>
        <w:rPr>
          <w:rFonts w:ascii="Arial" w:hAnsi="Arial" w:cs="Arial"/>
          <w:lang w:val="pt-BR"/>
        </w:rPr>
        <w:t xml:space="preserve"> </w:t>
      </w:r>
      <w:r w:rsidR="00B82E31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dignidade humana, realidade com forte acento na contemporaneidade.</w:t>
      </w:r>
    </w:p>
    <w:p w14:paraId="3D39DE5F" w14:textId="08066504" w:rsidR="0029101D" w:rsidRPr="005F054F" w:rsidRDefault="0029101D" w:rsidP="005F054F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Desta forma</w:t>
      </w:r>
      <w:r w:rsidRPr="00CC45ED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concepções</w:t>
      </w:r>
      <w:r>
        <w:rPr>
          <w:rFonts w:ascii="Arial" w:hAnsi="Arial" w:cs="Arial"/>
          <w:lang w:val="pt-BR"/>
        </w:rPr>
        <w:t xml:space="preserve"> autoritárias </w:t>
      </w:r>
      <w:r w:rsidRPr="00CC45ED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grupos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hegemônicos</w:t>
      </w:r>
      <w:r>
        <w:rPr>
          <w:rFonts w:ascii="Arial" w:hAnsi="Arial" w:cs="Arial"/>
          <w:lang w:val="pt-BR"/>
        </w:rPr>
        <w:t xml:space="preserve"> colocam os negros e outros segmentos sócio-étnico-raciais e de gênero como o </w:t>
      </w:r>
      <w:r>
        <w:rPr>
          <w:rFonts w:ascii="Arial" w:hAnsi="Arial" w:cs="Arial"/>
          <w:lang w:val="pt-BR"/>
        </w:rPr>
        <w:lastRenderedPageBreak/>
        <w:t xml:space="preserve">avesso de sua noção excludente de modernidade </w:t>
      </w:r>
      <w:proofErr w:type="spellStart"/>
      <w:r>
        <w:rPr>
          <w:rFonts w:ascii="Arial" w:hAnsi="Arial" w:cs="Arial"/>
          <w:lang w:val="pt-BR"/>
        </w:rPr>
        <w:t>eurocentrada</w:t>
      </w:r>
      <w:proofErr w:type="spellEnd"/>
      <w:r>
        <w:rPr>
          <w:rFonts w:ascii="Arial" w:hAnsi="Arial" w:cs="Arial"/>
          <w:lang w:val="pt-BR"/>
        </w:rPr>
        <w:t xml:space="preserve">. Nesta direção, todos aqueles são conotados como inimigos, vistos e tratados enquanto encarnações do avesso da modernidade burguesa, principalmente de </w:t>
      </w:r>
      <w:r w:rsidRPr="00CC45ED">
        <w:rPr>
          <w:rFonts w:ascii="Arial" w:hAnsi="Arial" w:cs="Arial"/>
          <w:lang w:val="pt-BR"/>
        </w:rPr>
        <w:t>suas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concepções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progresso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civilização</w:t>
      </w:r>
      <w:r>
        <w:rPr>
          <w:rFonts w:ascii="Arial" w:hAnsi="Arial" w:cs="Arial"/>
          <w:lang w:val="pt-BR"/>
        </w:rPr>
        <w:t xml:space="preserve"> (SODRÉ, 1999)</w:t>
      </w:r>
      <w:r w:rsidRPr="00CC45ED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Estas</w:t>
      </w:r>
      <w:r>
        <w:rPr>
          <w:rFonts w:ascii="Arial" w:hAnsi="Arial" w:cs="Arial"/>
          <w:lang w:val="pt-BR"/>
        </w:rPr>
        <w:t xml:space="preserve"> diretrizes </w:t>
      </w:r>
      <w:r w:rsidRPr="00CC45ED">
        <w:rPr>
          <w:rFonts w:ascii="Arial" w:hAnsi="Arial" w:cs="Arial"/>
          <w:lang w:val="pt-BR"/>
        </w:rPr>
        <w:t>mostram-se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complementares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nos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projetos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políticos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branqueamento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d</w:t>
      </w:r>
      <w:r>
        <w:rPr>
          <w:rFonts w:ascii="Arial" w:hAnsi="Arial" w:cs="Arial"/>
          <w:lang w:val="pt-BR"/>
        </w:rPr>
        <w:t xml:space="preserve">os setores dominantes </w:t>
      </w:r>
      <w:r w:rsidRPr="00CC45ED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organização</w:t>
      </w:r>
      <w:r>
        <w:rPr>
          <w:rFonts w:ascii="Arial" w:hAnsi="Arial" w:cs="Arial"/>
          <w:lang w:val="pt-BR"/>
        </w:rPr>
        <w:t xml:space="preserve"> </w:t>
      </w:r>
      <w:r w:rsidRPr="00CC45ED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s </w:t>
      </w:r>
      <w:r w:rsidRPr="00CC45ED">
        <w:rPr>
          <w:rFonts w:ascii="Arial" w:hAnsi="Arial" w:cs="Arial"/>
          <w:lang w:val="pt-BR"/>
        </w:rPr>
        <w:t>espaço</w:t>
      </w:r>
      <w:r>
        <w:rPr>
          <w:rFonts w:ascii="Arial" w:hAnsi="Arial" w:cs="Arial"/>
          <w:lang w:val="pt-BR"/>
        </w:rPr>
        <w:t>s (rurais e urbanos) resultando em privilégios para os brancos (os claros) no campo da supremacia da branquitude. Em contrapartida, as maiorias escuras de negros, indígenas</w:t>
      </w:r>
      <w:r w:rsidR="00EF37FD">
        <w:rPr>
          <w:rFonts w:ascii="Arial" w:hAnsi="Arial" w:cs="Arial"/>
          <w:lang w:val="pt-BR"/>
        </w:rPr>
        <w:t xml:space="preserve"> e</w:t>
      </w:r>
      <w:r>
        <w:rPr>
          <w:rFonts w:ascii="Arial" w:hAnsi="Arial" w:cs="Arial"/>
          <w:lang w:val="pt-BR"/>
        </w:rPr>
        <w:t xml:space="preserve"> mulheres, são envolvidas por realidades de exploração, repressão e miséria</w:t>
      </w:r>
      <w:r w:rsidRPr="0098188B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Pr="0098188B">
        <w:rPr>
          <w:rFonts w:ascii="Arial" w:hAnsi="Arial" w:cs="Arial"/>
          <w:lang w:val="pt-BR"/>
        </w:rPr>
        <w:t>Esta</w:t>
      </w:r>
      <w:r>
        <w:rPr>
          <w:rFonts w:ascii="Arial" w:hAnsi="Arial" w:cs="Arial"/>
          <w:lang w:val="pt-BR"/>
        </w:rPr>
        <w:t xml:space="preserve"> </w:t>
      </w:r>
      <w:r w:rsidRPr="0098188B">
        <w:rPr>
          <w:rFonts w:ascii="Arial" w:hAnsi="Arial" w:cs="Arial"/>
          <w:lang w:val="pt-BR"/>
        </w:rPr>
        <w:t>dinâmica</w:t>
      </w:r>
      <w:r>
        <w:rPr>
          <w:rFonts w:ascii="Arial" w:hAnsi="Arial" w:cs="Arial"/>
          <w:lang w:val="pt-BR"/>
        </w:rPr>
        <w:t xml:space="preserve"> </w:t>
      </w:r>
      <w:r w:rsidRPr="0098188B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98188B">
        <w:rPr>
          <w:rFonts w:ascii="Arial" w:hAnsi="Arial" w:cs="Arial"/>
          <w:lang w:val="pt-BR"/>
        </w:rPr>
        <w:t>desigualdade</w:t>
      </w:r>
      <w:r>
        <w:rPr>
          <w:lang w:val="pt-BR"/>
        </w:rPr>
        <w:t xml:space="preserve"> </w:t>
      </w:r>
      <w:r>
        <w:rPr>
          <w:rFonts w:ascii="Arial" w:hAnsi="Arial" w:cs="Arial"/>
          <w:lang w:val="pt-BR"/>
        </w:rPr>
        <w:t>social constitui diversas conjunturas temporais e socioespaciais brasileiras, com ambientes societários marcados pela heteronomia para estas maiorias excluídas do campo dos direitos, do acesso a bens sociais e, ainda, tratadas constantemente, como seres estranhos e inimigos cujas humanidades são rechaçadas por serem diversas aos padrões universalistas de ser humano, cultura e política hegemônicos. Produzem-se, assim, cidadanias diferentes para sujeitos desigualmente tratados, situados em hierarquizações rígidas e com cidadanias mutiladas (SANTOS, 1997) como no caso das populações ligadas às religiosidades afro-indígenas duramente perseguidas na atual conjuntura</w:t>
      </w:r>
      <w:r>
        <w:rPr>
          <w:rStyle w:val="Refdenotaderodap"/>
          <w:rFonts w:ascii="Arial" w:hAnsi="Arial" w:cs="Arial"/>
          <w:lang w:val="pt-BR"/>
        </w:rPr>
        <w:footnoteReference w:id="7"/>
      </w:r>
      <w:r>
        <w:rPr>
          <w:rFonts w:ascii="Arial" w:hAnsi="Arial" w:cs="Arial"/>
          <w:lang w:val="pt-BR"/>
        </w:rPr>
        <w:t xml:space="preserve">. </w:t>
      </w:r>
    </w:p>
    <w:p w14:paraId="16CE505B" w14:textId="446BE25B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Ao longo das diferentes conjunturas esta dinâmica violenta, definida pela </w:t>
      </w:r>
      <w:proofErr w:type="spellStart"/>
      <w:r>
        <w:rPr>
          <w:rFonts w:ascii="Arial" w:hAnsi="Arial" w:cs="Arial"/>
          <w:lang w:val="pt-BR"/>
        </w:rPr>
        <w:t>subcidadania</w:t>
      </w:r>
      <w:proofErr w:type="spellEnd"/>
      <w:r>
        <w:rPr>
          <w:rFonts w:ascii="Arial" w:hAnsi="Arial" w:cs="Arial"/>
          <w:lang w:val="pt-BR"/>
        </w:rPr>
        <w:t xml:space="preserve">, desumanização e invisibilidade social contra as maiorias demográficas no Brasil, encontra períodos de resistência e superação por parte de amplos segmentos da classe trabalhadora, de negros/as e mulheres e outros/as. Nesta direção, entre a década de 1980 e os primeiros quinze anos do século XXI ocorreu um processo de avanços e vitórias pelo reconhecimento e defesa da </w:t>
      </w:r>
      <w:r>
        <w:rPr>
          <w:rFonts w:ascii="Arial" w:hAnsi="Arial" w:cs="Arial"/>
          <w:lang w:val="pt-BR"/>
        </w:rPr>
        <w:lastRenderedPageBreak/>
        <w:t xml:space="preserve">diversidade, pela ampliação da cidadania e pelo acesso a bens econômicos, políticos e culturais para os segmentos das maiorias perseguidas pelas estruturas do racismo, do </w:t>
      </w:r>
      <w:proofErr w:type="spellStart"/>
      <w:r>
        <w:rPr>
          <w:rFonts w:ascii="Arial" w:hAnsi="Arial" w:cs="Arial"/>
          <w:lang w:val="pt-BR"/>
        </w:rPr>
        <w:t>classismo</w:t>
      </w:r>
      <w:proofErr w:type="spellEnd"/>
      <w:r>
        <w:rPr>
          <w:rFonts w:ascii="Arial" w:hAnsi="Arial" w:cs="Arial"/>
          <w:lang w:val="pt-BR"/>
        </w:rPr>
        <w:t xml:space="preserve"> e do machismo em nosso país.</w:t>
      </w:r>
    </w:p>
    <w:p w14:paraId="2839B3E9" w14:textId="15640695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 conquistas situadas no período pós-ditadura militar tornaram a redemocratização da sociedade brasileira substantiva com avanços, em diferentes áreas. Na educação, a Lei de Diretrizes e Bases da Educação (LDB), em 1996,</w:t>
      </w:r>
      <w:r w:rsidR="007A7CAB">
        <w:rPr>
          <w:rFonts w:ascii="Arial" w:hAnsi="Arial" w:cs="Arial"/>
          <w:lang w:val="pt-BR"/>
        </w:rPr>
        <w:t xml:space="preserve"> deu</w:t>
      </w:r>
      <w:r>
        <w:rPr>
          <w:rFonts w:ascii="Arial" w:hAnsi="Arial" w:cs="Arial"/>
          <w:lang w:val="pt-BR"/>
        </w:rPr>
        <w:t xml:space="preserve"> diretrizes para a produção e difusão de conhecimentos acerca das populações negras, indígenas, mulheres, além dos diversos povos e culturas que compõem a riqueza cultural brasileira. N</w:t>
      </w:r>
      <w:r w:rsidR="00F90063">
        <w:rPr>
          <w:rFonts w:ascii="Arial" w:hAnsi="Arial" w:cs="Arial"/>
          <w:lang w:val="pt-BR"/>
        </w:rPr>
        <w:t>est</w:t>
      </w:r>
      <w:r>
        <w:rPr>
          <w:rFonts w:ascii="Arial" w:hAnsi="Arial" w:cs="Arial"/>
          <w:lang w:val="pt-BR"/>
        </w:rPr>
        <w:t>a linha, em 1988, a criação da Fundação Cultural Palmares tornou-se um marco e uma referência para a defesa dos direitos territoriais e valorização do patrimônio histórico e cultural das populações negras, no mesmo sentido do ocorrido com o fortalecimento da Funai no âmbito do Estado e do CIMI no contexto da sociedade civil</w:t>
      </w:r>
      <w:r>
        <w:rPr>
          <w:rStyle w:val="Refdenotaderodap"/>
          <w:rFonts w:ascii="Arial" w:hAnsi="Arial" w:cs="Arial"/>
          <w:lang w:val="pt-BR"/>
        </w:rPr>
        <w:footnoteReference w:id="8"/>
      </w:r>
      <w:r>
        <w:rPr>
          <w:rFonts w:ascii="Arial" w:hAnsi="Arial" w:cs="Arial"/>
          <w:lang w:val="pt-BR"/>
        </w:rPr>
        <w:t xml:space="preserve">. </w:t>
      </w:r>
    </w:p>
    <w:p w14:paraId="08CFF6EC" w14:textId="39428A08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Entre os tantos marcos representativos, destacamos os processos de atuação que culminaram com elaboração e aprovação de diferentes normativas legais. Neste âmbito são representativos, o Estatuto da Criança e do adolescente (ECA), em 1990, a Lei Maria da Penha em 2006. Posteriormente, a promulgação da Lei do Feminicídio em 2015 junto a todo aparato institucional, como as Delegacias de Defesa da Mulher, que acompanhou estes avanços democráticos</w:t>
      </w:r>
      <w:r>
        <w:rPr>
          <w:rStyle w:val="Refdenotaderodap"/>
          <w:rFonts w:ascii="Arial" w:hAnsi="Arial" w:cs="Arial"/>
          <w:lang w:val="pt-BR"/>
        </w:rPr>
        <w:footnoteReference w:id="9"/>
      </w:r>
      <w:r>
        <w:rPr>
          <w:rFonts w:ascii="Arial" w:hAnsi="Arial" w:cs="Arial"/>
          <w:lang w:val="pt-BR"/>
        </w:rPr>
        <w:t>.</w:t>
      </w:r>
    </w:p>
    <w:p w14:paraId="50040E40" w14:textId="748AAA9C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No contexto de nossa discussão, são relevantes os marcos institucionais de superação autoritária quanto ao antirracismo e as culturalidades e historicidades africanas, afro-brasileiras e indígenas. </w:t>
      </w:r>
      <w:r w:rsidR="00010A6F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nova dinâmica democrática após a Constituição de 1988</w:t>
      </w:r>
      <w:r>
        <w:rPr>
          <w:rStyle w:val="Refdenotaderodap"/>
          <w:rFonts w:ascii="Arial" w:hAnsi="Arial" w:cs="Arial"/>
          <w:lang w:val="pt-BR"/>
        </w:rPr>
        <w:footnoteReference w:id="10"/>
      </w:r>
      <w:r>
        <w:rPr>
          <w:rFonts w:ascii="Arial" w:hAnsi="Arial" w:cs="Arial"/>
          <w:lang w:val="pt-BR"/>
        </w:rPr>
        <w:t xml:space="preserve">, ocorreu o reconhecimento das terras quilombolas </w:t>
      </w:r>
      <w:r>
        <w:rPr>
          <w:rFonts w:ascii="Arial" w:hAnsi="Arial" w:cs="Arial"/>
          <w:lang w:val="pt-BR"/>
        </w:rPr>
        <w:lastRenderedPageBreak/>
        <w:t>e indígenas e das culturas formadoras da diversidade sócio-étnico-racial brasileira. Nos anos referentes às décadas de 2000 e 2010, podemos apontar a criação da Secretaria Especial de Promoção da Igualdade Racial (SEPPIR) em 2003, a aprovação da Lei de Cotas raciais para o serviço público em 2014 e a Lei de Cotas raciais e sociais para o ingresso no ensino superior, tendo como resultado o aumento de negros/as nas universidades públicas brasileiras</w:t>
      </w:r>
      <w:r>
        <w:rPr>
          <w:rStyle w:val="Refdenotaderodap"/>
          <w:rFonts w:ascii="Arial" w:hAnsi="Arial" w:cs="Arial"/>
          <w:lang w:val="pt-BR"/>
        </w:rPr>
        <w:footnoteReference w:id="11"/>
      </w:r>
      <w:r>
        <w:rPr>
          <w:rFonts w:ascii="Arial" w:hAnsi="Arial" w:cs="Arial"/>
          <w:lang w:val="pt-BR"/>
        </w:rPr>
        <w:t>.</w:t>
      </w:r>
    </w:p>
    <w:p w14:paraId="6CE73011" w14:textId="77777777" w:rsidR="0029101D" w:rsidRDefault="0029101D" w:rsidP="002C308C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03DC832F" w14:textId="2C4FAC9E" w:rsidR="0029101D" w:rsidRPr="00C520CA" w:rsidRDefault="0029101D" w:rsidP="00C520CA">
      <w:pPr>
        <w:spacing w:line="360" w:lineRule="auto"/>
        <w:jc w:val="both"/>
        <w:rPr>
          <w:rFonts w:ascii="Arial" w:hAnsi="Arial" w:cs="Arial"/>
          <w:b/>
          <w:bCs/>
          <w:lang w:val="pt-BR"/>
        </w:rPr>
      </w:pPr>
      <w:r w:rsidRPr="00C520CA">
        <w:rPr>
          <w:rFonts w:ascii="Arial" w:hAnsi="Arial" w:cs="Arial"/>
          <w:b/>
          <w:bCs/>
          <w:lang w:val="pt-BR"/>
        </w:rPr>
        <w:t>MOVIMENTOS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C520CA">
        <w:rPr>
          <w:rFonts w:ascii="Arial" w:hAnsi="Arial" w:cs="Arial"/>
          <w:b/>
          <w:bCs/>
          <w:lang w:val="pt-BR"/>
        </w:rPr>
        <w:t>REGRESSIVOS,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C520CA">
        <w:rPr>
          <w:rFonts w:ascii="Arial" w:hAnsi="Arial" w:cs="Arial"/>
          <w:b/>
          <w:bCs/>
          <w:lang w:val="pt-BR"/>
        </w:rPr>
        <w:t>AVANÇO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C520CA">
        <w:rPr>
          <w:rFonts w:ascii="Arial" w:hAnsi="Arial" w:cs="Arial"/>
          <w:b/>
          <w:bCs/>
          <w:lang w:val="pt-BR"/>
        </w:rPr>
        <w:t>NEOLIBERAL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C520CA">
        <w:rPr>
          <w:rFonts w:ascii="Arial" w:hAnsi="Arial" w:cs="Arial"/>
          <w:b/>
          <w:bCs/>
          <w:lang w:val="pt-BR"/>
        </w:rPr>
        <w:t>E</w:t>
      </w:r>
      <w:r>
        <w:rPr>
          <w:rFonts w:ascii="Arial" w:hAnsi="Arial" w:cs="Arial"/>
          <w:b/>
          <w:bCs/>
          <w:lang w:val="pt-BR"/>
        </w:rPr>
        <w:t xml:space="preserve"> </w:t>
      </w:r>
      <w:r w:rsidRPr="00C520CA">
        <w:rPr>
          <w:rFonts w:ascii="Arial" w:hAnsi="Arial" w:cs="Arial"/>
          <w:b/>
          <w:bCs/>
          <w:lang w:val="pt-BR"/>
        </w:rPr>
        <w:t>AUTORITARISMO.</w:t>
      </w:r>
    </w:p>
    <w:p w14:paraId="3694ABA9" w14:textId="6D47FF23" w:rsidR="0029101D" w:rsidRPr="009379F2" w:rsidRDefault="0029101D" w:rsidP="009379F2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Os avanços e conquistas democráticas delimitaram a ampliação dos direitos e da cidadania e, também, a desconstrução de fundamentos das hierarquias autoritárias e da exclusão racista e classista. Estes avanços trouxeram transformações no quadro social e, por este motivo, sofreram grande resistência dos grupos hegemônicos e dos segmentos de classe conservadores. A oposição aos direitos e às condições de cidadania conquistadas por negros, indígenas e mulheres foi intensa e constante, sobretudo </w:t>
      </w:r>
      <w:r w:rsidRPr="00755E66">
        <w:rPr>
          <w:rFonts w:ascii="Arial" w:hAnsi="Arial" w:cs="Arial"/>
          <w:lang w:val="pt-BR"/>
        </w:rPr>
        <w:t>desde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2013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e,</w:t>
      </w:r>
      <w:r>
        <w:rPr>
          <w:rFonts w:ascii="Arial" w:hAnsi="Arial" w:cs="Arial"/>
          <w:lang w:val="pt-BR"/>
        </w:rPr>
        <w:t xml:space="preserve"> de forma decisiva, </w:t>
      </w:r>
      <w:r w:rsidRPr="00755E66">
        <w:rPr>
          <w:rFonts w:ascii="Arial" w:hAnsi="Arial" w:cs="Arial"/>
          <w:lang w:val="pt-BR"/>
        </w:rPr>
        <w:t>após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g</w:t>
      </w:r>
      <w:r w:rsidRPr="00755E66">
        <w:rPr>
          <w:rFonts w:ascii="Arial" w:hAnsi="Arial" w:cs="Arial"/>
          <w:lang w:val="pt-BR"/>
        </w:rPr>
        <w:t>olpe</w:t>
      </w:r>
      <w:r>
        <w:rPr>
          <w:rFonts w:ascii="Arial" w:hAnsi="Arial" w:cs="Arial"/>
          <w:lang w:val="pt-BR"/>
        </w:rPr>
        <w:t xml:space="preserve"> j</w:t>
      </w:r>
      <w:r w:rsidRPr="00755E66">
        <w:rPr>
          <w:rFonts w:ascii="Arial" w:hAnsi="Arial" w:cs="Arial"/>
          <w:lang w:val="pt-BR"/>
        </w:rPr>
        <w:t>urídico-parlamentar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2016</w:t>
      </w:r>
      <w:r>
        <w:rPr>
          <w:rFonts w:ascii="Arial" w:hAnsi="Arial" w:cs="Arial"/>
          <w:lang w:val="pt-BR"/>
        </w:rPr>
        <w:t xml:space="preserve"> contra o Governo da Presidenta Dilma </w:t>
      </w:r>
      <w:proofErr w:type="spellStart"/>
      <w:r>
        <w:rPr>
          <w:rFonts w:ascii="Arial" w:hAnsi="Arial" w:cs="Arial"/>
          <w:lang w:val="pt-BR"/>
        </w:rPr>
        <w:t>Roussef</w:t>
      </w:r>
      <w:proofErr w:type="spellEnd"/>
      <w:r>
        <w:rPr>
          <w:rFonts w:ascii="Arial" w:hAnsi="Arial" w:cs="Arial"/>
          <w:lang w:val="pt-BR"/>
        </w:rPr>
        <w:t xml:space="preserve">. Com a mudança na correlação de forças, diferentes </w:t>
      </w:r>
      <w:r w:rsidRPr="00755E66">
        <w:rPr>
          <w:rFonts w:ascii="Arial" w:hAnsi="Arial" w:cs="Arial"/>
          <w:lang w:val="pt-BR"/>
        </w:rPr>
        <w:t>organizações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reacionárias,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nesta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discussão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conceituadas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movimentos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regressivos,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encontraram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espaço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fértil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para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aturarem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no</w:t>
      </w:r>
      <w:r>
        <w:rPr>
          <w:rFonts w:ascii="Arial" w:hAnsi="Arial" w:cs="Arial"/>
          <w:lang w:val="pt-BR"/>
        </w:rPr>
        <w:t xml:space="preserve"> re</w:t>
      </w:r>
      <w:r w:rsidRPr="00755E66">
        <w:rPr>
          <w:rFonts w:ascii="Arial" w:hAnsi="Arial" w:cs="Arial"/>
          <w:lang w:val="pt-BR"/>
        </w:rPr>
        <w:t>ordenamento</w:t>
      </w:r>
      <w:r>
        <w:rPr>
          <w:rFonts w:ascii="Arial" w:hAnsi="Arial" w:cs="Arial"/>
          <w:lang w:val="pt-BR"/>
        </w:rPr>
        <w:t xml:space="preserve"> das bases </w:t>
      </w:r>
      <w:r w:rsidRPr="00755E66">
        <w:rPr>
          <w:rFonts w:ascii="Arial" w:hAnsi="Arial" w:cs="Arial"/>
          <w:lang w:val="pt-BR"/>
        </w:rPr>
        <w:t>societári</w:t>
      </w:r>
      <w:r>
        <w:rPr>
          <w:rFonts w:ascii="Arial" w:hAnsi="Arial" w:cs="Arial"/>
          <w:lang w:val="pt-BR"/>
        </w:rPr>
        <w:t xml:space="preserve">as </w:t>
      </w:r>
      <w:r w:rsidRPr="00755E66">
        <w:rPr>
          <w:rFonts w:ascii="Arial" w:hAnsi="Arial" w:cs="Arial"/>
          <w:lang w:val="pt-BR"/>
        </w:rPr>
        <w:t>excludente</w:t>
      </w:r>
      <w:r>
        <w:rPr>
          <w:rFonts w:ascii="Arial" w:hAnsi="Arial" w:cs="Arial"/>
          <w:lang w:val="pt-BR"/>
        </w:rPr>
        <w:t xml:space="preserve">s </w:t>
      </w:r>
      <w:r w:rsidRPr="00755E66">
        <w:rPr>
          <w:rFonts w:ascii="Arial" w:hAnsi="Arial" w:cs="Arial"/>
          <w:lang w:val="pt-BR"/>
        </w:rPr>
        <w:t>com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reforço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estruturas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racistas,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machistas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classistas.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movimentos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regressivos</w:t>
      </w:r>
      <w:r>
        <w:rPr>
          <w:rFonts w:ascii="Arial" w:hAnsi="Arial" w:cs="Arial"/>
          <w:lang w:val="pt-BR"/>
        </w:rPr>
        <w:t xml:space="preserve"> são aqueles que </w:t>
      </w:r>
      <w:r w:rsidRPr="009379F2">
        <w:rPr>
          <w:rFonts w:ascii="Arial" w:hAnsi="Arial" w:cs="Arial"/>
          <w:lang w:val="pt-BR"/>
        </w:rPr>
        <w:t>objetivam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reestruturar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dinâmica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capitalista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radical</w:t>
      </w:r>
      <w:r>
        <w:rPr>
          <w:rFonts w:ascii="Arial" w:hAnsi="Arial" w:cs="Arial"/>
          <w:lang w:val="pt-BR"/>
        </w:rPr>
        <w:t xml:space="preserve">mente </w:t>
      </w:r>
      <w:r w:rsidRPr="009379F2">
        <w:rPr>
          <w:rFonts w:ascii="Arial" w:hAnsi="Arial" w:cs="Arial"/>
          <w:lang w:val="pt-BR"/>
        </w:rPr>
        <w:t>segundo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lógica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neoliberalismo,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com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colocação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lastRenderedPageBreak/>
        <w:t>democracia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direitos,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todos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âmbitos,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empecilhos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serem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extirpados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para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afirmar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ótica</w:t>
      </w:r>
      <w:r>
        <w:rPr>
          <w:rFonts w:ascii="Arial" w:hAnsi="Arial" w:cs="Arial"/>
          <w:lang w:val="pt-BR"/>
        </w:rPr>
        <w:t xml:space="preserve"> dos grupos hegemônica </w:t>
      </w:r>
      <w:r w:rsidRPr="009379F2">
        <w:rPr>
          <w:rFonts w:ascii="Arial" w:hAnsi="Arial" w:cs="Arial"/>
          <w:lang w:val="pt-BR"/>
        </w:rPr>
        <w:t>d</w:t>
      </w:r>
      <w:r>
        <w:rPr>
          <w:rFonts w:ascii="Arial" w:hAnsi="Arial" w:cs="Arial"/>
          <w:lang w:val="pt-BR"/>
        </w:rPr>
        <w:t>e uma suposta v</w:t>
      </w:r>
      <w:r w:rsidRPr="009379F2">
        <w:rPr>
          <w:rFonts w:ascii="Arial" w:hAnsi="Arial" w:cs="Arial"/>
          <w:lang w:val="pt-BR"/>
        </w:rPr>
        <w:t>erdadeira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superior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Ordem</w:t>
      </w:r>
      <w:r>
        <w:rPr>
          <w:rFonts w:ascii="Arial" w:hAnsi="Arial" w:cs="Arial"/>
          <w:lang w:val="pt-BR"/>
        </w:rPr>
        <w:t xml:space="preserve"> </w:t>
      </w:r>
      <w:r w:rsidRPr="009379F2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(MARTINS, 2018)</w:t>
      </w:r>
      <w:r w:rsidRPr="009379F2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</w:p>
    <w:p w14:paraId="38D24D8C" w14:textId="4A9A2FB7" w:rsidR="0029101D" w:rsidRPr="0089181C" w:rsidRDefault="0029101D" w:rsidP="00E714CE">
      <w:pPr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Focamos em um dos eixos de ação das </w:t>
      </w:r>
      <w:r w:rsidRPr="00755E66">
        <w:rPr>
          <w:rFonts w:ascii="Arial" w:hAnsi="Arial" w:cs="Arial"/>
          <w:lang w:val="pt-BR"/>
        </w:rPr>
        <w:t>estratégias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setores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reacionários</w:t>
      </w:r>
      <w:r>
        <w:rPr>
          <w:rFonts w:ascii="Arial" w:hAnsi="Arial" w:cs="Arial"/>
          <w:lang w:val="pt-BR"/>
        </w:rPr>
        <w:t xml:space="preserve">, orientada pela </w:t>
      </w:r>
      <w:r w:rsidRPr="00755E66">
        <w:rPr>
          <w:rFonts w:ascii="Arial" w:hAnsi="Arial" w:cs="Arial"/>
          <w:lang w:val="pt-BR"/>
        </w:rPr>
        <w:t>difusão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práticas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discursivas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eivadas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estigmas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estereótipos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fim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desqualificar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invisibilizar,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educadores/as,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instituições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educacionais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pesquisa,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movimentos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outras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instituições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envolvidas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promoção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cidadania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negros,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indígenas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outros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segmentos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deste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contexto</w:t>
      </w:r>
      <w:r>
        <w:rPr>
          <w:rFonts w:ascii="Arial" w:hAnsi="Arial" w:cs="Arial"/>
          <w:lang w:val="pt-BR"/>
        </w:rPr>
        <w:t xml:space="preserve"> </w:t>
      </w:r>
      <w:r w:rsidRPr="00755E66">
        <w:rPr>
          <w:rFonts w:ascii="Arial" w:hAnsi="Arial" w:cs="Arial"/>
          <w:lang w:val="pt-BR"/>
        </w:rPr>
        <w:t>nacional.</w:t>
      </w:r>
      <w:r>
        <w:rPr>
          <w:rFonts w:ascii="Arial" w:hAnsi="Arial" w:cs="Arial"/>
          <w:lang w:val="pt-BR"/>
        </w:rPr>
        <w:t xml:space="preserve"> São eleitos </w:t>
      </w:r>
      <w:r w:rsidRPr="0089181C">
        <w:rPr>
          <w:rFonts w:ascii="Arial" w:hAnsi="Arial" w:cs="Arial"/>
          <w:lang w:val="pt-BR"/>
        </w:rPr>
        <w:t>bodes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expiatórios</w:t>
      </w:r>
      <w:r>
        <w:rPr>
          <w:rFonts w:ascii="Arial" w:hAnsi="Arial" w:cs="Arial"/>
          <w:lang w:val="pt-BR"/>
        </w:rPr>
        <w:t xml:space="preserve"> com a </w:t>
      </w:r>
      <w:r w:rsidRPr="0089181C">
        <w:rPr>
          <w:rFonts w:ascii="Arial" w:hAnsi="Arial" w:cs="Arial"/>
          <w:lang w:val="pt-BR"/>
        </w:rPr>
        <w:t>demonização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grupos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que </w:t>
      </w:r>
      <w:r w:rsidRPr="0089181C">
        <w:rPr>
          <w:rFonts w:ascii="Arial" w:hAnsi="Arial" w:cs="Arial"/>
          <w:lang w:val="pt-BR"/>
        </w:rPr>
        <w:t>funcionam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elementos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amainar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frustrações,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ódios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medos</w:t>
      </w:r>
      <w:r>
        <w:rPr>
          <w:rFonts w:ascii="Arial" w:hAnsi="Arial" w:cs="Arial"/>
          <w:lang w:val="pt-BR"/>
        </w:rPr>
        <w:t xml:space="preserve">. Processo de redução de </w:t>
      </w:r>
      <w:r w:rsidRPr="0089181C">
        <w:rPr>
          <w:rFonts w:ascii="Arial" w:hAnsi="Arial" w:cs="Arial"/>
          <w:lang w:val="pt-BR"/>
        </w:rPr>
        <w:t>todos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problemas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um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ou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poucos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denominadores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comuns,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produzindo</w:t>
      </w:r>
      <w:r>
        <w:rPr>
          <w:rFonts w:ascii="Arial" w:hAnsi="Arial" w:cs="Arial"/>
          <w:lang w:val="pt-BR"/>
        </w:rPr>
        <w:t xml:space="preserve"> uma </w:t>
      </w:r>
      <w:r w:rsidRPr="0089181C">
        <w:rPr>
          <w:rFonts w:ascii="Arial" w:hAnsi="Arial" w:cs="Arial"/>
          <w:lang w:val="pt-BR"/>
        </w:rPr>
        <w:t>inteligibilidade</w:t>
      </w:r>
      <w:r>
        <w:rPr>
          <w:rFonts w:ascii="Arial" w:hAnsi="Arial" w:cs="Arial"/>
          <w:lang w:val="pt-BR"/>
        </w:rPr>
        <w:t xml:space="preserve"> com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determinação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combate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eliminação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chamado </w:t>
      </w:r>
      <w:r w:rsidRPr="0089181C">
        <w:rPr>
          <w:rFonts w:ascii="Arial" w:hAnsi="Arial" w:cs="Arial"/>
          <w:lang w:val="pt-BR"/>
        </w:rPr>
        <w:t>mal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(MESSEMBERG</w:t>
      </w:r>
      <w:r>
        <w:rPr>
          <w:rFonts w:ascii="Arial" w:hAnsi="Arial" w:cs="Arial"/>
          <w:lang w:val="pt-BR"/>
        </w:rPr>
        <w:t>, 2017</w:t>
      </w:r>
      <w:r w:rsidRPr="0089181C">
        <w:rPr>
          <w:rFonts w:ascii="Arial" w:hAnsi="Arial" w:cs="Arial"/>
          <w:lang w:val="pt-BR"/>
        </w:rPr>
        <w:t>).</w:t>
      </w:r>
    </w:p>
    <w:p w14:paraId="33AC9040" w14:textId="615DCBBB" w:rsidR="0029101D" w:rsidRPr="0089181C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Esta lógica maniqueísta e binária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autoritarismo</w:t>
      </w:r>
      <w:r>
        <w:rPr>
          <w:rFonts w:ascii="Arial" w:hAnsi="Arial" w:cs="Arial"/>
          <w:lang w:val="pt-BR"/>
        </w:rPr>
        <w:t xml:space="preserve"> é </w:t>
      </w:r>
      <w:r w:rsidRPr="0089181C">
        <w:rPr>
          <w:rFonts w:ascii="Arial" w:hAnsi="Arial" w:cs="Arial"/>
          <w:lang w:val="pt-BR"/>
        </w:rPr>
        <w:t>definid</w:t>
      </w:r>
      <w:r>
        <w:rPr>
          <w:rFonts w:ascii="Arial" w:hAnsi="Arial" w:cs="Arial"/>
          <w:lang w:val="pt-BR"/>
        </w:rPr>
        <w:t xml:space="preserve">a </w:t>
      </w:r>
      <w:r w:rsidRPr="0089181C">
        <w:rPr>
          <w:rFonts w:ascii="Arial" w:hAnsi="Arial" w:cs="Arial"/>
          <w:lang w:val="pt-BR"/>
        </w:rPr>
        <w:t>pela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autora</w:t>
      </w:r>
      <w:r>
        <w:rPr>
          <w:rFonts w:ascii="Arial" w:hAnsi="Arial" w:cs="Arial"/>
          <w:lang w:val="pt-BR"/>
        </w:rPr>
        <w:t xml:space="preserve"> sob diferentes sentidos: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mito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complô,</w:t>
      </w:r>
      <w:r>
        <w:rPr>
          <w:rFonts w:ascii="Arial" w:hAnsi="Arial" w:cs="Arial"/>
          <w:lang w:val="pt-BR"/>
        </w:rPr>
        <w:t xml:space="preserve"> o </w:t>
      </w:r>
      <w:r w:rsidRPr="0089181C">
        <w:rPr>
          <w:rFonts w:ascii="Arial" w:hAnsi="Arial" w:cs="Arial"/>
          <w:lang w:val="pt-BR"/>
        </w:rPr>
        <w:t>moralismo,</w:t>
      </w:r>
      <w:r>
        <w:rPr>
          <w:rFonts w:ascii="Arial" w:hAnsi="Arial" w:cs="Arial"/>
          <w:lang w:val="pt-BR"/>
        </w:rPr>
        <w:t xml:space="preserve"> o </w:t>
      </w:r>
      <w:r w:rsidRPr="0089181C">
        <w:rPr>
          <w:rFonts w:ascii="Arial" w:hAnsi="Arial" w:cs="Arial"/>
          <w:lang w:val="pt-BR"/>
        </w:rPr>
        <w:t>medo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outros</w:t>
      </w:r>
      <w:r>
        <w:rPr>
          <w:rFonts w:ascii="Arial" w:hAnsi="Arial" w:cs="Arial"/>
          <w:lang w:val="pt-BR"/>
        </w:rPr>
        <w:t xml:space="preserve"> princípios que orientam o neofascismo presente nas atuações movimentos regressivos</w:t>
      </w:r>
      <w:r w:rsidRPr="0089181C">
        <w:rPr>
          <w:rStyle w:val="Refdenotaderodap"/>
          <w:rFonts w:ascii="Arial" w:hAnsi="Arial" w:cs="Arial"/>
          <w:lang w:val="pt-BR"/>
        </w:rPr>
        <w:footnoteReference w:id="12"/>
      </w:r>
      <w:r w:rsidRPr="0089181C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A produção de representações fundadas no medo, no ódio e no moralismo demarcam mais radicalmente os inimigos, os </w:t>
      </w:r>
      <w:r w:rsidRPr="0089181C">
        <w:rPr>
          <w:rFonts w:ascii="Arial" w:hAnsi="Arial" w:cs="Arial"/>
          <w:lang w:val="pt-BR"/>
        </w:rPr>
        <w:t>maus</w:t>
      </w:r>
      <w:r>
        <w:rPr>
          <w:rFonts w:ascii="Arial" w:hAnsi="Arial" w:cs="Arial"/>
          <w:lang w:val="pt-BR"/>
        </w:rPr>
        <w:t xml:space="preserve"> e,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forma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concomitante</w:t>
      </w:r>
      <w:r>
        <w:rPr>
          <w:rFonts w:ascii="Arial" w:hAnsi="Arial" w:cs="Arial"/>
          <w:lang w:val="pt-BR"/>
        </w:rPr>
        <w:t xml:space="preserve">, gera uma forma de </w:t>
      </w:r>
      <w:r w:rsidRPr="0089181C">
        <w:rPr>
          <w:rFonts w:ascii="Arial" w:hAnsi="Arial" w:cs="Arial"/>
          <w:lang w:val="pt-BR"/>
        </w:rPr>
        <w:t>inteligibilidade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problemas,</w:t>
      </w:r>
      <w:r>
        <w:rPr>
          <w:rFonts w:ascii="Arial" w:hAnsi="Arial" w:cs="Arial"/>
          <w:lang w:val="pt-BR"/>
        </w:rPr>
        <w:t xml:space="preserve"> de </w:t>
      </w:r>
      <w:r w:rsidRPr="0089181C">
        <w:rPr>
          <w:rFonts w:ascii="Arial" w:hAnsi="Arial" w:cs="Arial"/>
          <w:lang w:val="pt-BR"/>
        </w:rPr>
        <w:t>alívio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frustrações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reforço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identidades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normalizadas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oposição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grupos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definidos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diferentes</w:t>
      </w:r>
      <w:r>
        <w:rPr>
          <w:rFonts w:ascii="Arial" w:hAnsi="Arial" w:cs="Arial"/>
          <w:lang w:val="pt-BR"/>
        </w:rPr>
        <w:t xml:space="preserve"> pertencentes a</w:t>
      </w:r>
      <w:r w:rsidRPr="0089181C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campo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estranhos,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anormais,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perigosos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inimigos.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fundamentos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narrativa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mítica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complô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uma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ideias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orientadoras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setores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autoritários.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Efetivamente,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formas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pensamento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discursos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disseminam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estereótipos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estigmas.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narrativa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mítica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produz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um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hiato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entre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substrato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histórico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lastRenderedPageBreak/>
        <w:t>processos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3003F0">
        <w:rPr>
          <w:rFonts w:ascii="Arial" w:hAnsi="Arial" w:cs="Arial"/>
          <w:lang w:val="pt-BR"/>
        </w:rPr>
        <w:t>interpretação</w:t>
      </w:r>
      <w:r w:rsidRPr="0089181C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leitura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mítica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–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estereotipada</w:t>
      </w:r>
      <w:r>
        <w:rPr>
          <w:rFonts w:ascii="Arial" w:hAnsi="Arial" w:cs="Arial"/>
          <w:lang w:val="pt-BR"/>
        </w:rPr>
        <w:t xml:space="preserve"> (M</w:t>
      </w:r>
      <w:r w:rsidRPr="003003F0">
        <w:rPr>
          <w:rFonts w:ascii="Arial" w:hAnsi="Arial" w:cs="Arial"/>
          <w:lang w:val="pt-BR"/>
        </w:rPr>
        <w:t>ESSEMBERGER</w:t>
      </w:r>
      <w:r>
        <w:rPr>
          <w:rFonts w:ascii="Arial" w:hAnsi="Arial" w:cs="Arial"/>
          <w:lang w:val="pt-BR"/>
        </w:rPr>
        <w:t>, 2017, p. 635)</w:t>
      </w:r>
      <w:r w:rsidRPr="0089181C">
        <w:rPr>
          <w:rFonts w:ascii="Arial" w:hAnsi="Arial" w:cs="Arial"/>
          <w:lang w:val="pt-BR"/>
        </w:rPr>
        <w:t>.</w:t>
      </w:r>
    </w:p>
    <w:p w14:paraId="660A2AF1" w14:textId="1D85C06F" w:rsidR="0029101D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narrativas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orientam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práticas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discursivas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autoritárias,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suprimem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cronologias</w:t>
      </w:r>
      <w:r>
        <w:rPr>
          <w:rFonts w:ascii="Arial" w:hAnsi="Arial" w:cs="Arial"/>
          <w:lang w:val="pt-BR"/>
        </w:rPr>
        <w:t xml:space="preserve">. Assim,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tempos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fatos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substituídos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verdades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absolutas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constituídas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fatos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genéricos</w:t>
      </w:r>
      <w:r>
        <w:rPr>
          <w:rFonts w:ascii="Arial" w:hAnsi="Arial" w:cs="Arial"/>
          <w:lang w:val="pt-BR"/>
        </w:rPr>
        <w:t xml:space="preserve"> </w:t>
      </w:r>
      <w:proofErr w:type="spellStart"/>
      <w:r w:rsidRPr="0089181C">
        <w:rPr>
          <w:rFonts w:ascii="Arial" w:hAnsi="Arial" w:cs="Arial"/>
          <w:lang w:val="pt-BR"/>
        </w:rPr>
        <w:t>essencializados</w:t>
      </w:r>
      <w:proofErr w:type="spellEnd"/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únicos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absolutos,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úteis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operação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expulsar/recalcar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particularidades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múltiplos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fatos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constituem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conjunturas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históricas.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forma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constroem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estereótipos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sustentam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fronteiras.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Assim,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sob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lógica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maniqueísta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estereótipos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proofErr w:type="spellStart"/>
      <w:r w:rsidRPr="0089181C">
        <w:rPr>
          <w:rFonts w:ascii="Arial" w:hAnsi="Arial" w:cs="Arial"/>
          <w:lang w:val="pt-BR"/>
        </w:rPr>
        <w:t>essencializadas</w:t>
      </w:r>
      <w:proofErr w:type="spellEnd"/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enquanto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fatores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hierárquicos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definidores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campos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opostos.</w:t>
      </w:r>
      <w:r>
        <w:rPr>
          <w:rFonts w:ascii="Arial" w:hAnsi="Arial" w:cs="Arial"/>
          <w:lang w:val="pt-BR"/>
        </w:rPr>
        <w:t xml:space="preserve"> </w:t>
      </w:r>
    </w:p>
    <w:p w14:paraId="2F7704C7" w14:textId="4A426425" w:rsidR="0029101D" w:rsidRPr="0089181C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Nestas condições são firmados dois campos. O </w:t>
      </w:r>
      <w:r w:rsidRPr="0089181C">
        <w:rPr>
          <w:rFonts w:ascii="Arial" w:hAnsi="Arial" w:cs="Arial"/>
          <w:lang w:val="pt-BR"/>
        </w:rPr>
        <w:t>campo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grupos,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classes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segmentos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classe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coincidentes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valores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práticas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hegemonizadas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padrão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universal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campo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sujeitos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cujas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características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fenotípicas,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valores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formas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socioculturais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políticas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por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serem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distintas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padrão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hegemônico</w:t>
      </w:r>
      <w:r>
        <w:rPr>
          <w:rFonts w:ascii="Arial" w:hAnsi="Arial" w:cs="Arial"/>
          <w:lang w:val="pt-BR"/>
        </w:rPr>
        <w:t>, ocupam o universo dos inimigos sociais, d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outros.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Estes</w:t>
      </w:r>
      <w:r>
        <w:rPr>
          <w:rFonts w:ascii="Arial" w:hAnsi="Arial" w:cs="Arial"/>
          <w:lang w:val="pt-BR"/>
        </w:rPr>
        <w:t xml:space="preserve"> outros, </w:t>
      </w:r>
      <w:r w:rsidRPr="0089181C">
        <w:rPr>
          <w:rFonts w:ascii="Arial" w:hAnsi="Arial" w:cs="Arial"/>
          <w:lang w:val="pt-BR"/>
        </w:rPr>
        <w:t>percebidos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base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juízos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valor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concepções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fundadas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um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olhar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preconceituoso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discrimina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inimigos,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enquanto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segmentos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grupos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perigosos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serem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anulados:</w:t>
      </w:r>
    </w:p>
    <w:p w14:paraId="195BCBCB" w14:textId="77777777" w:rsidR="0029101D" w:rsidRDefault="0029101D" w:rsidP="00F00B00">
      <w:pPr>
        <w:pStyle w:val="CITA"/>
      </w:pPr>
    </w:p>
    <w:p w14:paraId="6E1BC30A" w14:textId="56E813E1" w:rsidR="0029101D" w:rsidRPr="00E57873" w:rsidRDefault="0029101D" w:rsidP="00F00B00">
      <w:pPr>
        <w:pStyle w:val="CITA"/>
      </w:pPr>
      <w:r w:rsidRPr="00E57873">
        <w:t>Os</w:t>
      </w:r>
      <w:r>
        <w:t xml:space="preserve"> </w:t>
      </w:r>
      <w:r w:rsidRPr="00E57873">
        <w:t>supostos</w:t>
      </w:r>
      <w:r>
        <w:t xml:space="preserve"> </w:t>
      </w:r>
      <w:r w:rsidRPr="00E57873">
        <w:t>inimigos</w:t>
      </w:r>
      <w:r>
        <w:t xml:space="preserve"> </w:t>
      </w:r>
      <w:r w:rsidRPr="00E57873">
        <w:t>podem</w:t>
      </w:r>
      <w:r>
        <w:t xml:space="preserve"> </w:t>
      </w:r>
      <w:r w:rsidRPr="00E57873">
        <w:t>ser</w:t>
      </w:r>
      <w:r>
        <w:t xml:space="preserve"> </w:t>
      </w:r>
      <w:r w:rsidRPr="00E57873">
        <w:t>desde</w:t>
      </w:r>
      <w:r>
        <w:t xml:space="preserve"> </w:t>
      </w:r>
      <w:r w:rsidRPr="00E57873">
        <w:t>organizações,</w:t>
      </w:r>
      <w:r>
        <w:t xml:space="preserve"> </w:t>
      </w:r>
      <w:r w:rsidRPr="00E57873">
        <w:t>partidos,</w:t>
      </w:r>
      <w:r>
        <w:t xml:space="preserve"> </w:t>
      </w:r>
      <w:r w:rsidRPr="00E57873">
        <w:t>a</w:t>
      </w:r>
      <w:r>
        <w:t xml:space="preserve"> </w:t>
      </w:r>
      <w:r w:rsidRPr="00E57873">
        <w:t>grupos</w:t>
      </w:r>
      <w:r>
        <w:t xml:space="preserve"> </w:t>
      </w:r>
      <w:r w:rsidRPr="00E57873">
        <w:t>específicos:</w:t>
      </w:r>
      <w:r>
        <w:t xml:space="preserve"> </w:t>
      </w:r>
      <w:r w:rsidRPr="00E57873">
        <w:t>os</w:t>
      </w:r>
      <w:r>
        <w:t xml:space="preserve"> </w:t>
      </w:r>
      <w:r w:rsidRPr="00E57873">
        <w:t>comunistas,</w:t>
      </w:r>
      <w:r>
        <w:t xml:space="preserve"> </w:t>
      </w:r>
      <w:r w:rsidRPr="00E57873">
        <w:t>os</w:t>
      </w:r>
      <w:r>
        <w:t xml:space="preserve"> </w:t>
      </w:r>
      <w:r w:rsidRPr="00E57873">
        <w:t>negros,</w:t>
      </w:r>
      <w:r>
        <w:t xml:space="preserve"> </w:t>
      </w:r>
      <w:r w:rsidRPr="00E57873">
        <w:t>os</w:t>
      </w:r>
      <w:r>
        <w:t xml:space="preserve"> </w:t>
      </w:r>
      <w:r w:rsidRPr="00E57873">
        <w:t>gays,</w:t>
      </w:r>
      <w:r>
        <w:t xml:space="preserve"> </w:t>
      </w:r>
      <w:r w:rsidRPr="00E57873">
        <w:t>as</w:t>
      </w:r>
      <w:r>
        <w:t xml:space="preserve"> </w:t>
      </w:r>
      <w:r w:rsidRPr="00E57873">
        <w:t>feministas</w:t>
      </w:r>
      <w:r>
        <w:t xml:space="preserve"> </w:t>
      </w:r>
      <w:r w:rsidRPr="00E57873">
        <w:t>e</w:t>
      </w:r>
      <w:r>
        <w:t xml:space="preserve"> </w:t>
      </w:r>
      <w:r w:rsidRPr="00E57873">
        <w:t>todos</w:t>
      </w:r>
      <w:r>
        <w:t xml:space="preserve"> </w:t>
      </w:r>
      <w:r w:rsidRPr="00E57873">
        <w:t>aqueles</w:t>
      </w:r>
      <w:r>
        <w:t xml:space="preserve"> </w:t>
      </w:r>
      <w:r w:rsidRPr="00E57873">
        <w:t>que</w:t>
      </w:r>
      <w:r>
        <w:t xml:space="preserve"> </w:t>
      </w:r>
      <w:r w:rsidRPr="00E57873">
        <w:t>não</w:t>
      </w:r>
      <w:r>
        <w:t xml:space="preserve"> </w:t>
      </w:r>
      <w:r w:rsidRPr="00E57873">
        <w:t>compartilham</w:t>
      </w:r>
      <w:r>
        <w:t xml:space="preserve"> </w:t>
      </w:r>
      <w:r w:rsidRPr="00E57873">
        <w:t>de</w:t>
      </w:r>
      <w:r>
        <w:t xml:space="preserve"> </w:t>
      </w:r>
      <w:r w:rsidRPr="00E57873">
        <w:t>seu</w:t>
      </w:r>
      <w:r>
        <w:t xml:space="preserve"> </w:t>
      </w:r>
      <w:r w:rsidRPr="00E57873">
        <w:t>universo</w:t>
      </w:r>
      <w:r>
        <w:t xml:space="preserve"> </w:t>
      </w:r>
      <w:r w:rsidRPr="00E57873">
        <w:t>mental.</w:t>
      </w:r>
      <w:r>
        <w:t xml:space="preserve"> </w:t>
      </w:r>
      <w:r w:rsidRPr="00E57873">
        <w:t>Sua</w:t>
      </w:r>
      <w:r>
        <w:t xml:space="preserve"> </w:t>
      </w:r>
      <w:r w:rsidRPr="00E57873">
        <w:t>visão</w:t>
      </w:r>
      <w:r>
        <w:t xml:space="preserve"> </w:t>
      </w:r>
      <w:r w:rsidRPr="00E57873">
        <w:t>de</w:t>
      </w:r>
      <w:r>
        <w:t xml:space="preserve"> </w:t>
      </w:r>
      <w:r w:rsidRPr="00E57873">
        <w:t>mundo</w:t>
      </w:r>
      <w:r>
        <w:t xml:space="preserve"> </w:t>
      </w:r>
      <w:r w:rsidRPr="00E57873">
        <w:t>é</w:t>
      </w:r>
      <w:r>
        <w:t xml:space="preserve"> </w:t>
      </w:r>
      <w:r w:rsidRPr="00E57873">
        <w:t>maniqueísta</w:t>
      </w:r>
      <w:r>
        <w:t xml:space="preserve"> </w:t>
      </w:r>
      <w:r w:rsidRPr="00E57873">
        <w:t>e</w:t>
      </w:r>
      <w:r>
        <w:t xml:space="preserve"> </w:t>
      </w:r>
      <w:r w:rsidRPr="00E57873">
        <w:t>encontra-se</w:t>
      </w:r>
      <w:r>
        <w:t xml:space="preserve"> </w:t>
      </w:r>
      <w:r w:rsidRPr="00E57873">
        <w:t>dividida</w:t>
      </w:r>
      <w:r>
        <w:t xml:space="preserve"> </w:t>
      </w:r>
      <w:r w:rsidRPr="00E57873">
        <w:t>entre</w:t>
      </w:r>
      <w:r>
        <w:t xml:space="preserve"> </w:t>
      </w:r>
      <w:r w:rsidRPr="00E57873">
        <w:t>os</w:t>
      </w:r>
      <w:r>
        <w:t xml:space="preserve"> </w:t>
      </w:r>
      <w:r w:rsidRPr="00E57873">
        <w:t>que</w:t>
      </w:r>
      <w:r>
        <w:t xml:space="preserve"> </w:t>
      </w:r>
      <w:r w:rsidRPr="00E57873">
        <w:t>representam</w:t>
      </w:r>
      <w:r>
        <w:t xml:space="preserve"> ‘</w:t>
      </w:r>
      <w:r w:rsidRPr="00E57873">
        <w:t>o</w:t>
      </w:r>
      <w:r>
        <w:t xml:space="preserve"> </w:t>
      </w:r>
      <w:r w:rsidRPr="00E57873">
        <w:t>Bem</w:t>
      </w:r>
      <w:r>
        <w:t xml:space="preserve">’ </w:t>
      </w:r>
      <w:r w:rsidRPr="00E57873">
        <w:t>e</w:t>
      </w:r>
      <w:r>
        <w:t xml:space="preserve"> </w:t>
      </w:r>
      <w:r w:rsidRPr="00E57873">
        <w:t>os</w:t>
      </w:r>
      <w:r>
        <w:t xml:space="preserve"> </w:t>
      </w:r>
      <w:r w:rsidRPr="00E57873">
        <w:t>que</w:t>
      </w:r>
      <w:r>
        <w:t xml:space="preserve"> </w:t>
      </w:r>
      <w:r w:rsidRPr="00E57873">
        <w:t>representam</w:t>
      </w:r>
      <w:r>
        <w:t xml:space="preserve"> ‘</w:t>
      </w:r>
      <w:r w:rsidRPr="00E57873">
        <w:t>o</w:t>
      </w:r>
      <w:r>
        <w:t xml:space="preserve"> </w:t>
      </w:r>
      <w:r w:rsidRPr="00E57873">
        <w:t>Mal</w:t>
      </w:r>
      <w:r>
        <w:t>’</w:t>
      </w:r>
      <w:r w:rsidRPr="00E57873">
        <w:t>.</w:t>
      </w:r>
      <w:r>
        <w:t xml:space="preserve"> </w:t>
      </w:r>
      <w:r w:rsidRPr="00E57873">
        <w:t>Essa</w:t>
      </w:r>
      <w:r>
        <w:t xml:space="preserve"> </w:t>
      </w:r>
      <w:r w:rsidRPr="00E57873">
        <w:t>é,</w:t>
      </w:r>
      <w:r>
        <w:t xml:space="preserve"> </w:t>
      </w:r>
      <w:r w:rsidRPr="00E57873">
        <w:t>portanto,</w:t>
      </w:r>
      <w:r>
        <w:t xml:space="preserve"> </w:t>
      </w:r>
      <w:r w:rsidRPr="00E57873">
        <w:t>uma</w:t>
      </w:r>
      <w:r>
        <w:t xml:space="preserve"> </w:t>
      </w:r>
      <w:r w:rsidRPr="00E57873">
        <w:t>interpretação</w:t>
      </w:r>
      <w:r>
        <w:t xml:space="preserve"> ‘</w:t>
      </w:r>
      <w:r w:rsidRPr="00E57873">
        <w:t>despolitizada</w:t>
      </w:r>
      <w:r>
        <w:t xml:space="preserve">’ </w:t>
      </w:r>
      <w:r w:rsidRPr="00E57873">
        <w:t>da</w:t>
      </w:r>
      <w:r>
        <w:t xml:space="preserve"> </w:t>
      </w:r>
      <w:r w:rsidRPr="00E57873">
        <w:t>realidade,</w:t>
      </w:r>
      <w:r>
        <w:t xml:space="preserve"> </w:t>
      </w:r>
      <w:r w:rsidRPr="00E57873">
        <w:t>na</w:t>
      </w:r>
      <w:r>
        <w:t xml:space="preserve"> </w:t>
      </w:r>
      <w:r w:rsidRPr="00E57873">
        <w:t>medida</w:t>
      </w:r>
      <w:r>
        <w:t xml:space="preserve"> </w:t>
      </w:r>
      <w:r w:rsidRPr="00E57873">
        <w:t>em</w:t>
      </w:r>
      <w:r>
        <w:t xml:space="preserve"> </w:t>
      </w:r>
      <w:r w:rsidRPr="00E57873">
        <w:t>que</w:t>
      </w:r>
      <w:r>
        <w:t xml:space="preserve"> </w:t>
      </w:r>
      <w:r w:rsidRPr="00E57873">
        <w:t>opera</w:t>
      </w:r>
      <w:r>
        <w:t xml:space="preserve"> </w:t>
      </w:r>
      <w:r w:rsidRPr="00E57873">
        <w:t>o</w:t>
      </w:r>
      <w:r>
        <w:t xml:space="preserve"> </w:t>
      </w:r>
      <w:r w:rsidRPr="00E57873">
        <w:t>deslocamento</w:t>
      </w:r>
      <w:r>
        <w:t xml:space="preserve"> </w:t>
      </w:r>
      <w:r w:rsidRPr="00E57873">
        <w:t>para</w:t>
      </w:r>
      <w:r>
        <w:t xml:space="preserve"> </w:t>
      </w:r>
      <w:r w:rsidRPr="00E57873">
        <w:t>o</w:t>
      </w:r>
      <w:r>
        <w:t xml:space="preserve"> </w:t>
      </w:r>
      <w:r w:rsidRPr="00E57873">
        <w:t>plano</w:t>
      </w:r>
      <w:r>
        <w:t xml:space="preserve"> </w:t>
      </w:r>
      <w:r w:rsidRPr="00E57873">
        <w:t>moral</w:t>
      </w:r>
      <w:r>
        <w:t xml:space="preserve"> </w:t>
      </w:r>
      <w:r w:rsidRPr="00E57873">
        <w:t>daquilo</w:t>
      </w:r>
      <w:r>
        <w:t xml:space="preserve"> </w:t>
      </w:r>
      <w:r w:rsidRPr="00E57873">
        <w:t>que</w:t>
      </w:r>
      <w:r>
        <w:t xml:space="preserve"> </w:t>
      </w:r>
      <w:r w:rsidRPr="00E57873">
        <w:t>é</w:t>
      </w:r>
      <w:r>
        <w:t xml:space="preserve"> </w:t>
      </w:r>
      <w:r w:rsidRPr="00E57873">
        <w:t>produto</w:t>
      </w:r>
      <w:r>
        <w:t xml:space="preserve"> </w:t>
      </w:r>
      <w:r w:rsidRPr="00E57873">
        <w:t>da</w:t>
      </w:r>
      <w:r>
        <w:t xml:space="preserve"> </w:t>
      </w:r>
      <w:r w:rsidRPr="00E57873">
        <w:t>ação</w:t>
      </w:r>
      <w:r>
        <w:t xml:space="preserve"> </w:t>
      </w:r>
      <w:r w:rsidRPr="00E57873">
        <w:t>humana</w:t>
      </w:r>
      <w:r>
        <w:t xml:space="preserve"> </w:t>
      </w:r>
      <w:r w:rsidRPr="00E57873">
        <w:t>e</w:t>
      </w:r>
      <w:r>
        <w:t xml:space="preserve"> </w:t>
      </w:r>
      <w:r w:rsidRPr="00E57873">
        <w:t>não</w:t>
      </w:r>
      <w:r>
        <w:t xml:space="preserve"> </w:t>
      </w:r>
      <w:r w:rsidRPr="00E57873">
        <w:t>da</w:t>
      </w:r>
      <w:r>
        <w:t xml:space="preserve"> </w:t>
      </w:r>
      <w:r w:rsidRPr="00E57873">
        <w:t>ordem</w:t>
      </w:r>
      <w:r>
        <w:t xml:space="preserve"> </w:t>
      </w:r>
      <w:r w:rsidRPr="00E57873">
        <w:t>da</w:t>
      </w:r>
      <w:r>
        <w:t xml:space="preserve"> </w:t>
      </w:r>
      <w:r w:rsidRPr="00E57873">
        <w:t>natureza.</w:t>
      </w:r>
      <w:r>
        <w:t xml:space="preserve"> </w:t>
      </w:r>
      <w:r w:rsidRPr="00E57873">
        <w:t>Tende,</w:t>
      </w:r>
      <w:r>
        <w:t xml:space="preserve"> </w:t>
      </w:r>
      <w:r w:rsidRPr="00E57873">
        <w:t>por</w:t>
      </w:r>
      <w:r>
        <w:t xml:space="preserve"> </w:t>
      </w:r>
      <w:r w:rsidRPr="00E57873">
        <w:t>isso,</w:t>
      </w:r>
      <w:r>
        <w:t xml:space="preserve"> </w:t>
      </w:r>
      <w:r w:rsidRPr="00E57873">
        <w:t>a</w:t>
      </w:r>
      <w:r>
        <w:t xml:space="preserve"> </w:t>
      </w:r>
      <w:r w:rsidRPr="00E57873">
        <w:t>desconectar</w:t>
      </w:r>
      <w:r>
        <w:t xml:space="preserve"> </w:t>
      </w:r>
      <w:r w:rsidRPr="00E57873">
        <w:t>as</w:t>
      </w:r>
      <w:r>
        <w:t xml:space="preserve"> </w:t>
      </w:r>
      <w:r w:rsidRPr="00E57873">
        <w:t>falas</w:t>
      </w:r>
      <w:r>
        <w:t xml:space="preserve"> </w:t>
      </w:r>
      <w:r w:rsidRPr="00E57873">
        <w:t>do</w:t>
      </w:r>
      <w:r>
        <w:t xml:space="preserve"> </w:t>
      </w:r>
      <w:r w:rsidRPr="00E57873">
        <w:t>movimento</w:t>
      </w:r>
      <w:r>
        <w:t xml:space="preserve"> </w:t>
      </w:r>
      <w:r w:rsidRPr="00E57873">
        <w:t>histórico</w:t>
      </w:r>
      <w:r>
        <w:t xml:space="preserve"> </w:t>
      </w:r>
      <w:r w:rsidRPr="00E57873">
        <w:t>no</w:t>
      </w:r>
      <w:r>
        <w:t xml:space="preserve"> </w:t>
      </w:r>
      <w:r w:rsidRPr="00E57873">
        <w:t>qual</w:t>
      </w:r>
      <w:r>
        <w:t xml:space="preserve"> </w:t>
      </w:r>
      <w:r w:rsidRPr="00E57873">
        <w:t>se</w:t>
      </w:r>
      <w:r>
        <w:t xml:space="preserve"> </w:t>
      </w:r>
      <w:r w:rsidRPr="00E57873">
        <w:t>originam</w:t>
      </w:r>
      <w:r>
        <w:t xml:space="preserve"> </w:t>
      </w:r>
      <w:r w:rsidRPr="00E57873">
        <w:t>(MESSEMBERG,</w:t>
      </w:r>
      <w:r>
        <w:t xml:space="preserve"> </w:t>
      </w:r>
      <w:r w:rsidRPr="00E57873">
        <w:t>2017,</w:t>
      </w:r>
      <w:r>
        <w:t xml:space="preserve"> </w:t>
      </w:r>
      <w:r w:rsidRPr="00E57873">
        <w:t>p.</w:t>
      </w:r>
      <w:r>
        <w:t xml:space="preserve"> </w:t>
      </w:r>
      <w:r w:rsidRPr="00E57873">
        <w:t>637).</w:t>
      </w:r>
      <w:r>
        <w:t xml:space="preserve"> </w:t>
      </w:r>
    </w:p>
    <w:p w14:paraId="3A1637AA" w14:textId="77777777" w:rsidR="0029101D" w:rsidRPr="0089181C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1A9E8991" w14:textId="485DAD2D" w:rsidR="0029101D" w:rsidRPr="0089181C" w:rsidRDefault="0029101D" w:rsidP="00F156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lang w:val="pt-BR"/>
        </w:rPr>
      </w:pPr>
      <w:r w:rsidRPr="0089181C">
        <w:rPr>
          <w:rFonts w:ascii="Arial" w:hAnsi="Arial" w:cs="Arial"/>
          <w:lang w:val="pt-BR"/>
        </w:rPr>
        <w:t>Estes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artifícios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discursivos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compõem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dinâmicas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autoritárias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relativas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transformação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negatividade: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enquanto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perigo,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crime,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doença,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lastRenderedPageBreak/>
        <w:t>imoralidade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outras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formas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agressão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potencial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segmentos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hegemônicos,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definidos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membros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boa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parcela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sociedade,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Cidadãos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Bem.</w:t>
      </w:r>
      <w:r>
        <w:rPr>
          <w:rFonts w:ascii="Arial" w:hAnsi="Arial" w:cs="Arial"/>
          <w:lang w:val="pt-BR"/>
        </w:rPr>
        <w:t xml:space="preserve"> Artifícios que se apresentam nas táticas de um dos movimentos regressivos na atualidade brasileira, o Movimento Brasil Livre (MBL), em seus ataques às universidades e instituições de ensino, como na narrativa de </w:t>
      </w:r>
      <w:r w:rsidRPr="0089181C">
        <w:rPr>
          <w:rFonts w:ascii="Arial" w:hAnsi="Arial" w:cs="Arial"/>
          <w:lang w:val="pt-BR"/>
        </w:rPr>
        <w:t>Fernando</w:t>
      </w:r>
      <w:r>
        <w:rPr>
          <w:rFonts w:ascii="Arial" w:hAnsi="Arial" w:cs="Arial"/>
          <w:lang w:val="pt-BR"/>
        </w:rPr>
        <w:t xml:space="preserve"> </w:t>
      </w:r>
      <w:proofErr w:type="spellStart"/>
      <w:r w:rsidRPr="0089181C">
        <w:rPr>
          <w:rFonts w:ascii="Arial" w:hAnsi="Arial" w:cs="Arial"/>
          <w:lang w:val="pt-BR"/>
        </w:rPr>
        <w:t>Holliday</w:t>
      </w:r>
      <w:proofErr w:type="spellEnd"/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color w:val="000000"/>
          <w:lang w:val="pt-BR"/>
        </w:rPr>
        <w:t>Membro</w:t>
      </w:r>
      <w:r>
        <w:rPr>
          <w:rFonts w:ascii="Arial" w:hAnsi="Arial" w:cs="Arial"/>
          <w:color w:val="000000"/>
          <w:lang w:val="pt-BR"/>
        </w:rPr>
        <w:t xml:space="preserve"> </w:t>
      </w:r>
      <w:r w:rsidRPr="0089181C">
        <w:rPr>
          <w:rFonts w:ascii="Arial" w:hAnsi="Arial" w:cs="Arial"/>
          <w:color w:val="000000"/>
          <w:lang w:val="pt-BR"/>
        </w:rPr>
        <w:t>do</w:t>
      </w:r>
      <w:r>
        <w:rPr>
          <w:rFonts w:ascii="Arial" w:hAnsi="Arial" w:cs="Arial"/>
          <w:color w:val="000000"/>
          <w:lang w:val="pt-BR"/>
        </w:rPr>
        <w:t xml:space="preserve"> </w:t>
      </w:r>
      <w:r w:rsidRPr="0089181C">
        <w:rPr>
          <w:rFonts w:ascii="Arial" w:hAnsi="Arial" w:cs="Arial"/>
          <w:color w:val="000000"/>
          <w:lang w:val="pt-BR"/>
        </w:rPr>
        <w:t>MBL,</w:t>
      </w:r>
      <w:r>
        <w:rPr>
          <w:rFonts w:ascii="Arial" w:hAnsi="Arial" w:cs="Arial"/>
          <w:color w:val="000000"/>
          <w:lang w:val="pt-BR"/>
        </w:rPr>
        <w:t xml:space="preserve"> </w:t>
      </w:r>
      <w:r w:rsidRPr="0089181C">
        <w:rPr>
          <w:rFonts w:ascii="Arial" w:hAnsi="Arial" w:cs="Arial"/>
          <w:color w:val="000000"/>
          <w:lang w:val="pt-BR"/>
        </w:rPr>
        <w:t>sobre</w:t>
      </w:r>
      <w:r>
        <w:rPr>
          <w:rFonts w:ascii="Arial" w:hAnsi="Arial" w:cs="Arial"/>
          <w:color w:val="000000"/>
          <w:lang w:val="pt-BR"/>
        </w:rPr>
        <w:t xml:space="preserve"> </w:t>
      </w:r>
      <w:r w:rsidRPr="0089181C">
        <w:rPr>
          <w:rFonts w:ascii="Arial" w:hAnsi="Arial" w:cs="Arial"/>
          <w:color w:val="000000"/>
          <w:lang w:val="pt-BR"/>
        </w:rPr>
        <w:t>universidades</w:t>
      </w:r>
      <w:r>
        <w:rPr>
          <w:rFonts w:ascii="Arial" w:hAnsi="Arial" w:cs="Arial"/>
          <w:color w:val="000000"/>
          <w:lang w:val="pt-BR"/>
        </w:rPr>
        <w:t>, no ano de 2015</w:t>
      </w:r>
      <w:r w:rsidRPr="0089181C">
        <w:rPr>
          <w:rFonts w:ascii="Arial" w:hAnsi="Arial" w:cs="Arial"/>
          <w:color w:val="000000"/>
          <w:lang w:val="pt-BR"/>
        </w:rPr>
        <w:t>:</w:t>
      </w:r>
    </w:p>
    <w:p w14:paraId="19280789" w14:textId="77777777" w:rsidR="0029101D" w:rsidRDefault="0029101D" w:rsidP="00F15621">
      <w:pPr>
        <w:autoSpaceDE w:val="0"/>
        <w:autoSpaceDN w:val="0"/>
        <w:adjustRightInd w:val="0"/>
        <w:ind w:left="1469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14:paraId="31B9B7AB" w14:textId="35E7D01F" w:rsidR="0029101D" w:rsidRPr="00F15621" w:rsidRDefault="0029101D" w:rsidP="00F15621">
      <w:pPr>
        <w:autoSpaceDE w:val="0"/>
        <w:autoSpaceDN w:val="0"/>
        <w:adjustRightInd w:val="0"/>
        <w:ind w:left="1469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tem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uma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coisa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aprendi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últimas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semanas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é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universidades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brasileiras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viraram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verdadeiras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fábricas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retardados.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Veja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só,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tem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mais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gente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preocupada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não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raspar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sovaco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fumar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maconha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estudar.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Com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fim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eleições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ano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passado,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esses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seres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iluminados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universidades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só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queriam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saber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falar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6D3C82">
        <w:rPr>
          <w:rFonts w:ascii="Arial" w:hAnsi="Arial" w:cs="Arial"/>
          <w:color w:val="000000"/>
          <w:sz w:val="22"/>
          <w:szCs w:val="22"/>
          <w:lang w:val="pt-BR"/>
        </w:rPr>
        <w:t>cú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drogas.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Educação,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saúde,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economia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segurança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(um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palavrão),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só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queriam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saber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cidadão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dava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6D3C82">
        <w:rPr>
          <w:rFonts w:ascii="Arial" w:hAnsi="Arial" w:cs="Arial"/>
          <w:color w:val="000000"/>
          <w:sz w:val="22"/>
          <w:szCs w:val="22"/>
          <w:lang w:val="pt-BR"/>
        </w:rPr>
        <w:t>cú</w:t>
      </w:r>
      <w:proofErr w:type="spellEnd"/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ou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cheirava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pó.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Eu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também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sou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favor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legalização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drogas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casamento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gay,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foda-se,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sessenta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mil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(60000)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pessoas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são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assassinadas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por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ano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Brasil,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outra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cacetada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morre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filas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hospitais,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maioria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mal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sabe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tabuada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zero!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professores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abrem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cabeça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alunos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como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fossem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privadas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(</w:t>
      </w:r>
      <w:proofErr w:type="spellStart"/>
      <w:r w:rsidRPr="006D3C82">
        <w:rPr>
          <w:rFonts w:ascii="Arial" w:hAnsi="Arial" w:cs="Arial"/>
          <w:color w:val="000000"/>
          <w:sz w:val="22"/>
          <w:szCs w:val="22"/>
          <w:lang w:val="pt-BR"/>
        </w:rPr>
        <w:t>vruu</w:t>
      </w:r>
      <w:proofErr w:type="spellEnd"/>
      <w:r w:rsidRPr="006D3C82">
        <w:rPr>
          <w:rFonts w:ascii="Arial" w:hAnsi="Arial" w:cs="Arial"/>
          <w:color w:val="000000"/>
          <w:sz w:val="22"/>
          <w:szCs w:val="22"/>
          <w:lang w:val="pt-BR"/>
        </w:rPr>
        <w:t>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6D3C82">
        <w:rPr>
          <w:rFonts w:ascii="Arial" w:hAnsi="Arial" w:cs="Arial"/>
          <w:color w:val="000000"/>
          <w:sz w:val="22"/>
          <w:szCs w:val="22"/>
          <w:lang w:val="pt-BR"/>
        </w:rPr>
        <w:t>vruuu</w:t>
      </w:r>
      <w:proofErr w:type="spellEnd"/>
      <w:r w:rsidRPr="006D3C82">
        <w:rPr>
          <w:rFonts w:ascii="Arial" w:hAnsi="Arial" w:cs="Arial"/>
          <w:color w:val="000000"/>
          <w:sz w:val="22"/>
          <w:szCs w:val="22"/>
          <w:lang w:val="pt-BR"/>
        </w:rPr>
        <w:t>)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despejam,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toda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merda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marxista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eles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aprenderam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seus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vinte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doutorados.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Bosta,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sabe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bosta?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Isso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sem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falar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nos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meses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faltas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ou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oitenta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horas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que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eles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chegam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atrasados,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esse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dinheiro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sai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nosso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bolso!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Esse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dinheiro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sai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nosso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bolso,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eu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já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cansei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de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pagar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por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esta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putaria!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Já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bastam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as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minhas,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6D3C82">
        <w:rPr>
          <w:rFonts w:ascii="Arial" w:hAnsi="Arial" w:cs="Arial"/>
          <w:color w:val="000000"/>
          <w:sz w:val="22"/>
          <w:szCs w:val="22"/>
          <w:lang w:val="pt-BR"/>
        </w:rPr>
        <w:t>porra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’! </w:t>
      </w:r>
      <w:r w:rsidRPr="004D298D">
        <w:rPr>
          <w:rFonts w:ascii="Arial" w:hAnsi="Arial" w:cs="Arial"/>
          <w:color w:val="000000"/>
          <w:sz w:val="22"/>
          <w:szCs w:val="22"/>
          <w:lang w:val="pt-BR"/>
        </w:rPr>
        <w:t>(</w:t>
      </w:r>
      <w:r w:rsidRPr="004C4C86">
        <w:rPr>
          <w:rFonts w:ascii="Arial" w:hAnsi="Arial" w:cs="Arial"/>
          <w:sz w:val="22"/>
          <w:szCs w:val="22"/>
          <w:lang w:val="pt-BR"/>
        </w:rPr>
        <w:t>HOLIDAY,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2015)</w:t>
      </w:r>
      <w:r>
        <w:rPr>
          <w:rStyle w:val="Refdenotaderodap"/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Style w:val="Refdenotaderodap"/>
          <w:rFonts w:ascii="Arial" w:hAnsi="Arial" w:cs="Arial"/>
          <w:color w:val="000000"/>
          <w:sz w:val="22"/>
          <w:szCs w:val="22"/>
          <w:lang w:val="pt-BR"/>
        </w:rPr>
        <w:footnoteReference w:id="13"/>
      </w:r>
    </w:p>
    <w:p w14:paraId="70E1ADBA" w14:textId="77777777" w:rsidR="0029101D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7855A680" w14:textId="2E63A6AC" w:rsidR="0029101D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 universidades e outras instituições de ensino, por se constituírem como espaços em que os sujeitos sociais podem apreender consciência crítica e autonomia política e intelectual, fora dos pressupostos racistas e classistas hegemônicos, tornaram-se alvos das investidas reacionárias. Nesta linha, universidades são conotadas como espaços de imoralidade, drogadição, vadiagem e manipulação ideológica, em oposição a boa sociedade, ao bem estar geral com desperdício e degeneração intelectual e moral dos membros da nação.</w:t>
      </w:r>
    </w:p>
    <w:p w14:paraId="0162574B" w14:textId="6ABF152C" w:rsidR="0029101D" w:rsidRPr="0089181C" w:rsidRDefault="0029101D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89181C">
        <w:rPr>
          <w:rFonts w:ascii="Arial" w:hAnsi="Arial" w:cs="Arial"/>
          <w:lang w:val="pt-BR"/>
        </w:rPr>
        <w:t>Neste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contexto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diferentes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formas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violência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física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simbólica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representadas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socialmente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instituídas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mecanismos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defesa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dispositivos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controle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boa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sociedade,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Cidadãos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Bem.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Mecanismos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lastRenderedPageBreak/>
        <w:t>dispositivos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tornados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base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aparatos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contra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perigos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atribuídos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todo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qualquer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sujeito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prática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sociocultural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política,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espaços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sociabilidade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ou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instituições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sejam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detectados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expressão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campo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negatividade</w:t>
      </w:r>
      <w:r>
        <w:rPr>
          <w:rFonts w:ascii="Arial" w:hAnsi="Arial" w:cs="Arial"/>
          <w:lang w:val="pt-BR"/>
        </w:rPr>
        <w:t xml:space="preserve">. Campo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diversidade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sócio-étnico-racial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gênero</w:t>
      </w:r>
      <w:r>
        <w:rPr>
          <w:rFonts w:ascii="Arial" w:hAnsi="Arial" w:cs="Arial"/>
          <w:lang w:val="pt-BR"/>
        </w:rPr>
        <w:t xml:space="preserve"> </w:t>
      </w:r>
      <w:r w:rsidR="0064783B">
        <w:rPr>
          <w:rFonts w:ascii="Arial" w:hAnsi="Arial" w:cs="Arial"/>
          <w:lang w:val="pt-BR"/>
        </w:rPr>
        <w:t>é</w:t>
      </w:r>
      <w:r w:rsidR="0064783B" w:rsidRPr="0089181C">
        <w:rPr>
          <w:rFonts w:ascii="Arial" w:hAnsi="Arial" w:cs="Arial"/>
          <w:lang w:val="pt-BR"/>
        </w:rPr>
        <w:t xml:space="preserve"> conotada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princípio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exclusão,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inferioridade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eliminação.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forma,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dinâmica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hegemônica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transforma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="0064783B">
        <w:rPr>
          <w:rFonts w:ascii="Arial" w:hAnsi="Arial" w:cs="Arial"/>
          <w:lang w:val="pt-BR"/>
        </w:rPr>
        <w:t>bases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desigualdade.</w:t>
      </w:r>
    </w:p>
    <w:p w14:paraId="4BD40A31" w14:textId="7E4CBE92" w:rsidR="0029101D" w:rsidRPr="0089181C" w:rsidRDefault="0029101D" w:rsidP="006015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incitação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violência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intolerância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materializa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base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nesta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lógica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transformação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fatores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desigualdade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uma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estruturação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fragmentada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maniqueísta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entre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“nós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eles”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tornadas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absolutas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irreconciliáveis.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grupos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autoritár</w:t>
      </w:r>
      <w:r>
        <w:rPr>
          <w:rFonts w:ascii="Arial" w:hAnsi="Arial" w:cs="Arial"/>
          <w:lang w:val="pt-BR"/>
        </w:rPr>
        <w:t xml:space="preserve">ios </w:t>
      </w:r>
      <w:r w:rsidRPr="0089181C">
        <w:rPr>
          <w:rFonts w:ascii="Arial" w:hAnsi="Arial" w:cs="Arial"/>
          <w:lang w:val="pt-BR"/>
        </w:rPr>
        <w:t>resistem</w:t>
      </w:r>
      <w:r>
        <w:rPr>
          <w:rFonts w:ascii="Arial" w:hAnsi="Arial" w:cs="Arial"/>
          <w:lang w:val="pt-BR"/>
        </w:rPr>
        <w:t xml:space="preserve"> às </w:t>
      </w:r>
      <w:r w:rsidRPr="0089181C">
        <w:rPr>
          <w:rFonts w:ascii="Arial" w:hAnsi="Arial" w:cs="Arial"/>
          <w:lang w:val="pt-BR"/>
        </w:rPr>
        <w:t>mudanças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relativas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secularização,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cosmopolitismo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expansão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direitos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geral.</w:t>
      </w:r>
      <w:r>
        <w:rPr>
          <w:rFonts w:ascii="Arial" w:hAnsi="Arial" w:cs="Arial"/>
          <w:lang w:val="pt-BR"/>
        </w:rPr>
        <w:t xml:space="preserve"> Assim, </w:t>
      </w:r>
      <w:r w:rsidRPr="0089181C">
        <w:rPr>
          <w:rFonts w:ascii="Arial" w:hAnsi="Arial" w:cs="Arial"/>
          <w:lang w:val="pt-BR"/>
        </w:rPr>
        <w:t>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encaixa</w:t>
      </w:r>
      <w:r>
        <w:rPr>
          <w:rFonts w:ascii="Arial" w:hAnsi="Arial" w:cs="Arial"/>
          <w:lang w:val="pt-BR"/>
        </w:rPr>
        <w:t xml:space="preserve">m </w:t>
      </w:r>
      <w:r w:rsidRPr="0089181C">
        <w:rPr>
          <w:rFonts w:ascii="Arial" w:hAnsi="Arial" w:cs="Arial"/>
          <w:lang w:val="pt-BR"/>
        </w:rPr>
        <w:t>ideias-força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família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tradicional,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fé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cristã,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ideologia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gênero,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patriotismo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anticomunismo</w:t>
      </w:r>
      <w:r>
        <w:rPr>
          <w:rFonts w:ascii="Arial" w:hAnsi="Arial" w:cs="Arial"/>
          <w:lang w:val="pt-BR"/>
        </w:rPr>
        <w:t>. Deste modo, enquanto princípios que alimentam as lógicas violentas d</w:t>
      </w:r>
      <w:r w:rsidRPr="0089181C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sexismo,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homofobia,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racismo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xenofobia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articulados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campo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semântico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grupos</w:t>
      </w:r>
      <w:r>
        <w:rPr>
          <w:rFonts w:ascii="Arial" w:hAnsi="Arial" w:cs="Arial"/>
          <w:lang w:val="pt-BR"/>
        </w:rPr>
        <w:t xml:space="preserve"> hegemônicos. Princípios estes ativos nas atuações dos/as intelectuais orgânicos regressivos para promoção da desqualificação de aparatos normativos e instituições de defesa e fortalecimento de direitos sociais e cidadania. Vejamos esta </w:t>
      </w:r>
      <w:r w:rsidRPr="0089181C">
        <w:rPr>
          <w:rFonts w:ascii="Arial" w:hAnsi="Arial" w:cs="Arial"/>
          <w:lang w:val="pt-BR"/>
        </w:rPr>
        <w:t>publicação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</w:t>
      </w:r>
      <w:r>
        <w:rPr>
          <w:rFonts w:ascii="Arial" w:hAnsi="Arial" w:cs="Arial"/>
          <w:lang w:val="pt-BR"/>
        </w:rPr>
        <w:t xml:space="preserve">a jornalista </w:t>
      </w:r>
      <w:r w:rsidRPr="0089181C">
        <w:rPr>
          <w:rFonts w:ascii="Arial" w:hAnsi="Arial" w:cs="Arial"/>
          <w:lang w:val="pt-BR"/>
        </w:rPr>
        <w:t>Raquel</w:t>
      </w:r>
      <w:r>
        <w:rPr>
          <w:rFonts w:ascii="Arial" w:hAnsi="Arial" w:cs="Arial"/>
          <w:lang w:val="pt-BR"/>
        </w:rPr>
        <w:t xml:space="preserve"> </w:t>
      </w:r>
      <w:proofErr w:type="spellStart"/>
      <w:r w:rsidRPr="0089181C">
        <w:rPr>
          <w:rFonts w:ascii="Arial" w:hAnsi="Arial" w:cs="Arial"/>
          <w:lang w:val="pt-BR"/>
        </w:rPr>
        <w:t>Sherazade</w:t>
      </w:r>
      <w:proofErr w:type="spellEnd"/>
      <w:r>
        <w:rPr>
          <w:rFonts w:ascii="Arial" w:hAnsi="Arial" w:cs="Arial"/>
          <w:lang w:val="pt-BR"/>
        </w:rPr>
        <w:t xml:space="preserve">, em </w:t>
      </w:r>
      <w:r w:rsidRPr="0089181C">
        <w:rPr>
          <w:rFonts w:ascii="Arial" w:hAnsi="Arial" w:cs="Arial"/>
          <w:lang w:val="pt-BR"/>
        </w:rPr>
        <w:t>2015</w:t>
      </w:r>
      <w:r>
        <w:rPr>
          <w:rFonts w:ascii="Arial" w:hAnsi="Arial" w:cs="Arial"/>
          <w:lang w:val="pt-BR"/>
        </w:rPr>
        <w:t>, contra os direitos das crianças e adolescentes</w:t>
      </w:r>
      <w:r w:rsidRPr="0089181C">
        <w:rPr>
          <w:rFonts w:ascii="Arial" w:hAnsi="Arial" w:cs="Arial"/>
          <w:lang w:val="pt-BR"/>
        </w:rPr>
        <w:t>:</w:t>
      </w:r>
    </w:p>
    <w:p w14:paraId="1C7C41A0" w14:textId="77777777" w:rsidR="0029101D" w:rsidRDefault="0029101D" w:rsidP="00F00B00">
      <w:pPr>
        <w:pStyle w:val="CITA"/>
      </w:pPr>
    </w:p>
    <w:p w14:paraId="2097D3A4" w14:textId="79823237" w:rsidR="0029101D" w:rsidRPr="00884064" w:rsidRDefault="0029101D" w:rsidP="00F00B00">
      <w:pPr>
        <w:pStyle w:val="CITA"/>
      </w:pPr>
      <w:r w:rsidRPr="00884064">
        <w:t>Os</w:t>
      </w:r>
      <w:r>
        <w:t xml:space="preserve"> </w:t>
      </w:r>
      <w:r w:rsidRPr="00884064">
        <w:t>marginais</w:t>
      </w:r>
      <w:r>
        <w:t xml:space="preserve"> </w:t>
      </w:r>
      <w:r w:rsidRPr="00884064">
        <w:t>ditos</w:t>
      </w:r>
      <w:r>
        <w:t xml:space="preserve"> </w:t>
      </w:r>
      <w:r w:rsidRPr="00884064">
        <w:t>“de</w:t>
      </w:r>
      <w:r>
        <w:t xml:space="preserve"> </w:t>
      </w:r>
      <w:r w:rsidRPr="00884064">
        <w:t>menor”</w:t>
      </w:r>
      <w:r>
        <w:t xml:space="preserve"> </w:t>
      </w:r>
      <w:r w:rsidRPr="00884064">
        <w:t>sabem</w:t>
      </w:r>
      <w:r>
        <w:t xml:space="preserve"> </w:t>
      </w:r>
      <w:r w:rsidRPr="00884064">
        <w:t>aproveitar</w:t>
      </w:r>
      <w:r>
        <w:t xml:space="preserve"> </w:t>
      </w:r>
      <w:r w:rsidRPr="00884064">
        <w:t>bem</w:t>
      </w:r>
      <w:r>
        <w:t xml:space="preserve"> </w:t>
      </w:r>
      <w:r w:rsidRPr="00884064">
        <w:t>a</w:t>
      </w:r>
      <w:r>
        <w:t xml:space="preserve"> </w:t>
      </w:r>
      <w:r w:rsidRPr="00884064">
        <w:t>janela</w:t>
      </w:r>
      <w:r>
        <w:t xml:space="preserve"> </w:t>
      </w:r>
      <w:r w:rsidRPr="00884064">
        <w:t>de</w:t>
      </w:r>
      <w:r>
        <w:t xml:space="preserve"> </w:t>
      </w:r>
      <w:r w:rsidRPr="00884064">
        <w:t>impunidade</w:t>
      </w:r>
      <w:r>
        <w:t xml:space="preserve"> </w:t>
      </w:r>
      <w:r w:rsidRPr="00884064">
        <w:t>do</w:t>
      </w:r>
      <w:r>
        <w:t xml:space="preserve"> </w:t>
      </w:r>
      <w:r w:rsidRPr="00884064">
        <w:t>ECA,</w:t>
      </w:r>
      <w:r>
        <w:t xml:space="preserve"> </w:t>
      </w:r>
      <w:r w:rsidRPr="00884064">
        <w:t>que</w:t>
      </w:r>
      <w:r>
        <w:t xml:space="preserve"> </w:t>
      </w:r>
      <w:r w:rsidRPr="00884064">
        <w:t>se</w:t>
      </w:r>
      <w:r>
        <w:t xml:space="preserve"> </w:t>
      </w:r>
      <w:r w:rsidRPr="00884064">
        <w:t>fecha</w:t>
      </w:r>
      <w:r>
        <w:t xml:space="preserve"> </w:t>
      </w:r>
      <w:r w:rsidRPr="00884064">
        <w:t>aos</w:t>
      </w:r>
      <w:r>
        <w:t xml:space="preserve"> </w:t>
      </w:r>
      <w:r w:rsidRPr="00884064">
        <w:t>18</w:t>
      </w:r>
      <w:r>
        <w:t xml:space="preserve"> </w:t>
      </w:r>
      <w:r w:rsidRPr="00884064">
        <w:t>anos.</w:t>
      </w:r>
      <w:r>
        <w:t xml:space="preserve"> </w:t>
      </w:r>
      <w:r w:rsidRPr="00884064">
        <w:t>Respondendo</w:t>
      </w:r>
      <w:r>
        <w:t xml:space="preserve"> </w:t>
      </w:r>
      <w:r w:rsidRPr="00884064">
        <w:t>como</w:t>
      </w:r>
      <w:r>
        <w:t xml:space="preserve"> </w:t>
      </w:r>
      <w:r w:rsidRPr="00884064">
        <w:t>adultos,</w:t>
      </w:r>
      <w:r>
        <w:t xml:space="preserve"> </w:t>
      </w:r>
      <w:r w:rsidRPr="00884064">
        <w:t>não</w:t>
      </w:r>
      <w:r>
        <w:t xml:space="preserve"> </w:t>
      </w:r>
      <w:r w:rsidRPr="00884064">
        <w:t>teriam</w:t>
      </w:r>
      <w:r>
        <w:t xml:space="preserve"> </w:t>
      </w:r>
      <w:r w:rsidRPr="00884064">
        <w:t>mais</w:t>
      </w:r>
      <w:r>
        <w:t xml:space="preserve"> </w:t>
      </w:r>
      <w:r w:rsidRPr="00884064">
        <w:t>o</w:t>
      </w:r>
      <w:r>
        <w:t xml:space="preserve"> </w:t>
      </w:r>
      <w:r w:rsidRPr="00884064">
        <w:t>séquito</w:t>
      </w:r>
      <w:r>
        <w:t xml:space="preserve"> </w:t>
      </w:r>
      <w:r w:rsidRPr="00884064">
        <w:t>de</w:t>
      </w:r>
      <w:r>
        <w:t xml:space="preserve"> </w:t>
      </w:r>
      <w:r w:rsidRPr="00884064">
        <w:t>patéticos</w:t>
      </w:r>
      <w:r>
        <w:t xml:space="preserve"> </w:t>
      </w:r>
      <w:r w:rsidRPr="00884064">
        <w:t>ativistas</w:t>
      </w:r>
      <w:r>
        <w:t xml:space="preserve"> </w:t>
      </w:r>
      <w:r w:rsidRPr="00884064">
        <w:t>dos</w:t>
      </w:r>
      <w:r>
        <w:t xml:space="preserve"> </w:t>
      </w:r>
      <w:r w:rsidRPr="00884064">
        <w:t>direitos</w:t>
      </w:r>
      <w:r>
        <w:t xml:space="preserve"> </w:t>
      </w:r>
      <w:r w:rsidRPr="00884064">
        <w:t>desumanos</w:t>
      </w:r>
      <w:r>
        <w:t xml:space="preserve"> </w:t>
      </w:r>
      <w:r w:rsidRPr="00884064">
        <w:t>querendo</w:t>
      </w:r>
      <w:r>
        <w:t xml:space="preserve"> </w:t>
      </w:r>
      <w:r w:rsidRPr="00884064">
        <w:t>aparecer,</w:t>
      </w:r>
      <w:r>
        <w:t xml:space="preserve"> </w:t>
      </w:r>
      <w:r w:rsidRPr="00884064">
        <w:t>advogados</w:t>
      </w:r>
      <w:r>
        <w:t xml:space="preserve"> </w:t>
      </w:r>
      <w:r w:rsidRPr="00884064">
        <w:t>de</w:t>
      </w:r>
      <w:r>
        <w:t xml:space="preserve"> </w:t>
      </w:r>
      <w:r w:rsidRPr="00884064">
        <w:t>rapina</w:t>
      </w:r>
      <w:r>
        <w:t xml:space="preserve"> </w:t>
      </w:r>
      <w:r w:rsidRPr="00884064">
        <w:t>em</w:t>
      </w:r>
      <w:r>
        <w:t xml:space="preserve"> </w:t>
      </w:r>
      <w:r w:rsidRPr="00884064">
        <w:t>busca</w:t>
      </w:r>
      <w:r>
        <w:t xml:space="preserve"> </w:t>
      </w:r>
      <w:r w:rsidRPr="00884064">
        <w:t>de</w:t>
      </w:r>
      <w:r>
        <w:t xml:space="preserve"> </w:t>
      </w:r>
      <w:r w:rsidRPr="00884064">
        <w:t>fama</w:t>
      </w:r>
      <w:r>
        <w:t xml:space="preserve"> </w:t>
      </w:r>
      <w:r w:rsidRPr="00884064">
        <w:t>instantânea</w:t>
      </w:r>
      <w:r>
        <w:t xml:space="preserve"> </w:t>
      </w:r>
      <w:r w:rsidRPr="00884064">
        <w:t>para</w:t>
      </w:r>
      <w:r>
        <w:t xml:space="preserve"> </w:t>
      </w:r>
      <w:r w:rsidRPr="00884064">
        <w:t>promover</w:t>
      </w:r>
      <w:r>
        <w:t xml:space="preserve"> </w:t>
      </w:r>
      <w:r w:rsidRPr="00884064">
        <w:t>suas</w:t>
      </w:r>
      <w:r>
        <w:t xml:space="preserve"> </w:t>
      </w:r>
      <w:r w:rsidRPr="00884064">
        <w:t>bancas,</w:t>
      </w:r>
      <w:r>
        <w:t xml:space="preserve"> </w:t>
      </w:r>
      <w:r w:rsidRPr="00884064">
        <w:t>sem</w:t>
      </w:r>
      <w:r>
        <w:t xml:space="preserve"> </w:t>
      </w:r>
      <w:r w:rsidRPr="00884064">
        <w:t>falar</w:t>
      </w:r>
      <w:r>
        <w:t xml:space="preserve"> </w:t>
      </w:r>
      <w:r w:rsidRPr="00884064">
        <w:t>nos</w:t>
      </w:r>
      <w:r>
        <w:t xml:space="preserve"> </w:t>
      </w:r>
      <w:r w:rsidRPr="00884064">
        <w:t>demagógicos</w:t>
      </w:r>
      <w:r>
        <w:t xml:space="preserve"> </w:t>
      </w:r>
      <w:r w:rsidRPr="00884064">
        <w:t>políticos</w:t>
      </w:r>
      <w:r>
        <w:t xml:space="preserve"> </w:t>
      </w:r>
      <w:r w:rsidRPr="00884064">
        <w:t>de</w:t>
      </w:r>
      <w:r>
        <w:t xml:space="preserve"> </w:t>
      </w:r>
      <w:r w:rsidRPr="00884064">
        <w:t>esquerda</w:t>
      </w:r>
      <w:r>
        <w:t xml:space="preserve"> </w:t>
      </w:r>
      <w:r w:rsidRPr="00884064">
        <w:t>que</w:t>
      </w:r>
      <w:r>
        <w:t xml:space="preserve"> </w:t>
      </w:r>
      <w:r w:rsidRPr="00884064">
        <w:t>costumam,</w:t>
      </w:r>
      <w:r>
        <w:t xml:space="preserve"> </w:t>
      </w:r>
      <w:r w:rsidRPr="00884064">
        <w:t>nessas</w:t>
      </w:r>
      <w:r>
        <w:t xml:space="preserve"> </w:t>
      </w:r>
      <w:r w:rsidRPr="00884064">
        <w:t>horas,</w:t>
      </w:r>
      <w:r>
        <w:t xml:space="preserve"> </w:t>
      </w:r>
      <w:r w:rsidRPr="00884064">
        <w:t>vociferar</w:t>
      </w:r>
      <w:r>
        <w:t xml:space="preserve"> </w:t>
      </w:r>
      <w:r w:rsidRPr="00884064">
        <w:t>o</w:t>
      </w:r>
      <w:r>
        <w:t xml:space="preserve"> </w:t>
      </w:r>
      <w:r w:rsidRPr="00884064">
        <w:t>bolorento</w:t>
      </w:r>
      <w:r>
        <w:t xml:space="preserve"> </w:t>
      </w:r>
      <w:r w:rsidRPr="00884064">
        <w:t>mantra</w:t>
      </w:r>
      <w:r>
        <w:t xml:space="preserve"> </w:t>
      </w:r>
      <w:r w:rsidRPr="00884064">
        <w:t>da</w:t>
      </w:r>
      <w:r>
        <w:t xml:space="preserve"> </w:t>
      </w:r>
      <w:r w:rsidRPr="00884064">
        <w:t>“</w:t>
      </w:r>
      <w:proofErr w:type="spellStart"/>
      <w:r w:rsidRPr="00884064">
        <w:t>coitadização</w:t>
      </w:r>
      <w:proofErr w:type="spellEnd"/>
      <w:r w:rsidRPr="00884064">
        <w:t>”</w:t>
      </w:r>
      <w:r>
        <w:t xml:space="preserve"> </w:t>
      </w:r>
      <w:r w:rsidRPr="00884064">
        <w:t>dos</w:t>
      </w:r>
      <w:r>
        <w:t xml:space="preserve"> </w:t>
      </w:r>
      <w:r w:rsidRPr="00884064">
        <w:t>criminosos,</w:t>
      </w:r>
      <w:r>
        <w:t xml:space="preserve"> </w:t>
      </w:r>
      <w:r w:rsidRPr="00884064">
        <w:t>principalmente,</w:t>
      </w:r>
      <w:r>
        <w:t xml:space="preserve"> </w:t>
      </w:r>
      <w:r w:rsidRPr="00884064">
        <w:t>dos</w:t>
      </w:r>
      <w:r>
        <w:t xml:space="preserve"> </w:t>
      </w:r>
      <w:r w:rsidRPr="00884064">
        <w:t>menores.</w:t>
      </w:r>
      <w:r>
        <w:t xml:space="preserve"> </w:t>
      </w:r>
      <w:r w:rsidRPr="00884064">
        <w:t>Na</w:t>
      </w:r>
      <w:r>
        <w:t xml:space="preserve"> </w:t>
      </w:r>
      <w:r w:rsidRPr="00884064">
        <w:t>lógica</w:t>
      </w:r>
      <w:r>
        <w:t xml:space="preserve"> </w:t>
      </w:r>
      <w:r w:rsidRPr="00884064">
        <w:t>enviesada</w:t>
      </w:r>
      <w:r>
        <w:t xml:space="preserve"> </w:t>
      </w:r>
      <w:r w:rsidRPr="00884064">
        <w:t>dos</w:t>
      </w:r>
      <w:r>
        <w:t xml:space="preserve"> </w:t>
      </w:r>
      <w:r w:rsidRPr="00884064">
        <w:t>defensores</w:t>
      </w:r>
      <w:r>
        <w:t xml:space="preserve"> </w:t>
      </w:r>
      <w:r w:rsidRPr="00884064">
        <w:t>de</w:t>
      </w:r>
      <w:r>
        <w:t xml:space="preserve"> </w:t>
      </w:r>
      <w:r w:rsidRPr="00884064">
        <w:t>bandidos,</w:t>
      </w:r>
      <w:r>
        <w:t xml:space="preserve"> </w:t>
      </w:r>
      <w:r w:rsidRPr="00884064">
        <w:t>assassinos,</w:t>
      </w:r>
      <w:r>
        <w:t xml:space="preserve"> </w:t>
      </w:r>
      <w:r w:rsidRPr="00884064">
        <w:t>ladrões,</w:t>
      </w:r>
      <w:r>
        <w:t xml:space="preserve"> </w:t>
      </w:r>
      <w:r w:rsidRPr="00884064">
        <w:t>traficantes,</w:t>
      </w:r>
      <w:r>
        <w:t xml:space="preserve"> </w:t>
      </w:r>
      <w:r w:rsidRPr="00884064">
        <w:t>sequestradores</w:t>
      </w:r>
      <w:r>
        <w:t xml:space="preserve"> </w:t>
      </w:r>
      <w:r w:rsidRPr="00884064">
        <w:t>e</w:t>
      </w:r>
      <w:r>
        <w:t xml:space="preserve"> </w:t>
      </w:r>
      <w:r w:rsidRPr="00884064">
        <w:t>estupradores</w:t>
      </w:r>
      <w:r>
        <w:t xml:space="preserve"> </w:t>
      </w:r>
      <w:r w:rsidRPr="00884064">
        <w:t>não</w:t>
      </w:r>
      <w:r>
        <w:t xml:space="preserve"> </w:t>
      </w:r>
      <w:r w:rsidRPr="00884064">
        <w:t>passam</w:t>
      </w:r>
      <w:r>
        <w:t xml:space="preserve"> </w:t>
      </w:r>
      <w:r w:rsidRPr="00884064">
        <w:t>de</w:t>
      </w:r>
      <w:r>
        <w:t xml:space="preserve"> </w:t>
      </w:r>
      <w:r w:rsidRPr="00884064">
        <w:t>vítimas</w:t>
      </w:r>
      <w:r>
        <w:t xml:space="preserve"> </w:t>
      </w:r>
      <w:r w:rsidRPr="00884064">
        <w:t>da</w:t>
      </w:r>
      <w:r>
        <w:t xml:space="preserve"> </w:t>
      </w:r>
      <w:r w:rsidRPr="00884064">
        <w:t>sociedade,</w:t>
      </w:r>
      <w:r>
        <w:t xml:space="preserve"> </w:t>
      </w:r>
      <w:r w:rsidRPr="00884064">
        <w:t>como</w:t>
      </w:r>
      <w:r>
        <w:t xml:space="preserve"> </w:t>
      </w:r>
      <w:r w:rsidRPr="00884064">
        <w:t>se</w:t>
      </w:r>
      <w:r>
        <w:t xml:space="preserve"> </w:t>
      </w:r>
      <w:r w:rsidRPr="00884064">
        <w:t>a</w:t>
      </w:r>
      <w:r>
        <w:t xml:space="preserve"> </w:t>
      </w:r>
      <w:r w:rsidRPr="00884064">
        <w:t>pobreza</w:t>
      </w:r>
      <w:r>
        <w:t xml:space="preserve"> </w:t>
      </w:r>
      <w:r w:rsidRPr="00884064">
        <w:t>fosse</w:t>
      </w:r>
      <w:r>
        <w:t xml:space="preserve"> </w:t>
      </w:r>
      <w:r w:rsidRPr="00884064">
        <w:t>desculpa</w:t>
      </w:r>
      <w:r>
        <w:t xml:space="preserve"> </w:t>
      </w:r>
      <w:r w:rsidRPr="00884064">
        <w:t>para</w:t>
      </w:r>
      <w:r>
        <w:t xml:space="preserve"> </w:t>
      </w:r>
      <w:r w:rsidRPr="00884064">
        <w:t>o</w:t>
      </w:r>
      <w:r>
        <w:t xml:space="preserve"> </w:t>
      </w:r>
      <w:r w:rsidRPr="00884064">
        <w:t>crime,</w:t>
      </w:r>
      <w:r>
        <w:t xml:space="preserve"> </w:t>
      </w:r>
      <w:r w:rsidRPr="00884064">
        <w:t>salvo</w:t>
      </w:r>
      <w:r>
        <w:t xml:space="preserve"> </w:t>
      </w:r>
      <w:r w:rsidRPr="00884064">
        <w:t>conduto</w:t>
      </w:r>
      <w:r>
        <w:t xml:space="preserve"> </w:t>
      </w:r>
      <w:r w:rsidRPr="00884064">
        <w:t>para</w:t>
      </w:r>
      <w:r>
        <w:t xml:space="preserve"> </w:t>
      </w:r>
      <w:r w:rsidRPr="00884064">
        <w:t>o</w:t>
      </w:r>
      <w:r>
        <w:t xml:space="preserve"> </w:t>
      </w:r>
      <w:r w:rsidRPr="00884064">
        <w:t>criminoso.</w:t>
      </w:r>
      <w:r>
        <w:t xml:space="preserve"> </w:t>
      </w:r>
      <w:r w:rsidRPr="00884064">
        <w:t>E</w:t>
      </w:r>
      <w:r>
        <w:t xml:space="preserve"> </w:t>
      </w:r>
      <w:r w:rsidRPr="00884064">
        <w:t>se</w:t>
      </w:r>
      <w:r>
        <w:t xml:space="preserve"> </w:t>
      </w:r>
      <w:r w:rsidRPr="00884064">
        <w:t>eles</w:t>
      </w:r>
      <w:r>
        <w:t xml:space="preserve"> </w:t>
      </w:r>
      <w:r w:rsidRPr="00884064">
        <w:t>são</w:t>
      </w:r>
      <w:r>
        <w:t xml:space="preserve"> </w:t>
      </w:r>
      <w:r w:rsidRPr="00884064">
        <w:t>as</w:t>
      </w:r>
      <w:r>
        <w:t xml:space="preserve"> </w:t>
      </w:r>
      <w:r w:rsidRPr="00F15621">
        <w:t xml:space="preserve">vítimas, quem seriam os algozes? Nós? Eu não aceito essa </w:t>
      </w:r>
      <w:r w:rsidRPr="00F15621">
        <w:lastRenderedPageBreak/>
        <w:t>culpa! (SHEHERAZADE apud MESSEMBERGER, 2017, p. 639).</w:t>
      </w:r>
      <w:r>
        <w:t xml:space="preserve"> </w:t>
      </w:r>
    </w:p>
    <w:p w14:paraId="65EE546A" w14:textId="77777777" w:rsidR="0029101D" w:rsidRDefault="0029101D" w:rsidP="00F156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61157C86" w14:textId="77777777" w:rsidR="0029101D" w:rsidRDefault="0029101D" w:rsidP="00F156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As instituições e dispositivos legais conotadas como defesas de monstros maldosos contra os cidadãos de bem e a boa sociedade. A desigualdade social e a pobreza vistas não como produtos históricos, mas como artifícios ideológicos dos inimigos da Nação para seus intentos criminosos. Um conjunto de </w:t>
      </w:r>
      <w:r w:rsidRPr="0089181C">
        <w:rPr>
          <w:rFonts w:ascii="Arial" w:hAnsi="Arial" w:cs="Arial"/>
          <w:lang w:val="pt-BR"/>
        </w:rPr>
        <w:t>ideias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força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surg</w:t>
      </w:r>
      <w:r>
        <w:rPr>
          <w:rFonts w:ascii="Arial" w:hAnsi="Arial" w:cs="Arial"/>
          <w:lang w:val="pt-BR"/>
        </w:rPr>
        <w:t>idas d</w:t>
      </w:r>
      <w:r w:rsidRPr="0089181C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superdimensionamento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violência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criminalidade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país</w:t>
      </w:r>
      <w:r>
        <w:rPr>
          <w:rFonts w:ascii="Arial" w:hAnsi="Arial" w:cs="Arial"/>
          <w:lang w:val="pt-BR"/>
        </w:rPr>
        <w:t xml:space="preserve"> em que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oposição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cotas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raciais</w:t>
      </w:r>
      <w:r>
        <w:rPr>
          <w:rFonts w:ascii="Arial" w:hAnsi="Arial" w:cs="Arial"/>
          <w:lang w:val="pt-BR"/>
        </w:rPr>
        <w:t xml:space="preserve"> surge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“fonte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agressão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meritocracia”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criação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artificial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“divisão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racial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nação”.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partir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daí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desdobram-se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ideias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“apoio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redução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maioridade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penal,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recrudescimento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penas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judiciais,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truculência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ações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policiais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críticas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política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direitos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humanos,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justiça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brasileira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política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desarmamento.</w:t>
      </w:r>
    </w:p>
    <w:p w14:paraId="0C74253A" w14:textId="105714AC" w:rsidR="0089181C" w:rsidRPr="0089181C" w:rsidRDefault="0029101D" w:rsidP="00F156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Estes são </w:t>
      </w:r>
      <w:r w:rsidRPr="0089181C">
        <w:rPr>
          <w:rFonts w:ascii="Arial" w:hAnsi="Arial" w:cs="Arial"/>
          <w:lang w:val="pt-BR"/>
        </w:rPr>
        <w:t>aspecto</w:t>
      </w:r>
      <w:r>
        <w:rPr>
          <w:rFonts w:ascii="Arial" w:hAnsi="Arial" w:cs="Arial"/>
          <w:lang w:val="pt-BR"/>
        </w:rPr>
        <w:t xml:space="preserve">s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compõem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cosmovisão,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razão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mundo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neoliberal,</w:t>
      </w:r>
      <w:r>
        <w:rPr>
          <w:rFonts w:ascii="Arial" w:hAnsi="Arial" w:cs="Arial"/>
          <w:lang w:val="pt-BR"/>
        </w:rPr>
        <w:t xml:space="preserve"> que </w:t>
      </w:r>
      <w:r w:rsidRPr="0089181C">
        <w:rPr>
          <w:rFonts w:ascii="Arial" w:hAnsi="Arial" w:cs="Arial"/>
          <w:lang w:val="pt-BR"/>
        </w:rPr>
        <w:t>representa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toda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iniciativa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comunitária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e/ou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gerida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função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comum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uma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coletividade,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deturpação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irracional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política</w:t>
      </w:r>
      <w:r>
        <w:rPr>
          <w:rFonts w:ascii="Arial" w:hAnsi="Arial" w:cs="Arial"/>
          <w:lang w:val="pt-BR"/>
        </w:rPr>
        <w:t>. N</w:t>
      </w:r>
      <w:r w:rsidRPr="0089181C">
        <w:rPr>
          <w:rFonts w:ascii="Arial" w:hAnsi="Arial" w:cs="Arial"/>
          <w:lang w:val="pt-BR"/>
        </w:rPr>
        <w:t>este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contexto</w:t>
      </w:r>
      <w:r>
        <w:rPr>
          <w:rFonts w:ascii="Arial" w:hAnsi="Arial" w:cs="Arial"/>
          <w:lang w:val="pt-BR"/>
        </w:rPr>
        <w:t xml:space="preserve">, </w:t>
      </w:r>
      <w:r w:rsidRPr="0089181C">
        <w:rPr>
          <w:rFonts w:ascii="Arial" w:hAnsi="Arial" w:cs="Arial"/>
          <w:lang w:val="pt-BR"/>
        </w:rPr>
        <w:t>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Estado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é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situado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enquanto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ente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não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confiável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gerir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negócios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públicos,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posto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devem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ser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antes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tudo,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negócios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privados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empreendedores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individuais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vencedores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disputa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(DARDOT</w:t>
      </w:r>
      <w:r>
        <w:rPr>
          <w:rFonts w:ascii="Arial" w:hAnsi="Arial" w:cs="Arial"/>
          <w:lang w:val="pt-BR"/>
        </w:rPr>
        <w:t xml:space="preserve">; </w:t>
      </w:r>
      <w:r w:rsidRPr="0089181C">
        <w:rPr>
          <w:rFonts w:ascii="Arial" w:hAnsi="Arial" w:cs="Arial"/>
          <w:lang w:val="pt-BR"/>
        </w:rPr>
        <w:t>LAVAL,</w:t>
      </w:r>
      <w:r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2017).</w:t>
      </w:r>
      <w:r>
        <w:rPr>
          <w:rFonts w:ascii="Arial" w:hAnsi="Arial" w:cs="Arial"/>
          <w:lang w:val="pt-BR"/>
        </w:rPr>
        <w:t xml:space="preserve"> Esta conformação ideológica neoliberal se articula e se imiscui com grande fluidez no seio das práticas discursivas racistas, articulação esta tanto mais intensa quanto mais grosseiras e aparentemente formais forem produzidas as atuações dos sujeitos sociais autoritários. Como é o caso das posições de indivíduos como a jornalista citada acima e o ativista reacionário do MBL, Fernando </w:t>
      </w:r>
      <w:proofErr w:type="spellStart"/>
      <w:r w:rsidRPr="0089181C">
        <w:rPr>
          <w:rFonts w:ascii="Arial" w:hAnsi="Arial" w:cs="Arial"/>
          <w:lang w:val="pt-BR"/>
        </w:rPr>
        <w:t>Holliday</w:t>
      </w:r>
      <w:proofErr w:type="spellEnd"/>
      <w:r>
        <w:rPr>
          <w:rFonts w:ascii="Arial" w:hAnsi="Arial" w:cs="Arial"/>
          <w:lang w:val="pt-BR"/>
        </w:rPr>
        <w:t xml:space="preserve"> (</w:t>
      </w:r>
      <w:r w:rsidRPr="00F15621">
        <w:rPr>
          <w:rFonts w:ascii="Arial" w:hAnsi="Arial" w:cs="Arial"/>
          <w:lang w:val="pt-BR"/>
        </w:rPr>
        <w:t>apud MESSEMBERGER, 2017, p. 639)</w:t>
      </w:r>
      <w:r>
        <w:rPr>
          <w:rStyle w:val="Refdenotaderodap"/>
        </w:rPr>
        <w:footnoteReference w:id="14"/>
      </w:r>
      <w:r w:rsidRPr="0089181C">
        <w:rPr>
          <w:rFonts w:ascii="Arial" w:hAnsi="Arial" w:cs="Arial"/>
          <w:lang w:val="pt-BR"/>
        </w:rPr>
        <w:t>:</w:t>
      </w:r>
    </w:p>
    <w:p w14:paraId="032956AE" w14:textId="77777777" w:rsidR="00F00B00" w:rsidRDefault="00F00B00" w:rsidP="00F00B00">
      <w:pPr>
        <w:pStyle w:val="CITA"/>
      </w:pPr>
    </w:p>
    <w:p w14:paraId="43B0C5F5" w14:textId="37B17E4C" w:rsidR="0089181C" w:rsidRPr="006D3C82" w:rsidRDefault="0089181C" w:rsidP="00F00B00">
      <w:pPr>
        <w:pStyle w:val="CITA"/>
      </w:pPr>
      <w:r w:rsidRPr="006D3C82">
        <w:t>Todo</w:t>
      </w:r>
      <w:r w:rsidR="00F00B00">
        <w:t xml:space="preserve"> </w:t>
      </w:r>
      <w:r w:rsidRPr="006D3C82">
        <w:t>negro</w:t>
      </w:r>
      <w:r w:rsidR="00F00B00">
        <w:t xml:space="preserve"> </w:t>
      </w:r>
      <w:r w:rsidRPr="006D3C82">
        <w:t>que</w:t>
      </w:r>
      <w:r w:rsidR="00F00B00">
        <w:t xml:space="preserve"> </w:t>
      </w:r>
      <w:r w:rsidRPr="006D3C82">
        <w:t>é</w:t>
      </w:r>
      <w:r w:rsidR="00F00B00">
        <w:t xml:space="preserve"> </w:t>
      </w:r>
      <w:r w:rsidRPr="006D3C82">
        <w:t>contra</w:t>
      </w:r>
      <w:r w:rsidR="00F00B00">
        <w:t xml:space="preserve"> </w:t>
      </w:r>
      <w:r w:rsidRPr="006D3C82">
        <w:t>esse</w:t>
      </w:r>
      <w:r w:rsidR="00F00B00">
        <w:t xml:space="preserve"> </w:t>
      </w:r>
      <w:r w:rsidRPr="006D3C82">
        <w:t>vitimismo,</w:t>
      </w:r>
      <w:r w:rsidR="00F00B00">
        <w:t xml:space="preserve"> </w:t>
      </w:r>
      <w:r w:rsidRPr="006D3C82">
        <w:t>que</w:t>
      </w:r>
      <w:r w:rsidR="00F00B00">
        <w:t xml:space="preserve"> </w:t>
      </w:r>
      <w:r w:rsidRPr="006D3C82">
        <w:t>são</w:t>
      </w:r>
      <w:r w:rsidR="00F00B00">
        <w:t xml:space="preserve"> </w:t>
      </w:r>
      <w:r w:rsidRPr="006D3C82">
        <w:t>as</w:t>
      </w:r>
      <w:r w:rsidR="00F00B00">
        <w:t xml:space="preserve"> </w:t>
      </w:r>
      <w:r w:rsidRPr="006D3C82">
        <w:t>cotas</w:t>
      </w:r>
      <w:r w:rsidR="00F00B00">
        <w:t xml:space="preserve"> </w:t>
      </w:r>
      <w:r w:rsidRPr="006D3C82">
        <w:t>raciais,</w:t>
      </w:r>
      <w:r w:rsidR="00F00B00">
        <w:t xml:space="preserve"> </w:t>
      </w:r>
      <w:r w:rsidRPr="006D3C82">
        <w:t>deve</w:t>
      </w:r>
      <w:r w:rsidR="00F00B00">
        <w:t xml:space="preserve"> </w:t>
      </w:r>
      <w:r w:rsidRPr="006D3C82">
        <w:t>ser</w:t>
      </w:r>
      <w:r w:rsidR="00F00B00">
        <w:t xml:space="preserve"> </w:t>
      </w:r>
      <w:r w:rsidRPr="006D3C82">
        <w:t>atacado</w:t>
      </w:r>
      <w:r w:rsidR="00F00B00">
        <w:t xml:space="preserve"> </w:t>
      </w:r>
      <w:r w:rsidRPr="006D3C82">
        <w:t>e</w:t>
      </w:r>
      <w:r w:rsidR="00F00B00">
        <w:t xml:space="preserve"> </w:t>
      </w:r>
      <w:r w:rsidRPr="006D3C82">
        <w:t>deve</w:t>
      </w:r>
      <w:r w:rsidR="00F00B00">
        <w:t xml:space="preserve"> </w:t>
      </w:r>
      <w:r w:rsidRPr="006D3C82">
        <w:t>ser</w:t>
      </w:r>
      <w:r w:rsidR="00F00B00">
        <w:t xml:space="preserve"> </w:t>
      </w:r>
      <w:r w:rsidRPr="006D3C82">
        <w:t>perseguido.</w:t>
      </w:r>
      <w:r w:rsidR="00F00B00">
        <w:t xml:space="preserve"> </w:t>
      </w:r>
      <w:r w:rsidRPr="006D3C82">
        <w:t>O</w:t>
      </w:r>
      <w:r w:rsidR="00F00B00">
        <w:t xml:space="preserve"> </w:t>
      </w:r>
      <w:r w:rsidRPr="006D3C82">
        <w:t>movimento</w:t>
      </w:r>
      <w:r w:rsidR="00F00B00">
        <w:t xml:space="preserve"> </w:t>
      </w:r>
      <w:r w:rsidRPr="006D3C82">
        <w:t>negro,</w:t>
      </w:r>
      <w:r w:rsidR="00F00B00">
        <w:t xml:space="preserve"> </w:t>
      </w:r>
      <w:r w:rsidRPr="006D3C82">
        <w:t>hoje,</w:t>
      </w:r>
      <w:r w:rsidR="00F00B00">
        <w:t xml:space="preserve"> </w:t>
      </w:r>
      <w:r w:rsidRPr="006D3C82">
        <w:t>no</w:t>
      </w:r>
      <w:r w:rsidR="00F00B00">
        <w:t xml:space="preserve"> </w:t>
      </w:r>
      <w:r w:rsidRPr="006D3C82">
        <w:t>Brasil,</w:t>
      </w:r>
      <w:r w:rsidR="00F00B00">
        <w:t xml:space="preserve"> </w:t>
      </w:r>
      <w:r w:rsidRPr="006D3C82">
        <w:t>faz</w:t>
      </w:r>
      <w:r w:rsidR="00F00B00">
        <w:t xml:space="preserve"> </w:t>
      </w:r>
      <w:r w:rsidRPr="006D3C82">
        <w:t>um</w:t>
      </w:r>
      <w:r w:rsidR="00F00B00">
        <w:t xml:space="preserve"> </w:t>
      </w:r>
      <w:r w:rsidRPr="006D3C82">
        <w:t>verdadeiro</w:t>
      </w:r>
      <w:r w:rsidR="00F00B00">
        <w:t xml:space="preserve"> </w:t>
      </w:r>
      <w:r w:rsidRPr="006D3C82">
        <w:t>trabalho</w:t>
      </w:r>
      <w:r w:rsidR="00F00B00">
        <w:t xml:space="preserve"> </w:t>
      </w:r>
      <w:r w:rsidRPr="006D3C82">
        <w:t>de</w:t>
      </w:r>
      <w:r w:rsidR="00F00B00">
        <w:t xml:space="preserve"> </w:t>
      </w:r>
      <w:r w:rsidRPr="006D3C82">
        <w:t>capitão</w:t>
      </w:r>
      <w:r w:rsidR="00F00B00">
        <w:t xml:space="preserve"> </w:t>
      </w:r>
      <w:r w:rsidRPr="006D3C82">
        <w:t>do</w:t>
      </w:r>
      <w:r w:rsidR="00F00B00">
        <w:t xml:space="preserve"> </w:t>
      </w:r>
      <w:r w:rsidRPr="006D3C82">
        <w:t>mato,</w:t>
      </w:r>
      <w:r w:rsidR="00F00B00">
        <w:t xml:space="preserve"> </w:t>
      </w:r>
      <w:r w:rsidRPr="006D3C82">
        <w:t>perseguindo</w:t>
      </w:r>
      <w:r w:rsidR="00F00B00">
        <w:t xml:space="preserve"> </w:t>
      </w:r>
      <w:r w:rsidRPr="006D3C82">
        <w:t>todos</w:t>
      </w:r>
      <w:r w:rsidR="00F00B00">
        <w:t xml:space="preserve"> </w:t>
      </w:r>
      <w:r w:rsidRPr="006D3C82">
        <w:t>aqueles</w:t>
      </w:r>
      <w:r w:rsidR="00F00B00">
        <w:t xml:space="preserve"> </w:t>
      </w:r>
      <w:r w:rsidRPr="006D3C82">
        <w:t>que</w:t>
      </w:r>
      <w:r w:rsidR="00F00B00">
        <w:t xml:space="preserve"> </w:t>
      </w:r>
      <w:r w:rsidRPr="006D3C82">
        <w:t>não</w:t>
      </w:r>
      <w:r w:rsidR="00F00B00">
        <w:t xml:space="preserve"> </w:t>
      </w:r>
      <w:r w:rsidRPr="006D3C82">
        <w:t>concordam</w:t>
      </w:r>
      <w:r w:rsidR="00F00B00">
        <w:t xml:space="preserve"> </w:t>
      </w:r>
      <w:r w:rsidRPr="006D3C82">
        <w:t>com</w:t>
      </w:r>
      <w:r w:rsidR="00F00B00">
        <w:t xml:space="preserve"> </w:t>
      </w:r>
      <w:r w:rsidRPr="006D3C82">
        <w:t>as</w:t>
      </w:r>
      <w:r w:rsidR="00F00B00">
        <w:t xml:space="preserve"> </w:t>
      </w:r>
      <w:r w:rsidRPr="006D3C82">
        <w:lastRenderedPageBreak/>
        <w:t>suas</w:t>
      </w:r>
      <w:r w:rsidR="00F00B00">
        <w:t xml:space="preserve"> </w:t>
      </w:r>
      <w:r w:rsidRPr="006D3C82">
        <w:t>ideias,</w:t>
      </w:r>
      <w:r w:rsidR="00F00B00">
        <w:t xml:space="preserve"> </w:t>
      </w:r>
      <w:r w:rsidRPr="006D3C82">
        <w:t>que</w:t>
      </w:r>
      <w:r w:rsidR="00F00B00">
        <w:t xml:space="preserve"> </w:t>
      </w:r>
      <w:r w:rsidRPr="006D3C82">
        <w:t>destoam</w:t>
      </w:r>
      <w:r w:rsidR="00F00B00">
        <w:t xml:space="preserve"> </w:t>
      </w:r>
      <w:r w:rsidRPr="006D3C82">
        <w:t>de</w:t>
      </w:r>
      <w:r w:rsidR="00F00B00">
        <w:t xml:space="preserve"> </w:t>
      </w:r>
      <w:r w:rsidRPr="006D3C82">
        <w:t>seu</w:t>
      </w:r>
      <w:r w:rsidR="00F00B00">
        <w:t xml:space="preserve"> </w:t>
      </w:r>
      <w:r w:rsidRPr="006D3C82">
        <w:t>discurso.</w:t>
      </w:r>
      <w:r w:rsidR="00F00B00">
        <w:t xml:space="preserve"> </w:t>
      </w:r>
      <w:r w:rsidRPr="006D3C82">
        <w:t>As</w:t>
      </w:r>
      <w:r w:rsidR="00F00B00">
        <w:t xml:space="preserve"> </w:t>
      </w:r>
      <w:r w:rsidRPr="006D3C82">
        <w:t>cotas</w:t>
      </w:r>
      <w:r w:rsidR="00F00B00">
        <w:t xml:space="preserve"> </w:t>
      </w:r>
      <w:r w:rsidRPr="006D3C82">
        <w:t>raciais</w:t>
      </w:r>
      <w:r w:rsidR="00F00B00">
        <w:t xml:space="preserve"> </w:t>
      </w:r>
      <w:r w:rsidRPr="006D3C82">
        <w:t>acabam</w:t>
      </w:r>
      <w:r w:rsidR="00F00B00">
        <w:t xml:space="preserve"> </w:t>
      </w:r>
      <w:r w:rsidRPr="006D3C82">
        <w:t>por</w:t>
      </w:r>
      <w:r w:rsidR="00F00B00">
        <w:t xml:space="preserve"> </w:t>
      </w:r>
      <w:r w:rsidRPr="006D3C82">
        <w:t>reforçar</w:t>
      </w:r>
      <w:r w:rsidR="00F00B00">
        <w:t xml:space="preserve"> </w:t>
      </w:r>
      <w:r w:rsidRPr="006D3C82">
        <w:t>o</w:t>
      </w:r>
      <w:r w:rsidR="00F00B00">
        <w:t xml:space="preserve"> </w:t>
      </w:r>
      <w:r w:rsidRPr="006D3C82">
        <w:t>racismo.</w:t>
      </w:r>
      <w:r w:rsidR="00F00B00">
        <w:t xml:space="preserve"> </w:t>
      </w:r>
      <w:r w:rsidRPr="006D3C82">
        <w:t>Na</w:t>
      </w:r>
      <w:r w:rsidR="00F00B00">
        <w:t xml:space="preserve"> </w:t>
      </w:r>
      <w:r w:rsidRPr="006D3C82">
        <w:t>verdade,</w:t>
      </w:r>
      <w:r w:rsidR="00F00B00">
        <w:t xml:space="preserve"> </w:t>
      </w:r>
      <w:r w:rsidRPr="006D3C82">
        <w:t>somos</w:t>
      </w:r>
      <w:r w:rsidR="00F00B00">
        <w:t xml:space="preserve"> </w:t>
      </w:r>
      <w:r w:rsidRPr="006D3C82">
        <w:t>todos</w:t>
      </w:r>
      <w:r w:rsidR="00F00B00">
        <w:t xml:space="preserve"> </w:t>
      </w:r>
      <w:r w:rsidRPr="006D3C82">
        <w:t>iguais,</w:t>
      </w:r>
      <w:r w:rsidR="00F00B00">
        <w:t xml:space="preserve"> </w:t>
      </w:r>
      <w:r w:rsidRPr="006D3C82">
        <w:t>temos</w:t>
      </w:r>
      <w:r w:rsidR="00F00B00">
        <w:t xml:space="preserve"> </w:t>
      </w:r>
      <w:r w:rsidRPr="006D3C82">
        <w:t>as</w:t>
      </w:r>
      <w:r w:rsidR="00F00B00">
        <w:t xml:space="preserve"> </w:t>
      </w:r>
      <w:r w:rsidRPr="006D3C82">
        <w:t>mesmas</w:t>
      </w:r>
      <w:r w:rsidR="00F00B00">
        <w:t xml:space="preserve"> </w:t>
      </w:r>
      <w:r w:rsidRPr="006D3C82">
        <w:t>capacidades</w:t>
      </w:r>
      <w:r w:rsidR="00F00B00">
        <w:t xml:space="preserve"> </w:t>
      </w:r>
      <w:r w:rsidRPr="006D3C82">
        <w:t>e</w:t>
      </w:r>
      <w:r w:rsidR="00F00B00">
        <w:t xml:space="preserve"> </w:t>
      </w:r>
      <w:r w:rsidRPr="006D3C82">
        <w:t>não</w:t>
      </w:r>
      <w:r w:rsidR="00F00B00">
        <w:t xml:space="preserve"> </w:t>
      </w:r>
      <w:r w:rsidRPr="006D3C82">
        <w:t>precisamos</w:t>
      </w:r>
      <w:r w:rsidR="00F00B00">
        <w:t xml:space="preserve"> </w:t>
      </w:r>
      <w:r w:rsidRPr="006D3C82">
        <w:t>de</w:t>
      </w:r>
      <w:r w:rsidR="00F00B00">
        <w:t xml:space="preserve"> </w:t>
      </w:r>
      <w:r w:rsidRPr="006D3C82">
        <w:t>um</w:t>
      </w:r>
      <w:r w:rsidR="00F00B00">
        <w:t xml:space="preserve"> </w:t>
      </w:r>
      <w:r w:rsidRPr="006D3C82">
        <w:t>privilégio</w:t>
      </w:r>
      <w:r w:rsidR="00F00B00">
        <w:t xml:space="preserve"> </w:t>
      </w:r>
      <w:r w:rsidRPr="006D3C82">
        <w:t>ou</w:t>
      </w:r>
      <w:r w:rsidR="00F00B00">
        <w:t xml:space="preserve"> </w:t>
      </w:r>
      <w:r w:rsidRPr="006D3C82">
        <w:t>de</w:t>
      </w:r>
      <w:r w:rsidR="00F00B00">
        <w:t xml:space="preserve"> </w:t>
      </w:r>
      <w:r w:rsidRPr="00F15621">
        <w:t>outro</w:t>
      </w:r>
      <w:r w:rsidR="00F15621">
        <w:t>.</w:t>
      </w:r>
    </w:p>
    <w:p w14:paraId="6FA72656" w14:textId="77777777" w:rsidR="0089181C" w:rsidRPr="0089181C" w:rsidRDefault="0089181C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57A705D5" w14:textId="4B368832" w:rsidR="0089181C" w:rsidRPr="0089181C" w:rsidRDefault="009C51A1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Narrativas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esta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produzidas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âmbito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atuações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combate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aos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direitos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disseminação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ódio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movimentos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regressivos.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Combate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conquistas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criação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SEPPIR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as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leis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proteção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difusão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história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cultura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afro-brasileira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indígena</w:t>
      </w:r>
      <w:r w:rsidR="00F00B00">
        <w:rPr>
          <w:rFonts w:ascii="Arial" w:hAnsi="Arial" w:cs="Arial"/>
          <w:lang w:val="pt-BR"/>
        </w:rPr>
        <w:t xml:space="preserve"> </w:t>
      </w:r>
      <w:r w:rsidR="00CD409F">
        <w:rPr>
          <w:rFonts w:ascii="Arial" w:hAnsi="Arial" w:cs="Arial"/>
          <w:lang w:val="pt-BR"/>
        </w:rPr>
        <w:t>as</w:t>
      </w:r>
      <w:r w:rsidR="00F00B00">
        <w:rPr>
          <w:rFonts w:ascii="Arial" w:hAnsi="Arial" w:cs="Arial"/>
          <w:lang w:val="pt-BR"/>
        </w:rPr>
        <w:t xml:space="preserve"> </w:t>
      </w:r>
      <w:r w:rsidR="00CD409F">
        <w:rPr>
          <w:rFonts w:ascii="Arial" w:hAnsi="Arial" w:cs="Arial"/>
          <w:lang w:val="pt-BR"/>
        </w:rPr>
        <w:t>quais,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junto</w:t>
      </w:r>
      <w:r w:rsidR="00F00B00">
        <w:rPr>
          <w:rFonts w:ascii="Arial" w:hAnsi="Arial" w:cs="Arial"/>
          <w:lang w:val="pt-BR"/>
        </w:rPr>
        <w:t xml:space="preserve"> </w:t>
      </w:r>
      <w:r w:rsidR="00610108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instituição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cotas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universidades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serviço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público</w:t>
      </w:r>
      <w:r w:rsidR="00CD409F">
        <w:rPr>
          <w:rFonts w:ascii="Arial" w:hAnsi="Arial" w:cs="Arial"/>
          <w:lang w:val="pt-BR"/>
        </w:rPr>
        <w:t>,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intervieram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lógica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meritocracia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privilégios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vistos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naturais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sagrados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pelas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classes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médias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alta.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inserção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negros/as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pobres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universidades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por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meio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ações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afirmativas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é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um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fatores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levante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reacionário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com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práticas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discursivas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racistas</w:t>
      </w:r>
      <w:r w:rsidR="00F00B00">
        <w:rPr>
          <w:rFonts w:ascii="Arial" w:hAnsi="Arial" w:cs="Arial"/>
          <w:lang w:val="pt-BR"/>
        </w:rPr>
        <w:t xml:space="preserve"> </w:t>
      </w:r>
      <w:r w:rsidR="00CD409F">
        <w:rPr>
          <w:rFonts w:ascii="Arial" w:hAnsi="Arial" w:cs="Arial"/>
          <w:lang w:val="pt-BR"/>
        </w:rPr>
        <w:t>em</w:t>
      </w:r>
      <w:r w:rsidR="00F00B00">
        <w:rPr>
          <w:rFonts w:ascii="Arial" w:hAnsi="Arial" w:cs="Arial"/>
          <w:lang w:val="pt-BR"/>
        </w:rPr>
        <w:t xml:space="preserve"> </w:t>
      </w:r>
      <w:r w:rsidR="00CD409F">
        <w:rPr>
          <w:rFonts w:ascii="Arial" w:hAnsi="Arial" w:cs="Arial"/>
          <w:lang w:val="pt-BR"/>
        </w:rPr>
        <w:t>que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racismo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surge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indiretamente</w:t>
      </w:r>
      <w:r w:rsidR="00CD409F">
        <w:rPr>
          <w:rFonts w:ascii="Arial" w:hAnsi="Arial" w:cs="Arial"/>
          <w:lang w:val="pt-BR"/>
        </w:rPr>
        <w:t>,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seio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discursos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em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defesa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meritocracia,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competitividade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individualismo</w:t>
      </w:r>
      <w:r w:rsidR="00F00B00">
        <w:rPr>
          <w:rFonts w:ascii="Arial" w:hAnsi="Arial" w:cs="Arial"/>
          <w:lang w:val="pt-BR"/>
        </w:rPr>
        <w:t xml:space="preserve"> </w:t>
      </w:r>
      <w:r w:rsidR="00610108" w:rsidRPr="0089181C">
        <w:rPr>
          <w:rFonts w:ascii="Arial" w:hAnsi="Arial" w:cs="Arial"/>
          <w:lang w:val="pt-BR"/>
        </w:rPr>
        <w:t>liberal.</w:t>
      </w:r>
    </w:p>
    <w:p w14:paraId="7D47DE8B" w14:textId="4D5243F1" w:rsidR="0089181C" w:rsidRPr="007040F7" w:rsidRDefault="00185135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Assim</w:t>
      </w:r>
      <w:r w:rsidR="009465F6" w:rsidRPr="007040F7">
        <w:rPr>
          <w:rFonts w:ascii="Arial" w:hAnsi="Arial" w:cs="Arial"/>
          <w:lang w:val="pt-BR"/>
        </w:rPr>
        <w:t>,</w:t>
      </w:r>
      <w:r w:rsidR="00F00B00">
        <w:rPr>
          <w:rFonts w:ascii="Arial" w:hAnsi="Arial" w:cs="Arial"/>
          <w:lang w:val="pt-BR"/>
        </w:rPr>
        <w:t xml:space="preserve"> </w:t>
      </w:r>
      <w:r w:rsidR="009465F6" w:rsidRPr="007040F7">
        <w:rPr>
          <w:rFonts w:ascii="Arial" w:hAnsi="Arial" w:cs="Arial"/>
          <w:lang w:val="pt-BR"/>
        </w:rPr>
        <w:t>o</w:t>
      </w:r>
      <w:r w:rsidR="00F00B00">
        <w:rPr>
          <w:rFonts w:ascii="Arial" w:hAnsi="Arial" w:cs="Arial"/>
          <w:lang w:val="pt-BR"/>
        </w:rPr>
        <w:t xml:space="preserve"> </w:t>
      </w:r>
      <w:r w:rsidR="009465F6" w:rsidRPr="007040F7">
        <w:rPr>
          <w:rFonts w:ascii="Arial" w:hAnsi="Arial" w:cs="Arial"/>
          <w:lang w:val="pt-BR"/>
        </w:rPr>
        <w:t>autorita</w:t>
      </w:r>
      <w:r w:rsidR="0089181C" w:rsidRPr="007040F7">
        <w:rPr>
          <w:rFonts w:ascii="Arial" w:hAnsi="Arial" w:cs="Arial"/>
          <w:lang w:val="pt-BR"/>
        </w:rPr>
        <w:t>rismo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ganh</w:t>
      </w:r>
      <w:r w:rsidR="009465F6" w:rsidRPr="007040F7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intensidade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</w:t>
      </w:r>
      <w:r w:rsidR="0089181C" w:rsidRPr="007040F7">
        <w:rPr>
          <w:rFonts w:ascii="Arial" w:hAnsi="Arial" w:cs="Arial"/>
          <w:lang w:val="pt-BR"/>
        </w:rPr>
        <w:t>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classes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médias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alta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junto </w:t>
      </w:r>
      <w:r w:rsidR="007D1B0A">
        <w:rPr>
          <w:rFonts w:ascii="Arial" w:hAnsi="Arial" w:cs="Arial"/>
          <w:lang w:val="pt-BR"/>
        </w:rPr>
        <w:t xml:space="preserve">com </w:t>
      </w:r>
      <w:r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percepção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perda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privilégios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seculares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pelo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compartilhamento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espaços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sociais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entendidos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exclusivos,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com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pobres,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negros/as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mulheres</w:t>
      </w:r>
      <w:r>
        <w:rPr>
          <w:rFonts w:ascii="Arial" w:hAnsi="Arial" w:cs="Arial"/>
          <w:lang w:val="pt-BR"/>
        </w:rPr>
        <w:t>: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universidades,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posições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mando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empresas,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shoppings,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restaurantes,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aeroportos,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entre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outros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(</w:t>
      </w:r>
      <w:r w:rsidR="002F1EF1" w:rsidRPr="007040F7">
        <w:rPr>
          <w:rFonts w:ascii="Arial" w:hAnsi="Arial" w:cs="Arial"/>
          <w:lang w:val="pt-BR"/>
        </w:rPr>
        <w:t>MESSEMBERGER</w:t>
      </w:r>
      <w:r w:rsidR="0089181C" w:rsidRPr="007040F7">
        <w:rPr>
          <w:rFonts w:ascii="Arial" w:hAnsi="Arial" w:cs="Arial"/>
          <w:lang w:val="pt-BR"/>
        </w:rPr>
        <w:t>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7040F7">
        <w:rPr>
          <w:rFonts w:ascii="Arial" w:hAnsi="Arial" w:cs="Arial"/>
          <w:lang w:val="pt-BR"/>
        </w:rPr>
        <w:t>2017).</w:t>
      </w:r>
    </w:p>
    <w:p w14:paraId="57871D8E" w14:textId="77223D89" w:rsidR="0089181C" w:rsidRPr="0089181C" w:rsidRDefault="0089181C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meritocracia,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segundo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Pierre</w:t>
      </w:r>
      <w:r w:rsidR="00F00B00">
        <w:rPr>
          <w:rFonts w:ascii="Arial" w:hAnsi="Arial" w:cs="Arial"/>
          <w:lang w:val="pt-BR"/>
        </w:rPr>
        <w:t xml:space="preserve"> </w:t>
      </w:r>
      <w:proofErr w:type="spellStart"/>
      <w:r w:rsidRPr="0089181C">
        <w:rPr>
          <w:rFonts w:ascii="Arial" w:hAnsi="Arial" w:cs="Arial"/>
          <w:lang w:val="pt-BR"/>
        </w:rPr>
        <w:t>Bordieu</w:t>
      </w:r>
      <w:proofErr w:type="spellEnd"/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(2007),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por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ocultar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produção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desempenhos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diferenciais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entre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sujeitos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transmutados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em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“qualidades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inatas”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superioridade.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Neste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sentido,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é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esteio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naturalização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desigualdades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legitimação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hierarquias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autoritárias.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Nesta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direção,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práticas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discursivas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setores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movimentos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reacionários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articulam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meritocracia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fundamento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discursivo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combate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às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cotas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demais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ações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afirmativas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intuito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justificar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“superioridade”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direito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natural</w:t>
      </w:r>
      <w:r w:rsidR="00F00B00">
        <w:rPr>
          <w:rFonts w:ascii="Arial" w:hAnsi="Arial" w:cs="Arial"/>
          <w:lang w:val="pt-BR"/>
        </w:rPr>
        <w:t xml:space="preserve"> </w:t>
      </w:r>
      <w:r w:rsidR="006D3C82">
        <w:rPr>
          <w:rFonts w:ascii="Arial" w:hAnsi="Arial" w:cs="Arial"/>
          <w:lang w:val="pt-BR"/>
        </w:rPr>
        <w:t>dos</w:t>
      </w:r>
      <w:r w:rsidR="00F00B00">
        <w:rPr>
          <w:rFonts w:ascii="Arial" w:hAnsi="Arial" w:cs="Arial"/>
          <w:lang w:val="pt-BR"/>
        </w:rPr>
        <w:t xml:space="preserve"> </w:t>
      </w:r>
      <w:r w:rsidR="006D3C82">
        <w:rPr>
          <w:rFonts w:ascii="Arial" w:hAnsi="Arial" w:cs="Arial"/>
          <w:lang w:val="pt-BR"/>
        </w:rPr>
        <w:t>segmentos</w:t>
      </w:r>
      <w:r w:rsidR="00F00B00">
        <w:rPr>
          <w:rFonts w:ascii="Arial" w:hAnsi="Arial" w:cs="Arial"/>
          <w:lang w:val="pt-BR"/>
        </w:rPr>
        <w:t xml:space="preserve"> </w:t>
      </w:r>
      <w:r w:rsidR="006D3C82">
        <w:rPr>
          <w:rFonts w:ascii="Arial" w:hAnsi="Arial" w:cs="Arial"/>
          <w:lang w:val="pt-BR"/>
        </w:rPr>
        <w:t>sociais</w:t>
      </w:r>
      <w:r w:rsidR="00F00B00">
        <w:rPr>
          <w:rFonts w:ascii="Arial" w:hAnsi="Arial" w:cs="Arial"/>
          <w:lang w:val="pt-BR"/>
        </w:rPr>
        <w:t xml:space="preserve"> </w:t>
      </w:r>
      <w:r w:rsidR="006D3C82">
        <w:rPr>
          <w:rFonts w:ascii="Arial" w:hAnsi="Arial" w:cs="Arial"/>
          <w:lang w:val="pt-BR"/>
        </w:rPr>
        <w:t>situados</w:t>
      </w:r>
      <w:r w:rsidR="00F00B00">
        <w:rPr>
          <w:rFonts w:ascii="Arial" w:hAnsi="Arial" w:cs="Arial"/>
          <w:lang w:val="pt-BR"/>
        </w:rPr>
        <w:t xml:space="preserve"> </w:t>
      </w:r>
      <w:r w:rsidR="006D3C82"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 w:rsidR="00884064">
        <w:rPr>
          <w:rFonts w:ascii="Arial" w:hAnsi="Arial" w:cs="Arial"/>
          <w:lang w:val="pt-BR"/>
        </w:rPr>
        <w:t>campo</w:t>
      </w:r>
      <w:r w:rsidR="00F00B00">
        <w:rPr>
          <w:rFonts w:ascii="Arial" w:hAnsi="Arial" w:cs="Arial"/>
          <w:lang w:val="pt-BR"/>
        </w:rPr>
        <w:t xml:space="preserve"> </w:t>
      </w:r>
      <w:r w:rsidR="00884064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884064">
        <w:rPr>
          <w:rFonts w:ascii="Arial" w:hAnsi="Arial" w:cs="Arial"/>
          <w:lang w:val="pt-BR"/>
        </w:rPr>
        <w:t>branquitude,</w:t>
      </w:r>
      <w:r w:rsidR="00F00B00">
        <w:rPr>
          <w:rFonts w:ascii="Arial" w:hAnsi="Arial" w:cs="Arial"/>
          <w:lang w:val="pt-BR"/>
        </w:rPr>
        <w:t xml:space="preserve"> </w:t>
      </w:r>
      <w:r w:rsidR="00CD409F">
        <w:rPr>
          <w:rFonts w:ascii="Arial" w:hAnsi="Arial" w:cs="Arial"/>
          <w:lang w:val="pt-BR"/>
        </w:rPr>
        <w:t>campo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acesso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privilegiado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bens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materiais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simbólicos.</w:t>
      </w:r>
      <w:r w:rsidR="00DB72F6">
        <w:rPr>
          <w:rFonts w:ascii="Arial" w:hAnsi="Arial" w:cs="Arial"/>
          <w:lang w:val="pt-BR"/>
        </w:rPr>
        <w:t xml:space="preserve"> </w:t>
      </w:r>
    </w:p>
    <w:p w14:paraId="39E63BF4" w14:textId="5C218664" w:rsidR="00FA548E" w:rsidRPr="0089181C" w:rsidRDefault="0089181C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89181C">
        <w:rPr>
          <w:rFonts w:ascii="Arial" w:hAnsi="Arial" w:cs="Arial"/>
          <w:lang w:val="pt-BR"/>
        </w:rPr>
        <w:t>N</w:t>
      </w:r>
      <w:r w:rsidR="00580FBF">
        <w:rPr>
          <w:rFonts w:ascii="Arial" w:hAnsi="Arial" w:cs="Arial"/>
          <w:lang w:val="pt-BR"/>
        </w:rPr>
        <w:t>o</w:t>
      </w:r>
      <w:r w:rsidR="00F00B00">
        <w:rPr>
          <w:rFonts w:ascii="Arial" w:hAnsi="Arial" w:cs="Arial"/>
          <w:lang w:val="pt-BR"/>
        </w:rPr>
        <w:t xml:space="preserve"> </w:t>
      </w:r>
      <w:r w:rsidR="00580FBF">
        <w:rPr>
          <w:rFonts w:ascii="Arial" w:hAnsi="Arial" w:cs="Arial"/>
          <w:lang w:val="pt-BR"/>
        </w:rPr>
        <w:t>seio</w:t>
      </w:r>
      <w:r w:rsidR="00F00B00">
        <w:rPr>
          <w:rFonts w:ascii="Arial" w:hAnsi="Arial" w:cs="Arial"/>
          <w:lang w:val="pt-BR"/>
        </w:rPr>
        <w:t xml:space="preserve"> </w:t>
      </w:r>
      <w:r w:rsidR="00580FBF">
        <w:rPr>
          <w:rFonts w:ascii="Arial" w:hAnsi="Arial" w:cs="Arial"/>
          <w:lang w:val="pt-BR"/>
        </w:rPr>
        <w:t>deste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contexto,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mostra-se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frutífera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concepção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</w:t>
      </w:r>
      <w:r w:rsidR="00DB72F6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racionalidade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neoliberal</w:t>
      </w:r>
      <w:r w:rsidR="00F00B00">
        <w:rPr>
          <w:rFonts w:ascii="Arial" w:hAnsi="Arial" w:cs="Arial"/>
          <w:lang w:val="pt-BR"/>
        </w:rPr>
        <w:t xml:space="preserve"> </w:t>
      </w:r>
      <w:r w:rsidR="00A724AA">
        <w:rPr>
          <w:rFonts w:ascii="Arial" w:hAnsi="Arial" w:cs="Arial"/>
          <w:lang w:val="pt-BR"/>
        </w:rPr>
        <w:t>que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tem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característica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central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generalização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concorrência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lastRenderedPageBreak/>
        <w:t>como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norma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conduta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modelo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subjetivação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(</w:t>
      </w:r>
      <w:r w:rsidR="003F2CA6" w:rsidRPr="0089181C">
        <w:rPr>
          <w:rFonts w:ascii="Arial" w:hAnsi="Arial" w:cs="Arial"/>
          <w:lang w:val="pt-BR"/>
        </w:rPr>
        <w:t>DARDOT</w:t>
      </w:r>
      <w:r w:rsidR="00F00B00">
        <w:rPr>
          <w:rFonts w:ascii="Arial" w:hAnsi="Arial" w:cs="Arial"/>
          <w:lang w:val="pt-BR"/>
        </w:rPr>
        <w:t xml:space="preserve">; </w:t>
      </w:r>
      <w:r w:rsidR="003F2CA6" w:rsidRPr="0089181C">
        <w:rPr>
          <w:rFonts w:ascii="Arial" w:hAnsi="Arial" w:cs="Arial"/>
          <w:lang w:val="pt-BR"/>
        </w:rPr>
        <w:t>LAVAL</w:t>
      </w:r>
      <w:r w:rsidR="00F00B00">
        <w:rPr>
          <w:rFonts w:ascii="Arial" w:hAnsi="Arial" w:cs="Arial"/>
          <w:lang w:val="pt-BR"/>
        </w:rPr>
        <w:t>, 2016</w:t>
      </w:r>
      <w:r w:rsidRPr="0089181C">
        <w:rPr>
          <w:rFonts w:ascii="Arial" w:hAnsi="Arial" w:cs="Arial"/>
          <w:lang w:val="pt-BR"/>
        </w:rPr>
        <w:t>)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que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orientam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os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movimentos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regressivos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DB72F6">
        <w:rPr>
          <w:rFonts w:ascii="Arial" w:hAnsi="Arial" w:cs="Arial"/>
          <w:lang w:val="pt-BR"/>
        </w:rPr>
        <w:t>são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alvo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nossas</w:t>
      </w:r>
      <w:r w:rsidR="00F00B00">
        <w:rPr>
          <w:rFonts w:ascii="Arial" w:hAnsi="Arial" w:cs="Arial"/>
          <w:lang w:val="pt-BR"/>
        </w:rPr>
        <w:t xml:space="preserve"> </w:t>
      </w:r>
      <w:r w:rsidR="00CA0476">
        <w:rPr>
          <w:rFonts w:ascii="Arial" w:hAnsi="Arial" w:cs="Arial"/>
          <w:lang w:val="pt-BR"/>
        </w:rPr>
        <w:t>pesquisas.</w:t>
      </w:r>
    </w:p>
    <w:p w14:paraId="789ED7C9" w14:textId="416468BB" w:rsidR="00610108" w:rsidRDefault="00610108" w:rsidP="006101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4412B3E9" w14:textId="54C6A287" w:rsidR="003003F0" w:rsidRPr="003003F0" w:rsidRDefault="003003F0" w:rsidP="00F00B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pt-BR"/>
        </w:rPr>
      </w:pPr>
      <w:r w:rsidRPr="003003F0">
        <w:rPr>
          <w:rFonts w:ascii="Arial" w:hAnsi="Arial" w:cs="Arial"/>
          <w:b/>
          <w:bCs/>
          <w:lang w:val="pt-BR"/>
        </w:rPr>
        <w:t>CONSIDERAÇÕES</w:t>
      </w:r>
      <w:r w:rsidR="00F00B00">
        <w:rPr>
          <w:rFonts w:ascii="Arial" w:hAnsi="Arial" w:cs="Arial"/>
          <w:b/>
          <w:bCs/>
          <w:lang w:val="pt-BR"/>
        </w:rPr>
        <w:t xml:space="preserve"> </w:t>
      </w:r>
      <w:r w:rsidRPr="003003F0">
        <w:rPr>
          <w:rFonts w:ascii="Arial" w:hAnsi="Arial" w:cs="Arial"/>
          <w:b/>
          <w:bCs/>
          <w:lang w:val="pt-BR"/>
        </w:rPr>
        <w:t>FINAIS</w:t>
      </w:r>
    </w:p>
    <w:p w14:paraId="25455A7F" w14:textId="77777777" w:rsidR="00F00B00" w:rsidRDefault="00F00B00" w:rsidP="006101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09A9B390" w14:textId="4DA43401" w:rsidR="00610108" w:rsidRPr="00E842FC" w:rsidRDefault="00610108" w:rsidP="006101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 w:rsidRPr="0089181C">
        <w:rPr>
          <w:rFonts w:ascii="Arial" w:hAnsi="Arial" w:cs="Arial"/>
          <w:lang w:val="pt-BR"/>
        </w:rPr>
        <w:t>Nos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primeiros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quinze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(</w:t>
      </w:r>
      <w:r w:rsidRPr="0089181C">
        <w:rPr>
          <w:rFonts w:ascii="Arial" w:hAnsi="Arial" w:cs="Arial"/>
          <w:lang w:val="pt-BR"/>
        </w:rPr>
        <w:t>15</w:t>
      </w:r>
      <w:r>
        <w:rPr>
          <w:rFonts w:ascii="Arial" w:hAnsi="Arial" w:cs="Arial"/>
          <w:lang w:val="pt-BR"/>
        </w:rPr>
        <w:t>)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anos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século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XXI,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políticas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valorização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salário,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programas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inclusão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social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ações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afirmativas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para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negros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mulheres,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geraram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transformações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substantivas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padrões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integração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exclusão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Brasil.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Segmentos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sociais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historicamente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excluídos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passaram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ocupar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espaços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dividir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o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uso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serviços,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nunca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antes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compartilhados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pela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classe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média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pela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burguesia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nacional</w:t>
      </w:r>
      <w:r w:rsidR="00F00B00">
        <w:rPr>
          <w:rFonts w:ascii="Arial" w:hAnsi="Arial" w:cs="Arial"/>
          <w:lang w:val="pt-BR"/>
        </w:rPr>
        <w:t xml:space="preserve"> </w:t>
      </w:r>
      <w:r w:rsidRPr="00E842FC">
        <w:rPr>
          <w:rFonts w:ascii="Arial" w:hAnsi="Arial" w:cs="Arial"/>
          <w:lang w:val="pt-BR"/>
        </w:rPr>
        <w:t>(</w:t>
      </w:r>
      <w:r w:rsidR="003F2CA6" w:rsidRPr="00E842FC">
        <w:rPr>
          <w:rFonts w:ascii="Arial" w:hAnsi="Arial" w:cs="Arial"/>
          <w:lang w:val="pt-BR"/>
        </w:rPr>
        <w:t>AVRITZER</w:t>
      </w:r>
      <w:r w:rsidR="00F00B00">
        <w:rPr>
          <w:rFonts w:ascii="Arial" w:hAnsi="Arial" w:cs="Arial"/>
          <w:lang w:val="pt-BR"/>
        </w:rPr>
        <w:t>, 2016).</w:t>
      </w:r>
    </w:p>
    <w:p w14:paraId="3231AC4A" w14:textId="4044A4E5" w:rsidR="0089181C" w:rsidRPr="0089181C" w:rsidRDefault="009C4E63" w:rsidP="008918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perspectiva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neoliberal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conjuga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fortemente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é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alimentada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pelas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estruturas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racistas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classistas.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neoliberalismo</w:t>
      </w:r>
      <w:r w:rsidR="00F00B00">
        <w:rPr>
          <w:rFonts w:ascii="Arial" w:hAnsi="Arial" w:cs="Arial"/>
          <w:lang w:val="pt-BR"/>
        </w:rPr>
        <w:t xml:space="preserve"> </w:t>
      </w:r>
      <w:r w:rsidR="00CF1C32">
        <w:rPr>
          <w:rFonts w:ascii="Arial" w:hAnsi="Arial" w:cs="Arial"/>
          <w:lang w:val="pt-BR"/>
        </w:rPr>
        <w:t>deve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ser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compreendido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sistema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normativo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difusor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práticas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discursivas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que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sustentam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E842FC">
        <w:rPr>
          <w:rFonts w:ascii="Arial" w:hAnsi="Arial" w:cs="Arial"/>
          <w:lang w:val="pt-BR"/>
        </w:rPr>
        <w:t>lógica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capital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individualismo,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competição,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acumulação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riquezas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naturalização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desigualdade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violências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para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amplas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esferas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relações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sociais.</w:t>
      </w:r>
      <w:r w:rsidR="00F00B00">
        <w:rPr>
          <w:rFonts w:ascii="Arial" w:hAnsi="Arial" w:cs="Arial"/>
          <w:lang w:val="pt-BR"/>
        </w:rPr>
        <w:t xml:space="preserve"> </w:t>
      </w:r>
      <w:r w:rsidR="00B5068E">
        <w:rPr>
          <w:rFonts w:ascii="Arial" w:hAnsi="Arial" w:cs="Arial"/>
          <w:lang w:val="pt-BR"/>
        </w:rPr>
        <w:t>(</w:t>
      </w:r>
      <w:r w:rsidR="00F00B00">
        <w:rPr>
          <w:rFonts w:ascii="Arial" w:hAnsi="Arial" w:cs="Arial"/>
          <w:lang w:val="pt-BR"/>
        </w:rPr>
        <w:t xml:space="preserve">DARDOT; </w:t>
      </w:r>
      <w:r w:rsidR="003F2CA6">
        <w:rPr>
          <w:rFonts w:ascii="Arial" w:hAnsi="Arial" w:cs="Arial"/>
          <w:lang w:val="pt-BR"/>
        </w:rPr>
        <w:t>LAVAL</w:t>
      </w:r>
      <w:r w:rsidR="00B5068E">
        <w:rPr>
          <w:rFonts w:ascii="Arial" w:hAnsi="Arial" w:cs="Arial"/>
          <w:lang w:val="pt-BR"/>
        </w:rPr>
        <w:t>,</w:t>
      </w:r>
      <w:r w:rsidR="00F00B00">
        <w:rPr>
          <w:rFonts w:ascii="Arial" w:hAnsi="Arial" w:cs="Arial"/>
          <w:lang w:val="pt-BR"/>
        </w:rPr>
        <w:t xml:space="preserve"> </w:t>
      </w:r>
      <w:r w:rsidR="00B5068E">
        <w:rPr>
          <w:rFonts w:ascii="Arial" w:hAnsi="Arial" w:cs="Arial"/>
          <w:lang w:val="pt-BR"/>
        </w:rPr>
        <w:t>2016)</w:t>
      </w:r>
      <w:r w:rsidR="0089181C" w:rsidRPr="0089181C">
        <w:rPr>
          <w:rFonts w:ascii="Arial" w:hAnsi="Arial" w:cs="Arial"/>
          <w:lang w:val="pt-BR"/>
        </w:rPr>
        <w:t>.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As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concepções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sociedade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percebida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uma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constelação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indivíduos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fragmentados,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que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têm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disputa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superação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uns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sobre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outros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norma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central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é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parte</w:t>
      </w:r>
      <w:r w:rsidR="00F00B00">
        <w:rPr>
          <w:rFonts w:ascii="Arial" w:hAnsi="Arial" w:cs="Arial"/>
          <w:lang w:val="pt-BR"/>
        </w:rPr>
        <w:t xml:space="preserve"> </w:t>
      </w:r>
      <w:r w:rsidR="00ED02C1">
        <w:rPr>
          <w:rFonts w:ascii="Arial" w:hAnsi="Arial" w:cs="Arial"/>
          <w:lang w:val="pt-BR"/>
        </w:rPr>
        <w:t>fundamental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cosmovisão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neoliberal.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seio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desta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rede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indivíduos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atuantes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sujeição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seus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oponentes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situados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grupos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humanos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inferiorizados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enquanto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perdedores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deturpadores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ordem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social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acordo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com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razão</w:t>
      </w:r>
      <w:r w:rsidR="00F00B00">
        <w:rPr>
          <w:rFonts w:ascii="Arial" w:hAnsi="Arial" w:cs="Arial"/>
          <w:lang w:val="pt-BR"/>
        </w:rPr>
        <w:t xml:space="preserve"> </w:t>
      </w:r>
      <w:r w:rsidR="00E06E7D">
        <w:rPr>
          <w:rFonts w:ascii="Arial" w:hAnsi="Arial" w:cs="Arial"/>
          <w:lang w:val="pt-BR"/>
        </w:rPr>
        <w:t>neoliberal,</w:t>
      </w:r>
      <w:r w:rsidR="00F00B00">
        <w:rPr>
          <w:rFonts w:ascii="Arial" w:hAnsi="Arial" w:cs="Arial"/>
          <w:lang w:val="pt-BR"/>
        </w:rPr>
        <w:t xml:space="preserve"> </w:t>
      </w:r>
      <w:r w:rsidR="00E06E7D">
        <w:rPr>
          <w:rFonts w:ascii="Arial" w:hAnsi="Arial" w:cs="Arial"/>
          <w:lang w:val="pt-BR"/>
        </w:rPr>
        <w:t>esta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cosmovisão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autoritária.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Nesta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lógica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negros,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mulheres,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populações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empobrecidas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e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outros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definidos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como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inferiores,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os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indesejáveis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na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perspectiva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autoritária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do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contexto</w:t>
      </w:r>
      <w:r w:rsidR="00F00B00">
        <w:rPr>
          <w:rFonts w:ascii="Arial" w:hAnsi="Arial" w:cs="Arial"/>
          <w:lang w:val="pt-BR"/>
        </w:rPr>
        <w:t xml:space="preserve"> </w:t>
      </w:r>
      <w:r w:rsidR="0089181C" w:rsidRPr="0089181C">
        <w:rPr>
          <w:rFonts w:ascii="Arial" w:hAnsi="Arial" w:cs="Arial"/>
          <w:lang w:val="pt-BR"/>
        </w:rPr>
        <w:t>brasileiro.</w:t>
      </w:r>
    </w:p>
    <w:p w14:paraId="47CB8237" w14:textId="77777777" w:rsidR="00FA548E" w:rsidRPr="0089181C" w:rsidRDefault="00FA548E" w:rsidP="007040F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pt-BR"/>
        </w:rPr>
      </w:pPr>
    </w:p>
    <w:p w14:paraId="64ACBCFE" w14:textId="64336433" w:rsidR="00F55E86" w:rsidRDefault="00F00B00">
      <w:pPr>
        <w:pStyle w:val="NormalWeb"/>
        <w:spacing w:before="0" w:after="0" w:line="360" w:lineRule="auto"/>
        <w:jc w:val="both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  <w:b/>
          <w:bCs/>
        </w:rPr>
        <w:t>REFERÊNCIAS</w:t>
      </w:r>
    </w:p>
    <w:p w14:paraId="5F451824" w14:textId="77777777" w:rsidR="00F00B00" w:rsidRDefault="00F00B00" w:rsidP="002F1EF1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</w:p>
    <w:p w14:paraId="65802796" w14:textId="0C5E289C" w:rsidR="003F2CA6" w:rsidRPr="004C4C86" w:rsidRDefault="003F2CA6" w:rsidP="002F1EF1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  <w:r w:rsidRPr="004C4C86">
        <w:rPr>
          <w:rFonts w:ascii="Arial" w:eastAsia="Calibri-Light" w:hAnsi="Arial" w:cs="Arial"/>
          <w:sz w:val="22"/>
          <w:szCs w:val="22"/>
          <w:lang w:val="pt-BR"/>
        </w:rPr>
        <w:t>AVRITZER,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Leonardo.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Italic" w:hAnsi="Arial" w:cs="Arial"/>
          <w:b/>
          <w:bCs/>
          <w:sz w:val="22"/>
          <w:szCs w:val="22"/>
          <w:lang w:val="pt-BR"/>
        </w:rPr>
        <w:t>Impasses</w:t>
      </w:r>
      <w:r w:rsidR="00F00B00">
        <w:rPr>
          <w:rFonts w:ascii="Arial" w:eastAsia="Calibri-LightItalic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Italic" w:hAnsi="Arial" w:cs="Arial"/>
          <w:b/>
          <w:bCs/>
          <w:sz w:val="22"/>
          <w:szCs w:val="22"/>
          <w:lang w:val="pt-BR"/>
        </w:rPr>
        <w:t>da</w:t>
      </w:r>
      <w:r w:rsidR="00F00B00">
        <w:rPr>
          <w:rFonts w:ascii="Arial" w:eastAsia="Calibri-LightItalic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Italic" w:hAnsi="Arial" w:cs="Arial"/>
          <w:b/>
          <w:bCs/>
          <w:sz w:val="22"/>
          <w:szCs w:val="22"/>
          <w:lang w:val="pt-BR"/>
        </w:rPr>
        <w:t>democracia</w:t>
      </w:r>
      <w:r w:rsidR="00F00B00">
        <w:rPr>
          <w:rFonts w:ascii="Arial" w:eastAsia="Calibri-LightItalic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Italic" w:hAnsi="Arial" w:cs="Arial"/>
          <w:b/>
          <w:bCs/>
          <w:sz w:val="22"/>
          <w:szCs w:val="22"/>
          <w:lang w:val="pt-BR"/>
        </w:rPr>
        <w:t>no</w:t>
      </w:r>
      <w:r w:rsidR="00F00B00">
        <w:rPr>
          <w:rFonts w:ascii="Arial" w:eastAsia="Calibri-LightItalic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Italic" w:hAnsi="Arial" w:cs="Arial"/>
          <w:b/>
          <w:bCs/>
          <w:sz w:val="22"/>
          <w:szCs w:val="22"/>
          <w:lang w:val="pt-BR"/>
        </w:rPr>
        <w:t>Brasil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Rio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de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Janeiro: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Civilização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Brasileira,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2016.</w:t>
      </w:r>
    </w:p>
    <w:p w14:paraId="2F266F2F" w14:textId="77777777" w:rsidR="002F1EF1" w:rsidRPr="004C4C86" w:rsidRDefault="002F1EF1" w:rsidP="002F1EF1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</w:p>
    <w:p w14:paraId="5B3D00FB" w14:textId="50A1EDD5" w:rsidR="002F1EF1" w:rsidRPr="004C4C86" w:rsidRDefault="002F1EF1" w:rsidP="002F1EF1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  <w:r w:rsidRPr="004C4C86">
        <w:rPr>
          <w:rFonts w:ascii="Arial" w:eastAsia="Calibri-Light" w:hAnsi="Arial" w:cs="Arial"/>
          <w:sz w:val="22"/>
          <w:szCs w:val="22"/>
          <w:lang w:val="pt-BR"/>
        </w:rPr>
        <w:t>BOURDIEU,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Pierre.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A</w:t>
      </w:r>
      <w:r w:rsidR="00F00B00">
        <w:rPr>
          <w:rFonts w:ascii="Arial" w:eastAsia="Calibri-Light" w:hAnsi="Arial" w:cs="Arial"/>
          <w:b/>
          <w:sz w:val="22"/>
          <w:szCs w:val="22"/>
          <w:lang w:val="pt-BR"/>
        </w:rPr>
        <w:t xml:space="preserve"> 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distin</w:t>
      </w:r>
      <w:r w:rsidRPr="00F00B00">
        <w:rPr>
          <w:rFonts w:ascii="Arial" w:eastAsia="Calibri-Light" w:hAnsi="Arial" w:cs="Arial" w:hint="eastAsia"/>
          <w:b/>
          <w:sz w:val="22"/>
          <w:szCs w:val="22"/>
          <w:lang w:val="pt-BR"/>
        </w:rPr>
        <w:t>çã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o: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cr</w:t>
      </w:r>
      <w:r w:rsidRPr="004C4C86">
        <w:rPr>
          <w:rFonts w:ascii="Arial" w:eastAsia="Calibri-Light" w:hAnsi="Arial" w:cs="Arial" w:hint="eastAsia"/>
          <w:sz w:val="22"/>
          <w:szCs w:val="22"/>
          <w:lang w:val="pt-BR"/>
        </w:rPr>
        <w:t>í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tica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social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julgamento.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</w:t>
      </w:r>
      <w:r w:rsidRPr="004C4C86">
        <w:rPr>
          <w:rFonts w:ascii="Arial" w:eastAsia="Calibri-Light" w:hAnsi="Arial" w:cs="Arial" w:hint="eastAsia"/>
          <w:sz w:val="22"/>
          <w:szCs w:val="22"/>
          <w:lang w:val="pt-BR"/>
        </w:rPr>
        <w:t>ã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Paulo;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Porto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Alegre: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Editora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Edusp;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Zouk,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2007.</w:t>
      </w:r>
    </w:p>
    <w:p w14:paraId="05860A48" w14:textId="77777777" w:rsidR="002F1EF1" w:rsidRPr="004C4C86" w:rsidRDefault="002F1EF1" w:rsidP="002F1EF1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</w:p>
    <w:p w14:paraId="608E419E" w14:textId="0D9AA5DA" w:rsidR="00E55A58" w:rsidRDefault="00F2110C" w:rsidP="00F00B00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E55A58">
        <w:rPr>
          <w:rFonts w:ascii="Arial" w:hAnsi="Arial" w:cs="Arial"/>
          <w:sz w:val="22"/>
          <w:szCs w:val="22"/>
        </w:rPr>
        <w:t>CHALHOUB,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Sidney.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b/>
          <w:bCs/>
          <w:sz w:val="22"/>
          <w:szCs w:val="22"/>
        </w:rPr>
        <w:t>Cidade</w:t>
      </w:r>
      <w:r w:rsidR="00F00B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55A58">
        <w:rPr>
          <w:rFonts w:ascii="Arial" w:hAnsi="Arial" w:cs="Arial"/>
          <w:b/>
          <w:bCs/>
          <w:sz w:val="22"/>
          <w:szCs w:val="22"/>
        </w:rPr>
        <w:t>Febril</w:t>
      </w:r>
      <w:r w:rsidRPr="00E55A58">
        <w:rPr>
          <w:rFonts w:ascii="Arial" w:hAnsi="Arial" w:cs="Arial"/>
          <w:sz w:val="22"/>
          <w:szCs w:val="22"/>
        </w:rPr>
        <w:t>: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cortiços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e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epidemias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na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corte.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São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Paulo: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Companhia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das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Letras,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E55A58">
        <w:rPr>
          <w:rFonts w:ascii="Arial" w:hAnsi="Arial" w:cs="Arial"/>
          <w:sz w:val="22"/>
          <w:szCs w:val="22"/>
        </w:rPr>
        <w:t>1996.</w:t>
      </w:r>
    </w:p>
    <w:p w14:paraId="61EA79C7" w14:textId="77777777" w:rsidR="00F00B00" w:rsidRPr="00E55A58" w:rsidRDefault="00F00B00" w:rsidP="00F00B00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F9327F1" w14:textId="022304C2" w:rsidR="00E55A58" w:rsidRPr="004C4C86" w:rsidRDefault="00E55A58" w:rsidP="00E55A58">
      <w:pPr>
        <w:tabs>
          <w:tab w:val="left" w:pos="90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C4C86">
        <w:rPr>
          <w:rFonts w:ascii="Arial" w:hAnsi="Arial" w:cs="Arial"/>
          <w:sz w:val="22"/>
          <w:szCs w:val="22"/>
          <w:lang w:val="pt-BR"/>
        </w:rPr>
        <w:t>CUNHA,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Maria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Clementina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Pereira.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b/>
          <w:bCs/>
          <w:sz w:val="22"/>
          <w:szCs w:val="22"/>
          <w:lang w:val="pt-BR"/>
        </w:rPr>
        <w:t>O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b/>
          <w:bCs/>
          <w:sz w:val="22"/>
          <w:szCs w:val="22"/>
          <w:lang w:val="pt-BR"/>
        </w:rPr>
        <w:t>espelho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b/>
          <w:bCs/>
          <w:sz w:val="22"/>
          <w:szCs w:val="22"/>
          <w:lang w:val="pt-BR"/>
        </w:rPr>
        <w:t>do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b/>
          <w:bCs/>
          <w:sz w:val="22"/>
          <w:szCs w:val="22"/>
          <w:lang w:val="pt-BR"/>
        </w:rPr>
        <w:t>mundo</w:t>
      </w:r>
      <w:r w:rsidRPr="004C4C86">
        <w:rPr>
          <w:rFonts w:ascii="Arial" w:hAnsi="Arial" w:cs="Arial"/>
          <w:sz w:val="22"/>
          <w:szCs w:val="22"/>
          <w:lang w:val="pt-BR"/>
        </w:rPr>
        <w:t>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4C4C86">
        <w:rPr>
          <w:rFonts w:ascii="Arial" w:hAnsi="Arial" w:cs="Arial"/>
          <w:sz w:val="22"/>
          <w:szCs w:val="22"/>
          <w:lang w:val="pt-BR"/>
        </w:rPr>
        <w:t>Juquery</w:t>
      </w:r>
      <w:proofErr w:type="spellEnd"/>
      <w:r w:rsidRPr="004C4C86">
        <w:rPr>
          <w:rFonts w:ascii="Arial" w:hAnsi="Arial" w:cs="Arial"/>
          <w:sz w:val="22"/>
          <w:szCs w:val="22"/>
          <w:lang w:val="pt-BR"/>
        </w:rPr>
        <w:t>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história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de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um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asilo.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2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ed.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São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Paulo: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Paz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Terra,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hAnsi="Arial" w:cs="Arial"/>
          <w:sz w:val="22"/>
          <w:szCs w:val="22"/>
          <w:lang w:val="pt-BR"/>
        </w:rPr>
        <w:t>1988.</w:t>
      </w:r>
    </w:p>
    <w:p w14:paraId="16BF5750" w14:textId="458562C4" w:rsidR="00FE062C" w:rsidRPr="004C4C86" w:rsidRDefault="00FE062C" w:rsidP="00E55A58">
      <w:pPr>
        <w:tabs>
          <w:tab w:val="left" w:pos="902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6B7BF854" w14:textId="4BBD9C25" w:rsidR="00FE062C" w:rsidRPr="004C4C86" w:rsidRDefault="00FE062C" w:rsidP="00FE062C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  <w:r w:rsidRPr="004C4C86">
        <w:rPr>
          <w:rFonts w:ascii="Arial" w:eastAsia="Calibri-Light" w:hAnsi="Arial" w:cs="Arial"/>
          <w:sz w:val="22"/>
          <w:szCs w:val="22"/>
          <w:lang w:val="pt-BR"/>
        </w:rPr>
        <w:t>DARDOT,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Pierre;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LAVAL,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Christian.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bCs/>
          <w:sz w:val="22"/>
          <w:szCs w:val="22"/>
          <w:lang w:val="pt-BR"/>
        </w:rPr>
        <w:t>A</w:t>
      </w:r>
      <w:r w:rsidR="00F00B00">
        <w:rPr>
          <w:rFonts w:ascii="Arial" w:eastAsia="Calibri-Light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bCs/>
          <w:sz w:val="22"/>
          <w:szCs w:val="22"/>
          <w:lang w:val="pt-BR"/>
        </w:rPr>
        <w:t>nova</w:t>
      </w:r>
      <w:r w:rsidR="00F00B00">
        <w:rPr>
          <w:rFonts w:ascii="Arial" w:eastAsia="Calibri-Light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bCs/>
          <w:sz w:val="22"/>
          <w:szCs w:val="22"/>
          <w:lang w:val="pt-BR"/>
        </w:rPr>
        <w:t>raz</w:t>
      </w:r>
      <w:r w:rsidRPr="004C4C86">
        <w:rPr>
          <w:rFonts w:ascii="Arial" w:eastAsia="Calibri-Light" w:hAnsi="Arial" w:cs="Arial" w:hint="eastAsia"/>
          <w:b/>
          <w:bCs/>
          <w:sz w:val="22"/>
          <w:szCs w:val="22"/>
          <w:lang w:val="pt-BR"/>
        </w:rPr>
        <w:t>ã</w:t>
      </w:r>
      <w:r w:rsidRPr="004C4C86">
        <w:rPr>
          <w:rFonts w:ascii="Arial" w:eastAsia="Calibri-Light" w:hAnsi="Arial" w:cs="Arial"/>
          <w:b/>
          <w:bCs/>
          <w:sz w:val="22"/>
          <w:szCs w:val="22"/>
          <w:lang w:val="pt-BR"/>
        </w:rPr>
        <w:t>o</w:t>
      </w:r>
      <w:r w:rsidR="00F00B00">
        <w:rPr>
          <w:rFonts w:ascii="Arial" w:eastAsia="Calibri-Light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bCs/>
          <w:sz w:val="22"/>
          <w:szCs w:val="22"/>
          <w:lang w:val="pt-BR"/>
        </w:rPr>
        <w:t>do</w:t>
      </w:r>
      <w:r w:rsidR="00F00B00">
        <w:rPr>
          <w:rFonts w:ascii="Arial" w:eastAsia="Calibri-Light" w:hAnsi="Arial" w:cs="Arial"/>
          <w:b/>
          <w:bCs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bCs/>
          <w:sz w:val="22"/>
          <w:szCs w:val="22"/>
          <w:lang w:val="pt-BR"/>
        </w:rPr>
        <w:t>mundo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ensaio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sobre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sociedade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neoliberal.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</w:t>
      </w:r>
      <w:r w:rsidRPr="004C4C86">
        <w:rPr>
          <w:rFonts w:ascii="Arial" w:eastAsia="Calibri-Light" w:hAnsi="Arial" w:cs="Arial" w:hint="eastAsia"/>
          <w:sz w:val="22"/>
          <w:szCs w:val="22"/>
          <w:lang w:val="pt-BR"/>
        </w:rPr>
        <w:t>ã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Paulo: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proofErr w:type="spellStart"/>
      <w:r w:rsidRPr="004C4C86">
        <w:rPr>
          <w:rFonts w:ascii="Arial" w:eastAsia="Calibri-Light" w:hAnsi="Arial" w:cs="Arial"/>
          <w:sz w:val="22"/>
          <w:szCs w:val="22"/>
          <w:lang w:val="pt-BR"/>
        </w:rPr>
        <w:t>Boitempo</w:t>
      </w:r>
      <w:proofErr w:type="spellEnd"/>
      <w:r w:rsidRPr="004C4C86">
        <w:rPr>
          <w:rFonts w:ascii="Arial" w:eastAsia="Calibri-Light" w:hAnsi="Arial" w:cs="Arial"/>
          <w:sz w:val="22"/>
          <w:szCs w:val="22"/>
          <w:lang w:val="pt-BR"/>
        </w:rPr>
        <w:t>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2016.</w:t>
      </w:r>
    </w:p>
    <w:p w14:paraId="302D3E39" w14:textId="77777777" w:rsidR="00C24D0D" w:rsidRPr="004C4C86" w:rsidRDefault="00C24D0D" w:rsidP="00C24D0D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  <w:lang w:val="pt-BR"/>
        </w:rPr>
      </w:pPr>
    </w:p>
    <w:p w14:paraId="0977778C" w14:textId="2A245F5E" w:rsidR="00F15621" w:rsidRDefault="00F15621" w:rsidP="00F15621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  <w:lang w:val="pt-BR"/>
        </w:rPr>
      </w:pPr>
      <w:r w:rsidRPr="0029101D">
        <w:rPr>
          <w:rFonts w:ascii="Arial" w:hAnsi="Arial" w:cs="Arial"/>
          <w:color w:val="050505"/>
          <w:sz w:val="22"/>
          <w:szCs w:val="22"/>
          <w:lang w:val="pt-BR"/>
        </w:rPr>
        <w:t xml:space="preserve">ECO, Umberto. </w:t>
      </w:r>
      <w:proofErr w:type="spellStart"/>
      <w:r w:rsidR="0029101D" w:rsidRPr="0029101D">
        <w:rPr>
          <w:rFonts w:ascii="Arial" w:hAnsi="Arial" w:cs="Arial"/>
          <w:b/>
          <w:color w:val="050505"/>
          <w:sz w:val="22"/>
          <w:szCs w:val="22"/>
          <w:lang w:val="pt-BR"/>
        </w:rPr>
        <w:t>Facismo</w:t>
      </w:r>
      <w:proofErr w:type="spellEnd"/>
      <w:r w:rsidR="0029101D" w:rsidRPr="0029101D">
        <w:rPr>
          <w:rFonts w:ascii="Arial" w:hAnsi="Arial" w:cs="Arial"/>
          <w:b/>
          <w:color w:val="050505"/>
          <w:sz w:val="22"/>
          <w:szCs w:val="22"/>
          <w:lang w:val="pt-BR"/>
        </w:rPr>
        <w:t xml:space="preserve"> eterno.</w:t>
      </w:r>
      <w:r w:rsidR="0029101D" w:rsidRPr="0029101D">
        <w:rPr>
          <w:rFonts w:ascii="Arial" w:hAnsi="Arial" w:cs="Arial"/>
          <w:color w:val="050505"/>
          <w:sz w:val="22"/>
          <w:szCs w:val="22"/>
          <w:lang w:val="pt-BR"/>
        </w:rPr>
        <w:t xml:space="preserve"> Rio de Janeiro: Record, </w:t>
      </w:r>
      <w:r w:rsidRPr="0029101D">
        <w:rPr>
          <w:rFonts w:ascii="Arial" w:hAnsi="Arial" w:cs="Arial"/>
          <w:color w:val="050505"/>
          <w:sz w:val="22"/>
          <w:szCs w:val="22"/>
          <w:lang w:val="pt-BR"/>
        </w:rPr>
        <w:t>1995.</w:t>
      </w:r>
    </w:p>
    <w:p w14:paraId="6107F775" w14:textId="77777777" w:rsidR="00F15621" w:rsidRDefault="00F15621" w:rsidP="00F15621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  <w:lang w:val="pt-BR"/>
        </w:rPr>
      </w:pPr>
    </w:p>
    <w:p w14:paraId="08D839D4" w14:textId="4731EAC2" w:rsidR="00C24D0D" w:rsidRPr="00F00B00" w:rsidRDefault="00C24D0D" w:rsidP="00F15621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  <w:lang w:val="pt-BR"/>
        </w:rPr>
      </w:pPr>
      <w:r w:rsidRPr="00F15621">
        <w:rPr>
          <w:rFonts w:ascii="Arial" w:hAnsi="Arial" w:cs="Arial"/>
          <w:color w:val="050505"/>
          <w:sz w:val="22"/>
          <w:szCs w:val="22"/>
          <w:lang w:val="pt-BR"/>
        </w:rPr>
        <w:t>HOLIDAY,</w:t>
      </w:r>
      <w:r w:rsidR="00F00B00" w:rsidRPr="00F15621">
        <w:rPr>
          <w:rFonts w:ascii="Arial" w:hAnsi="Arial" w:cs="Arial"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color w:val="050505"/>
          <w:sz w:val="22"/>
          <w:szCs w:val="22"/>
          <w:lang w:val="pt-BR"/>
        </w:rPr>
        <w:t>Fernando.</w:t>
      </w:r>
      <w:r w:rsidR="00F00B00" w:rsidRPr="00F15621">
        <w:rPr>
          <w:rFonts w:ascii="Arial" w:hAnsi="Arial" w:cs="Arial"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>Sobre</w:t>
      </w:r>
      <w:r w:rsidR="00F00B00"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>a</w:t>
      </w:r>
      <w:r w:rsidR="00F00B00"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>doutrinação</w:t>
      </w:r>
      <w:r w:rsidR="00F00B00"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>marxista</w:t>
      </w:r>
      <w:r w:rsidR="00F00B00"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>nas</w:t>
      </w:r>
      <w:r w:rsidR="00F00B00"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 xml:space="preserve"> </w:t>
      </w:r>
      <w:r w:rsidRPr="00F15621">
        <w:rPr>
          <w:rFonts w:ascii="Arial" w:hAnsi="Arial" w:cs="Arial"/>
          <w:b/>
          <w:bCs/>
          <w:color w:val="050505"/>
          <w:sz w:val="22"/>
          <w:szCs w:val="22"/>
          <w:lang w:val="pt-BR"/>
        </w:rPr>
        <w:t>universidades</w:t>
      </w:r>
      <w:r w:rsidR="00F15621" w:rsidRPr="00F15621">
        <w:rPr>
          <w:rFonts w:ascii="Arial" w:hAnsi="Arial" w:cs="Arial"/>
          <w:color w:val="050505"/>
          <w:sz w:val="22"/>
          <w:szCs w:val="22"/>
          <w:lang w:val="pt-BR"/>
        </w:rPr>
        <w:t xml:space="preserve">. Disponível em: </w:t>
      </w:r>
      <w:hyperlink r:id="rId8" w:history="1">
        <w:r w:rsidR="00F15621" w:rsidRPr="00F15621">
          <w:rPr>
            <w:rStyle w:val="Hyperlink"/>
            <w:rFonts w:ascii="Arial" w:hAnsi="Arial" w:cs="Arial"/>
            <w:sz w:val="22"/>
            <w:szCs w:val="22"/>
            <w:u w:val="none"/>
            <w:lang w:val="pt-BR"/>
          </w:rPr>
          <w:t>https://www.youtube.com/watch?v=oS8GMbHDqP4</w:t>
        </w:r>
      </w:hyperlink>
      <w:r w:rsidR="00F15621" w:rsidRPr="00F15621">
        <w:rPr>
          <w:rFonts w:ascii="Arial" w:hAnsi="Arial" w:cs="Arial"/>
          <w:color w:val="050505"/>
          <w:sz w:val="22"/>
          <w:szCs w:val="22"/>
          <w:lang w:val="pt-BR"/>
        </w:rPr>
        <w:t>.</w:t>
      </w:r>
      <w:r w:rsidR="00F15621">
        <w:rPr>
          <w:rFonts w:ascii="Arial" w:hAnsi="Arial" w:cs="Arial"/>
          <w:color w:val="050505"/>
          <w:sz w:val="22"/>
          <w:szCs w:val="22"/>
          <w:lang w:val="pt-BR"/>
        </w:rPr>
        <w:t xml:space="preserve"> </w:t>
      </w:r>
      <w:r w:rsidRPr="00F00B00">
        <w:rPr>
          <w:rFonts w:ascii="Arial" w:hAnsi="Arial" w:cs="Arial"/>
          <w:color w:val="050505"/>
          <w:sz w:val="22"/>
          <w:szCs w:val="22"/>
          <w:lang w:val="pt-BR"/>
        </w:rPr>
        <w:t>Acesso</w:t>
      </w:r>
      <w:r w:rsidR="00F00B00" w:rsidRPr="00F00B00">
        <w:rPr>
          <w:rFonts w:ascii="Arial" w:hAnsi="Arial" w:cs="Arial"/>
          <w:color w:val="050505"/>
          <w:sz w:val="22"/>
          <w:szCs w:val="22"/>
          <w:lang w:val="pt-BR"/>
        </w:rPr>
        <w:t xml:space="preserve"> </w:t>
      </w:r>
      <w:r w:rsidRPr="00F00B00">
        <w:rPr>
          <w:rFonts w:ascii="Arial" w:hAnsi="Arial" w:cs="Arial"/>
          <w:color w:val="050505"/>
          <w:sz w:val="22"/>
          <w:szCs w:val="22"/>
          <w:lang w:val="pt-BR"/>
        </w:rPr>
        <w:t>em</w:t>
      </w:r>
      <w:r w:rsidR="00F00B00">
        <w:rPr>
          <w:rFonts w:ascii="Arial" w:hAnsi="Arial" w:cs="Arial"/>
          <w:color w:val="050505"/>
          <w:sz w:val="22"/>
          <w:szCs w:val="22"/>
          <w:lang w:val="pt-BR"/>
        </w:rPr>
        <w:t>: 30</w:t>
      </w:r>
      <w:r w:rsidR="00F00B00" w:rsidRPr="00F00B00">
        <w:rPr>
          <w:rFonts w:ascii="Arial" w:hAnsi="Arial" w:cs="Arial"/>
          <w:color w:val="050505"/>
          <w:sz w:val="22"/>
          <w:szCs w:val="22"/>
          <w:lang w:val="pt-BR"/>
        </w:rPr>
        <w:t xml:space="preserve"> </w:t>
      </w:r>
      <w:r w:rsidRPr="00F00B00">
        <w:rPr>
          <w:rFonts w:ascii="Arial" w:hAnsi="Arial" w:cs="Arial"/>
          <w:color w:val="050505"/>
          <w:sz w:val="22"/>
          <w:szCs w:val="22"/>
          <w:lang w:val="pt-BR"/>
        </w:rPr>
        <w:t>maio</w:t>
      </w:r>
      <w:r w:rsidR="00F00B00" w:rsidRPr="00F00B00">
        <w:rPr>
          <w:rFonts w:ascii="Arial" w:hAnsi="Arial" w:cs="Arial"/>
          <w:color w:val="050505"/>
          <w:sz w:val="22"/>
          <w:szCs w:val="22"/>
          <w:lang w:val="pt-BR"/>
        </w:rPr>
        <w:t xml:space="preserve"> </w:t>
      </w:r>
      <w:r w:rsidRPr="00F00B00">
        <w:rPr>
          <w:rFonts w:ascii="Arial" w:hAnsi="Arial" w:cs="Arial"/>
          <w:color w:val="050505"/>
          <w:sz w:val="22"/>
          <w:szCs w:val="22"/>
          <w:lang w:val="pt-BR"/>
        </w:rPr>
        <w:t>2022.</w:t>
      </w:r>
    </w:p>
    <w:p w14:paraId="29631AC2" w14:textId="77777777" w:rsidR="00FE062C" w:rsidRPr="004C4C86" w:rsidRDefault="00FE062C" w:rsidP="00F15621">
      <w:pPr>
        <w:autoSpaceDE w:val="0"/>
        <w:autoSpaceDN w:val="0"/>
        <w:adjustRightInd w:val="0"/>
        <w:jc w:val="both"/>
        <w:rPr>
          <w:rFonts w:ascii="Arial" w:eastAsia="Calibri-Light" w:hAnsi="Arial" w:cs="Arial"/>
          <w:sz w:val="22"/>
          <w:szCs w:val="22"/>
          <w:lang w:val="pt-BR"/>
        </w:rPr>
      </w:pPr>
    </w:p>
    <w:p w14:paraId="247756DA" w14:textId="64A63434" w:rsidR="009C4E63" w:rsidRPr="004C4C86" w:rsidRDefault="009C4E63" w:rsidP="00F15621">
      <w:pPr>
        <w:jc w:val="both"/>
        <w:rPr>
          <w:rFonts w:ascii="Arial" w:eastAsia="Calibri-Light" w:hAnsi="Arial" w:cs="Arial"/>
          <w:sz w:val="22"/>
          <w:szCs w:val="22"/>
          <w:lang w:val="pt-BR"/>
        </w:rPr>
      </w:pPr>
      <w:r w:rsidRPr="004C4C86">
        <w:rPr>
          <w:rFonts w:ascii="Arial" w:eastAsia="Calibri-Light" w:hAnsi="Arial" w:cs="Arial"/>
          <w:sz w:val="22"/>
          <w:szCs w:val="22"/>
          <w:lang w:val="pt-BR"/>
        </w:rPr>
        <w:t>MARTINS,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Marcos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Francisco.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Educação,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Cidadania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Regressiva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e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Movimentos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Sociais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Regressivos: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="00F15621">
        <w:rPr>
          <w:rFonts w:ascii="Arial" w:eastAsia="Calibri-Light" w:hAnsi="Arial" w:cs="Arial"/>
          <w:sz w:val="22"/>
          <w:szCs w:val="22"/>
          <w:lang w:val="pt-BR"/>
        </w:rPr>
        <w:t>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MBL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em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Questão.</w:t>
      </w:r>
      <w:r w:rsidR="00F00B00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sz w:val="22"/>
          <w:szCs w:val="22"/>
          <w:lang w:val="pt-BR"/>
        </w:rPr>
        <w:t>Crítica</w:t>
      </w:r>
      <w:r w:rsidR="00F00B00">
        <w:rPr>
          <w:rFonts w:ascii="Arial" w:eastAsia="Calibri-Light" w:hAnsi="Arial" w:cs="Arial"/>
          <w:b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b/>
          <w:sz w:val="22"/>
          <w:szCs w:val="22"/>
          <w:lang w:val="pt-BR"/>
        </w:rPr>
        <w:t>Educativa,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Sorocaba/SP,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v.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4,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n.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2,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41-68,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jul./dez.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2018.</w:t>
      </w:r>
    </w:p>
    <w:p w14:paraId="20BFD661" w14:textId="77777777" w:rsidR="009C4E63" w:rsidRPr="004C4C86" w:rsidRDefault="009C4E63" w:rsidP="00F15621">
      <w:pPr>
        <w:jc w:val="both"/>
        <w:rPr>
          <w:rFonts w:ascii="Arial" w:eastAsia="Calibri-Light" w:hAnsi="Arial" w:cs="Arial"/>
          <w:sz w:val="22"/>
          <w:szCs w:val="22"/>
          <w:lang w:val="pt-BR"/>
        </w:rPr>
      </w:pPr>
    </w:p>
    <w:p w14:paraId="4A982DFD" w14:textId="7B3907BB" w:rsidR="00FE062C" w:rsidRPr="004C4C86" w:rsidRDefault="00FE062C" w:rsidP="00F156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4C4C86">
        <w:rPr>
          <w:rFonts w:ascii="Arial" w:eastAsia="Calibri-Light" w:hAnsi="Arial" w:cs="Arial"/>
          <w:sz w:val="22"/>
          <w:szCs w:val="22"/>
          <w:lang w:val="pt-BR"/>
        </w:rPr>
        <w:t>MESSEMBERG,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Débora.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Direita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que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Saiu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Armário: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a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Cosmovisão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dos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Manifestantes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Direita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Brasileiros.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Revista</w:t>
      </w:r>
      <w:r w:rsidR="00F00B00" w:rsidRPr="00F00B00">
        <w:rPr>
          <w:rFonts w:ascii="Arial" w:eastAsia="Calibri-Light" w:hAnsi="Arial" w:cs="Arial"/>
          <w:b/>
          <w:sz w:val="22"/>
          <w:szCs w:val="22"/>
          <w:lang w:val="pt-BR"/>
        </w:rPr>
        <w:t xml:space="preserve"> 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Estado</w:t>
      </w:r>
      <w:r w:rsidR="00F00B00" w:rsidRPr="00F00B00">
        <w:rPr>
          <w:rFonts w:ascii="Arial" w:eastAsia="Calibri-Light" w:hAnsi="Arial" w:cs="Arial"/>
          <w:b/>
          <w:sz w:val="22"/>
          <w:szCs w:val="22"/>
          <w:lang w:val="pt-BR"/>
        </w:rPr>
        <w:t xml:space="preserve"> 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e</w:t>
      </w:r>
      <w:r w:rsidR="00F00B00" w:rsidRPr="00F00B00">
        <w:rPr>
          <w:rFonts w:ascii="Arial" w:eastAsia="Calibri-Light" w:hAnsi="Arial" w:cs="Arial"/>
          <w:b/>
          <w:sz w:val="22"/>
          <w:szCs w:val="22"/>
          <w:lang w:val="pt-BR"/>
        </w:rPr>
        <w:t xml:space="preserve"> </w:t>
      </w:r>
      <w:r w:rsidRPr="00F00B00">
        <w:rPr>
          <w:rFonts w:ascii="Arial" w:eastAsia="Calibri-Light" w:hAnsi="Arial" w:cs="Arial"/>
          <w:b/>
          <w:sz w:val="22"/>
          <w:szCs w:val="22"/>
          <w:lang w:val="pt-BR"/>
        </w:rPr>
        <w:t>Sociedade,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v.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32,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n.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3,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p.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621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>-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647,</w:t>
      </w:r>
      <w:r w:rsidR="00F00B00">
        <w:rPr>
          <w:rFonts w:ascii="Arial" w:eastAsia="Calibri-Light" w:hAnsi="Arial" w:cs="Arial"/>
          <w:sz w:val="22"/>
          <w:szCs w:val="22"/>
          <w:lang w:val="pt-BR"/>
        </w:rPr>
        <w:t xml:space="preserve"> </w:t>
      </w:r>
      <w:r w:rsidRPr="004C4C86">
        <w:rPr>
          <w:rFonts w:ascii="Arial" w:eastAsia="Calibri-Light" w:hAnsi="Arial" w:cs="Arial"/>
          <w:sz w:val="22"/>
          <w:szCs w:val="22"/>
          <w:lang w:val="pt-BR"/>
        </w:rPr>
        <w:t>2017.</w:t>
      </w:r>
    </w:p>
    <w:p w14:paraId="3C9F3575" w14:textId="652CCE68" w:rsidR="00E55A58" w:rsidRPr="00FE062C" w:rsidRDefault="00E55A58" w:rsidP="00F15621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14:paraId="537C370D" w14:textId="47D15D4C" w:rsidR="00FE062C" w:rsidRPr="004C4C86" w:rsidRDefault="00F00B00" w:rsidP="00F1562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00B00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MOVIMENTO BRASIL LIVRE - </w:t>
      </w:r>
      <w:r w:rsidRPr="00F00B00">
        <w:rPr>
          <w:rFonts w:ascii="Arial" w:hAnsi="Arial" w:cs="Arial"/>
          <w:color w:val="000000"/>
          <w:sz w:val="22"/>
          <w:szCs w:val="22"/>
          <w:lang w:val="pt-BR"/>
        </w:rPr>
        <w:t>MBL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>Manual</w:t>
      </w:r>
      <w:r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FE062C"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>de</w:t>
      </w:r>
      <w:r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FE062C"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>Instruções</w:t>
      </w:r>
      <w:r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FE062C"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>para</w:t>
      </w:r>
      <w:r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FE062C"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>Filiais</w:t>
      </w:r>
      <w:r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="00FE062C" w:rsidRPr="00F15621">
        <w:rPr>
          <w:rFonts w:ascii="Arial" w:hAnsi="Arial" w:cs="Arial"/>
          <w:b/>
          <w:color w:val="000000"/>
          <w:sz w:val="22"/>
          <w:szCs w:val="22"/>
          <w:lang w:val="pt-BR"/>
        </w:rPr>
        <w:t>Municipais.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2015.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Disponível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em: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https://pt.scribd.com/doc/277263728/Manual-de-Filiais-do-MBL?fbclid=IwAR2mEcr21uKZjsRzLuW-I410-Do7axq3Z8_mXR</w:t>
      </w:r>
      <w:r>
        <w:rPr>
          <w:rFonts w:ascii="Arial" w:hAnsi="Arial" w:cs="Arial"/>
          <w:color w:val="000000"/>
          <w:sz w:val="22"/>
          <w:szCs w:val="22"/>
          <w:lang w:val="pt-BR"/>
        </w:rPr>
        <w:t>KIU8t25crlmlRZiM_Wue0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Acesso: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30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maio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FE062C" w:rsidRPr="004C4C86">
        <w:rPr>
          <w:rFonts w:ascii="Arial" w:hAnsi="Arial" w:cs="Arial"/>
          <w:color w:val="000000"/>
          <w:sz w:val="22"/>
          <w:szCs w:val="22"/>
          <w:lang w:val="pt-BR"/>
        </w:rPr>
        <w:t>2022.</w:t>
      </w:r>
    </w:p>
    <w:p w14:paraId="28F64B93" w14:textId="77777777" w:rsidR="008008B5" w:rsidRDefault="008008B5" w:rsidP="00F15621">
      <w:pPr>
        <w:pStyle w:val="Corpodetexto2"/>
        <w:rPr>
          <w:rFonts w:ascii="Arial" w:hAnsi="Arial" w:cs="Arial"/>
          <w:sz w:val="22"/>
          <w:szCs w:val="22"/>
        </w:rPr>
      </w:pPr>
    </w:p>
    <w:p w14:paraId="7CC83C77" w14:textId="3D019920" w:rsidR="003F2CA6" w:rsidRPr="003F2CA6" w:rsidRDefault="003F2CA6" w:rsidP="00F15621">
      <w:pPr>
        <w:pStyle w:val="Corpodetexto2"/>
        <w:rPr>
          <w:rFonts w:ascii="Arial" w:hAnsi="Arial" w:cs="Arial"/>
          <w:sz w:val="22"/>
          <w:szCs w:val="22"/>
        </w:rPr>
      </w:pPr>
      <w:r w:rsidRPr="003F2CA6">
        <w:rPr>
          <w:rFonts w:ascii="Arial" w:hAnsi="Arial" w:cs="Arial"/>
          <w:sz w:val="22"/>
          <w:szCs w:val="22"/>
        </w:rPr>
        <w:t>PRATES,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Prisco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da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Cruz.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b/>
          <w:bCs/>
          <w:sz w:val="22"/>
          <w:szCs w:val="22"/>
        </w:rPr>
        <w:t>Ribeirão</w:t>
      </w:r>
      <w:r w:rsidR="00F00B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CA6">
        <w:rPr>
          <w:rFonts w:ascii="Arial" w:hAnsi="Arial" w:cs="Arial"/>
          <w:b/>
          <w:bCs/>
          <w:sz w:val="22"/>
          <w:szCs w:val="22"/>
        </w:rPr>
        <w:t>Preto</w:t>
      </w:r>
      <w:r w:rsidR="00F00B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CA6">
        <w:rPr>
          <w:rFonts w:ascii="Arial" w:hAnsi="Arial" w:cs="Arial"/>
          <w:b/>
          <w:bCs/>
          <w:sz w:val="22"/>
          <w:szCs w:val="22"/>
        </w:rPr>
        <w:t>de</w:t>
      </w:r>
      <w:r w:rsidR="00F00B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CA6">
        <w:rPr>
          <w:rFonts w:ascii="Arial" w:hAnsi="Arial" w:cs="Arial"/>
          <w:b/>
          <w:bCs/>
          <w:sz w:val="22"/>
          <w:szCs w:val="22"/>
        </w:rPr>
        <w:t>Outrora.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São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Paulo: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Gráfica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José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Ortiz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Júnior,</w:t>
      </w:r>
      <w:r w:rsidR="00F00B00">
        <w:rPr>
          <w:rFonts w:ascii="Arial" w:hAnsi="Arial" w:cs="Arial"/>
          <w:sz w:val="22"/>
          <w:szCs w:val="22"/>
        </w:rPr>
        <w:t xml:space="preserve"> </w:t>
      </w:r>
      <w:r w:rsidRPr="003F2CA6">
        <w:rPr>
          <w:rFonts w:ascii="Arial" w:hAnsi="Arial" w:cs="Arial"/>
          <w:sz w:val="22"/>
          <w:szCs w:val="22"/>
        </w:rPr>
        <w:t>1956.</w:t>
      </w:r>
    </w:p>
    <w:p w14:paraId="2067BC5D" w14:textId="77777777" w:rsidR="00FE062C" w:rsidRDefault="00FE062C" w:rsidP="00F1562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1E9B7295" w14:textId="5770C8EC" w:rsidR="00E41A02" w:rsidRPr="004C4C86" w:rsidRDefault="00FE062C" w:rsidP="00F1562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41A02">
        <w:rPr>
          <w:rFonts w:ascii="Arial" w:hAnsi="Arial" w:cs="Arial"/>
          <w:sz w:val="22"/>
          <w:szCs w:val="22"/>
          <w:lang w:val="pt-BR"/>
        </w:rPr>
        <w:t>SILVA</w:t>
      </w:r>
      <w:r w:rsidR="00E41A02" w:rsidRPr="00E41A02">
        <w:rPr>
          <w:rFonts w:ascii="Arial" w:hAnsi="Arial" w:cs="Arial"/>
          <w:sz w:val="22"/>
          <w:szCs w:val="22"/>
          <w:lang w:val="pt-BR"/>
        </w:rPr>
        <w:t>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Tatiana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Dias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; </w:t>
      </w:r>
      <w:r w:rsidRPr="00E41A02">
        <w:rPr>
          <w:rFonts w:ascii="Arial" w:hAnsi="Arial" w:cs="Arial"/>
          <w:sz w:val="22"/>
          <w:szCs w:val="22"/>
          <w:lang w:val="pt-BR"/>
        </w:rPr>
        <w:t>GOES</w:t>
      </w:r>
      <w:r w:rsidR="00E41A02" w:rsidRPr="00E41A02">
        <w:rPr>
          <w:rFonts w:ascii="Arial" w:hAnsi="Arial" w:cs="Arial"/>
          <w:sz w:val="22"/>
          <w:szCs w:val="22"/>
          <w:lang w:val="pt-BR"/>
        </w:rPr>
        <w:t>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Fernanda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Lira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(</w:t>
      </w:r>
      <w:proofErr w:type="spellStart"/>
      <w:r w:rsidR="00F00B00">
        <w:rPr>
          <w:rFonts w:ascii="Arial" w:hAnsi="Arial" w:cs="Arial"/>
          <w:sz w:val="22"/>
          <w:szCs w:val="22"/>
          <w:lang w:val="pt-BR"/>
        </w:rPr>
        <w:t>o</w:t>
      </w:r>
      <w:r w:rsidR="00E41A02" w:rsidRPr="00E41A02">
        <w:rPr>
          <w:rFonts w:ascii="Arial" w:hAnsi="Arial" w:cs="Arial"/>
          <w:sz w:val="22"/>
          <w:szCs w:val="22"/>
          <w:lang w:val="pt-BR"/>
        </w:rPr>
        <w:t>rgs</w:t>
      </w:r>
      <w:proofErr w:type="spellEnd"/>
      <w:r w:rsidR="00E41A02" w:rsidRPr="00E41A02">
        <w:rPr>
          <w:rFonts w:ascii="Arial" w:hAnsi="Arial" w:cs="Arial"/>
          <w:sz w:val="22"/>
          <w:szCs w:val="22"/>
          <w:lang w:val="pt-BR"/>
        </w:rPr>
        <w:t>.)</w:t>
      </w:r>
      <w:r w:rsidR="00E41A02">
        <w:rPr>
          <w:rFonts w:ascii="Arial" w:hAnsi="Arial" w:cs="Arial"/>
          <w:sz w:val="22"/>
          <w:szCs w:val="22"/>
          <w:lang w:val="pt-BR"/>
        </w:rPr>
        <w:t>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FE062C">
        <w:rPr>
          <w:rFonts w:ascii="Arial" w:hAnsi="Arial" w:cs="Arial"/>
          <w:b/>
          <w:bCs/>
          <w:sz w:val="22"/>
          <w:szCs w:val="22"/>
          <w:lang w:val="pt-BR"/>
        </w:rPr>
        <w:t>Igualdade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E41A02" w:rsidRPr="00FE062C">
        <w:rPr>
          <w:rFonts w:ascii="Arial" w:hAnsi="Arial" w:cs="Arial"/>
          <w:b/>
          <w:bCs/>
          <w:sz w:val="22"/>
          <w:szCs w:val="22"/>
          <w:lang w:val="pt-BR"/>
        </w:rPr>
        <w:t>Racial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>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r</w:t>
      </w:r>
      <w:r w:rsidR="00E41A02" w:rsidRPr="00E41A02">
        <w:rPr>
          <w:rFonts w:ascii="Arial" w:hAnsi="Arial" w:cs="Arial"/>
          <w:sz w:val="22"/>
          <w:szCs w:val="22"/>
          <w:lang w:val="pt-BR"/>
        </w:rPr>
        <w:t>eflexões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no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Ano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Internacional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dos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Afrodescendentes</w:t>
      </w:r>
      <w:r w:rsidR="00F15621">
        <w:rPr>
          <w:rFonts w:ascii="Arial" w:hAnsi="Arial" w:cs="Arial"/>
          <w:sz w:val="22"/>
          <w:szCs w:val="22"/>
          <w:lang w:val="pt-BR"/>
        </w:rPr>
        <w:t>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7F1D62">
        <w:rPr>
          <w:rFonts w:ascii="Arial" w:hAnsi="Arial" w:cs="Arial"/>
          <w:sz w:val="22"/>
          <w:szCs w:val="22"/>
          <w:lang w:val="pt-BR"/>
        </w:rPr>
        <w:t>Brasília</w:t>
      </w:r>
      <w:r w:rsidR="00E41A02" w:rsidRPr="00E41A02">
        <w:rPr>
          <w:rFonts w:ascii="Arial" w:hAnsi="Arial" w:cs="Arial"/>
          <w:sz w:val="22"/>
          <w:szCs w:val="22"/>
          <w:lang w:val="pt-BR"/>
        </w:rPr>
        <w:t>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Instituto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de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Pesquisas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econômicas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Aplicadas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(IPEA),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E41A02" w:rsidRPr="00E41A02">
        <w:rPr>
          <w:rFonts w:ascii="Arial" w:hAnsi="Arial" w:cs="Arial"/>
          <w:sz w:val="22"/>
          <w:szCs w:val="22"/>
          <w:lang w:val="pt-BR"/>
        </w:rPr>
        <w:t>2013.</w:t>
      </w:r>
    </w:p>
    <w:p w14:paraId="02F75236" w14:textId="77777777" w:rsidR="001717B3" w:rsidRPr="00E55A58" w:rsidRDefault="001717B3" w:rsidP="00F15621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14:paraId="2025F5EF" w14:textId="47E6A6F0" w:rsidR="00E41A02" w:rsidRDefault="00E41A02" w:rsidP="00F15621">
      <w:pPr>
        <w:jc w:val="both"/>
        <w:rPr>
          <w:rFonts w:ascii="Arial" w:hAnsi="Arial" w:cs="Arial"/>
          <w:sz w:val="22"/>
          <w:szCs w:val="22"/>
          <w:lang w:val="pt-BR"/>
        </w:rPr>
      </w:pPr>
      <w:r w:rsidRPr="00F2110C">
        <w:rPr>
          <w:rFonts w:ascii="Arial" w:hAnsi="Arial" w:cs="Arial"/>
          <w:sz w:val="22"/>
          <w:szCs w:val="22"/>
          <w:lang w:val="pt-BR"/>
        </w:rPr>
        <w:t>SODRÉ,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Muniz.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b/>
          <w:bCs/>
          <w:sz w:val="22"/>
          <w:szCs w:val="22"/>
          <w:lang w:val="pt-BR"/>
        </w:rPr>
        <w:t>Claros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b/>
          <w:bCs/>
          <w:sz w:val="22"/>
          <w:szCs w:val="22"/>
          <w:lang w:val="pt-BR"/>
        </w:rPr>
        <w:t>e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b/>
          <w:bCs/>
          <w:sz w:val="22"/>
          <w:szCs w:val="22"/>
          <w:lang w:val="pt-BR"/>
        </w:rPr>
        <w:t>Escuros</w:t>
      </w:r>
      <w:r w:rsidRPr="00F2110C">
        <w:rPr>
          <w:rFonts w:ascii="Arial" w:hAnsi="Arial" w:cs="Arial"/>
          <w:sz w:val="22"/>
          <w:szCs w:val="22"/>
          <w:lang w:val="pt-BR"/>
        </w:rPr>
        <w:t>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Identidade,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povo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mídia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no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F15621">
        <w:rPr>
          <w:rFonts w:ascii="Arial" w:hAnsi="Arial" w:cs="Arial"/>
          <w:sz w:val="22"/>
          <w:szCs w:val="22"/>
          <w:lang w:val="pt-BR"/>
        </w:rPr>
        <w:t xml:space="preserve">Brasil. </w:t>
      </w:r>
      <w:r w:rsidRPr="00F2110C">
        <w:rPr>
          <w:rFonts w:ascii="Arial" w:hAnsi="Arial" w:cs="Arial"/>
          <w:sz w:val="22"/>
          <w:szCs w:val="22"/>
          <w:lang w:val="pt-BR"/>
        </w:rPr>
        <w:t>2</w:t>
      </w:r>
      <w:r w:rsidR="00F15621">
        <w:rPr>
          <w:rFonts w:ascii="Arial" w:hAnsi="Arial" w:cs="Arial"/>
          <w:sz w:val="22"/>
          <w:szCs w:val="22"/>
          <w:lang w:val="pt-BR"/>
        </w:rPr>
        <w:t>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Ed.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Petrópolis: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Vozes,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F2110C">
        <w:rPr>
          <w:rFonts w:ascii="Arial" w:hAnsi="Arial" w:cs="Arial"/>
          <w:sz w:val="22"/>
          <w:szCs w:val="22"/>
          <w:lang w:val="pt-BR"/>
        </w:rPr>
        <w:t>1999.</w:t>
      </w:r>
    </w:p>
    <w:p w14:paraId="422EDC68" w14:textId="77777777" w:rsidR="00E41A02" w:rsidRPr="00F2110C" w:rsidRDefault="00E41A02" w:rsidP="00F15621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5FDFDA22" w14:textId="0A534401" w:rsidR="00F2110C" w:rsidRPr="00E55A58" w:rsidRDefault="00F2110C" w:rsidP="00F15621">
      <w:pPr>
        <w:tabs>
          <w:tab w:val="left" w:pos="10065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55A58">
        <w:rPr>
          <w:rFonts w:ascii="Arial" w:hAnsi="Arial" w:cs="Arial"/>
          <w:sz w:val="22"/>
          <w:szCs w:val="22"/>
          <w:lang w:val="pt-BR"/>
        </w:rPr>
        <w:t>SOUZA,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Sérgio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Luiz.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b/>
          <w:bCs/>
          <w:sz w:val="22"/>
          <w:szCs w:val="22"/>
          <w:lang w:val="pt-BR"/>
        </w:rPr>
        <w:t>(Re)vivências</w:t>
      </w:r>
      <w:r w:rsidR="00F00B00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b/>
          <w:bCs/>
          <w:sz w:val="22"/>
          <w:szCs w:val="22"/>
          <w:lang w:val="pt-BR"/>
        </w:rPr>
        <w:t>negras</w:t>
      </w:r>
      <w:r w:rsidRPr="00E55A58">
        <w:rPr>
          <w:rFonts w:ascii="Arial" w:hAnsi="Arial" w:cs="Arial"/>
          <w:sz w:val="22"/>
          <w:szCs w:val="22"/>
          <w:lang w:val="pt-BR"/>
        </w:rPr>
        <w:t>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entre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batuques,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bailados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devoções-práticas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culturais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e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territórios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negros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no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interior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paulista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(1910-1950)</w:t>
      </w:r>
      <w:r w:rsidR="00F15621">
        <w:rPr>
          <w:rFonts w:ascii="Arial" w:hAnsi="Arial" w:cs="Arial"/>
          <w:sz w:val="22"/>
          <w:szCs w:val="22"/>
          <w:lang w:val="pt-BR"/>
        </w:rPr>
        <w:t>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Ribeirão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 w:rsidRPr="00E55A58">
        <w:rPr>
          <w:rFonts w:ascii="Arial" w:hAnsi="Arial" w:cs="Arial"/>
          <w:sz w:val="22"/>
          <w:szCs w:val="22"/>
          <w:lang w:val="pt-BR"/>
        </w:rPr>
        <w:t>Preto-SP</w:t>
      </w:r>
      <w:proofErr w:type="spellEnd"/>
      <w:r w:rsidRPr="00E55A58">
        <w:rPr>
          <w:rFonts w:ascii="Arial" w:hAnsi="Arial" w:cs="Arial"/>
          <w:sz w:val="22"/>
          <w:szCs w:val="22"/>
          <w:lang w:val="pt-BR"/>
        </w:rPr>
        <w:t>: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Edição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do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Autor,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Pr="00E55A58">
        <w:rPr>
          <w:rFonts w:ascii="Arial" w:hAnsi="Arial" w:cs="Arial"/>
          <w:sz w:val="22"/>
          <w:szCs w:val="22"/>
          <w:lang w:val="pt-BR"/>
        </w:rPr>
        <w:t>2007.</w:t>
      </w:r>
    </w:p>
    <w:p w14:paraId="644B701C" w14:textId="77777777" w:rsidR="00F2110C" w:rsidRPr="00F2110C" w:rsidRDefault="00F2110C" w:rsidP="00F15621">
      <w:pPr>
        <w:tabs>
          <w:tab w:val="left" w:pos="10065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AB8F88B" w14:textId="68054FA9" w:rsidR="001A383E" w:rsidRDefault="00F15621" w:rsidP="00F15621">
      <w:pPr>
        <w:tabs>
          <w:tab w:val="left" w:pos="10065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E55A58">
        <w:rPr>
          <w:rFonts w:ascii="Arial" w:hAnsi="Arial" w:cs="Arial"/>
          <w:sz w:val="22"/>
          <w:szCs w:val="22"/>
          <w:lang w:val="pt-BR"/>
        </w:rPr>
        <w:t>SOUZA,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2110C">
        <w:rPr>
          <w:rFonts w:ascii="Arial" w:hAnsi="Arial" w:cs="Arial"/>
          <w:sz w:val="22"/>
          <w:szCs w:val="22"/>
          <w:lang w:val="pt-BR"/>
        </w:rPr>
        <w:t>Sérgio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2110C">
        <w:rPr>
          <w:rFonts w:ascii="Arial" w:hAnsi="Arial" w:cs="Arial"/>
          <w:sz w:val="22"/>
          <w:szCs w:val="22"/>
          <w:lang w:val="pt-BR"/>
        </w:rPr>
        <w:t>Luiz.</w:t>
      </w:r>
      <w:r w:rsidR="00F00B00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b/>
          <w:sz w:val="22"/>
          <w:szCs w:val="22"/>
          <w:lang w:val="pt-BR"/>
        </w:rPr>
        <w:t>Fluxos</w:t>
      </w:r>
      <w:r w:rsidR="00F00B00" w:rsidRPr="00F1562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b/>
          <w:sz w:val="22"/>
          <w:szCs w:val="22"/>
          <w:lang w:val="pt-BR"/>
        </w:rPr>
        <w:t>da</w:t>
      </w:r>
      <w:r w:rsidR="00F00B00" w:rsidRPr="00F15621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b/>
          <w:sz w:val="22"/>
          <w:szCs w:val="22"/>
          <w:lang w:val="pt-BR"/>
        </w:rPr>
        <w:t>Alteridade: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Organizações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negras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processos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identitários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no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Nordeste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Paulista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Triângulo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Mineiro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(1930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–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1990)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Araraquara.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2010.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450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páginas.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Tese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(Doutorado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em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Sociologia)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–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Universidade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Estadual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Paulista,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Faculdade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de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Ciências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e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Letras,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Araraquara,</w:t>
      </w:r>
      <w:r w:rsidR="00F00B00" w:rsidRPr="00F15621">
        <w:rPr>
          <w:rFonts w:ascii="Arial" w:hAnsi="Arial" w:cs="Arial"/>
          <w:sz w:val="22"/>
          <w:szCs w:val="22"/>
          <w:lang w:val="pt-BR"/>
        </w:rPr>
        <w:t xml:space="preserve"> </w:t>
      </w:r>
      <w:r w:rsidR="00F2110C" w:rsidRPr="00F15621">
        <w:rPr>
          <w:rFonts w:ascii="Arial" w:hAnsi="Arial" w:cs="Arial"/>
          <w:sz w:val="22"/>
          <w:szCs w:val="22"/>
          <w:lang w:val="pt-BR"/>
        </w:rPr>
        <w:t>2010</w:t>
      </w:r>
      <w:r w:rsidR="004D298D" w:rsidRPr="00F15621">
        <w:rPr>
          <w:rFonts w:ascii="Arial" w:hAnsi="Arial" w:cs="Arial"/>
          <w:sz w:val="22"/>
          <w:szCs w:val="22"/>
          <w:lang w:val="pt-BR"/>
        </w:rPr>
        <w:t>.</w:t>
      </w:r>
    </w:p>
    <w:p w14:paraId="2ECE01CE" w14:textId="3027F588" w:rsidR="00A10685" w:rsidRDefault="00A10685" w:rsidP="00F15621">
      <w:pPr>
        <w:tabs>
          <w:tab w:val="left" w:pos="10065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08033701" w14:textId="77777777" w:rsidR="00A10685" w:rsidRPr="00F15621" w:rsidRDefault="00A10685" w:rsidP="00F15621">
      <w:pPr>
        <w:tabs>
          <w:tab w:val="left" w:pos="10065"/>
        </w:tabs>
        <w:jc w:val="both"/>
        <w:rPr>
          <w:rFonts w:ascii="Arial" w:hAnsi="Arial" w:cs="Arial"/>
          <w:sz w:val="22"/>
          <w:szCs w:val="22"/>
          <w:lang w:val="pt-BR"/>
        </w:rPr>
      </w:pPr>
    </w:p>
    <w:sectPr w:rsidR="00A10685" w:rsidRPr="00F15621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65E8" w14:textId="77777777" w:rsidR="00B07EF4" w:rsidRDefault="00B07EF4">
      <w:r>
        <w:separator/>
      </w:r>
    </w:p>
  </w:endnote>
  <w:endnote w:type="continuationSeparator" w:id="0">
    <w:p w14:paraId="0F9EA108" w14:textId="77777777" w:rsidR="00B07EF4" w:rsidRDefault="00B0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-Light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4C7A" w14:textId="77777777" w:rsidR="00F00B00" w:rsidRDefault="00F00B00">
    <w:pPr>
      <w:pStyle w:val="Rodap"/>
      <w:tabs>
        <w:tab w:val="clear" w:pos="8838"/>
        <w:tab w:val="right" w:pos="8478"/>
      </w:tabs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21A2C">
      <w:rPr>
        <w:noProof/>
        <w:sz w:val="18"/>
        <w:szCs w:val="18"/>
      </w:rPr>
      <w:t>16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D4F4" w14:textId="77777777" w:rsidR="00B07EF4" w:rsidRDefault="00B07EF4">
      <w:r>
        <w:separator/>
      </w:r>
    </w:p>
  </w:footnote>
  <w:footnote w:type="continuationSeparator" w:id="0">
    <w:p w14:paraId="5DCFB6C2" w14:textId="77777777" w:rsidR="00B07EF4" w:rsidRDefault="00B07EF4">
      <w:r>
        <w:continuationSeparator/>
      </w:r>
    </w:p>
  </w:footnote>
  <w:footnote w:type="continuationNotice" w:id="1">
    <w:p w14:paraId="00988E08" w14:textId="77777777" w:rsidR="00B07EF4" w:rsidRDefault="00B07EF4"/>
  </w:footnote>
  <w:footnote w:id="2">
    <w:p w14:paraId="3E12D649" w14:textId="612CDB1D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</w:rPr>
      </w:pPr>
      <w:r w:rsidRPr="00F00B00">
        <w:rPr>
          <w:rStyle w:val="Refdenotaderodap"/>
          <w:i/>
          <w:sz w:val="18"/>
          <w:szCs w:val="18"/>
        </w:rPr>
        <w:footnoteRef/>
      </w:r>
      <w:r w:rsidRPr="00F15621">
        <w:rPr>
          <w:sz w:val="18"/>
          <w:szCs w:val="18"/>
          <w:lang w:val="pt-BR"/>
        </w:rPr>
        <w:t xml:space="preserve"> </w:t>
      </w:r>
      <w:r w:rsidRPr="00F15621">
        <w:rPr>
          <w:rStyle w:val="Nenhum"/>
          <w:sz w:val="18"/>
          <w:szCs w:val="18"/>
          <w:lang w:val="pt-BR"/>
        </w:rPr>
        <w:t xml:space="preserve">Trabalho apresentado no II Congresso </w:t>
      </w:r>
      <w:proofErr w:type="spellStart"/>
      <w:r w:rsidRPr="00F15621">
        <w:rPr>
          <w:rStyle w:val="Nenhum"/>
          <w:sz w:val="18"/>
          <w:szCs w:val="18"/>
          <w:lang w:val="pt-BR"/>
        </w:rPr>
        <w:t>Iberoamericano</w:t>
      </w:r>
      <w:proofErr w:type="spellEnd"/>
      <w:r w:rsidRPr="00F15621">
        <w:rPr>
          <w:rStyle w:val="Nenhum"/>
          <w:sz w:val="18"/>
          <w:szCs w:val="18"/>
          <w:lang w:val="pt-BR"/>
        </w:rPr>
        <w:t xml:space="preserve"> Nós Propomos! </w:t>
      </w:r>
      <w:r w:rsidRPr="00F00B00">
        <w:rPr>
          <w:rStyle w:val="Nenhum"/>
          <w:sz w:val="18"/>
          <w:szCs w:val="18"/>
        </w:rPr>
        <w:t>Geografia,</w:t>
      </w:r>
      <w:r>
        <w:rPr>
          <w:rStyle w:val="Nenhum"/>
          <w:sz w:val="18"/>
          <w:szCs w:val="18"/>
        </w:rPr>
        <w:t xml:space="preserve"> </w:t>
      </w:r>
      <w:r w:rsidRPr="00F00B00">
        <w:rPr>
          <w:rStyle w:val="Nenhum"/>
          <w:sz w:val="18"/>
          <w:szCs w:val="18"/>
        </w:rPr>
        <w:t>Educação</w:t>
      </w:r>
      <w:r>
        <w:rPr>
          <w:rStyle w:val="Nenhum"/>
          <w:sz w:val="18"/>
          <w:szCs w:val="18"/>
        </w:rPr>
        <w:t xml:space="preserve"> </w:t>
      </w:r>
      <w:r w:rsidRPr="00F00B00">
        <w:rPr>
          <w:rStyle w:val="Nenhum"/>
          <w:sz w:val="18"/>
          <w:szCs w:val="18"/>
        </w:rPr>
        <w:t>e</w:t>
      </w:r>
      <w:r>
        <w:rPr>
          <w:rStyle w:val="Nenhum"/>
          <w:sz w:val="18"/>
          <w:szCs w:val="18"/>
        </w:rPr>
        <w:t xml:space="preserve"> </w:t>
      </w:r>
      <w:r w:rsidRPr="00F00B00">
        <w:rPr>
          <w:rStyle w:val="Nenhum"/>
          <w:sz w:val="18"/>
          <w:szCs w:val="18"/>
        </w:rPr>
        <w:t>cidadania</w:t>
      </w:r>
      <w:r w:rsidRPr="00F00B00">
        <w:rPr>
          <w:sz w:val="18"/>
          <w:szCs w:val="18"/>
        </w:rPr>
        <w:t>.</w:t>
      </w:r>
    </w:p>
  </w:footnote>
  <w:footnote w:id="3">
    <w:p w14:paraId="5924FF99" w14:textId="3B0C5099" w:rsidR="0029101D" w:rsidRPr="00F15621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F00B00">
        <w:rPr>
          <w:rStyle w:val="Refdenotaderodap"/>
          <w:i/>
          <w:sz w:val="18"/>
          <w:szCs w:val="18"/>
        </w:rPr>
        <w:footnoteRef/>
      </w:r>
      <w:r w:rsidRPr="00F15621">
        <w:rPr>
          <w:sz w:val="18"/>
          <w:szCs w:val="18"/>
          <w:lang w:val="pt-BR"/>
        </w:rPr>
        <w:t xml:space="preserve"> Professor Adjunto do Departamento de Ciências Sociais - Universidade Federal de Rondônia (UNIR). </w:t>
      </w:r>
      <w:proofErr w:type="spellStart"/>
      <w:r w:rsidRPr="00F15621">
        <w:rPr>
          <w:sz w:val="18"/>
          <w:szCs w:val="18"/>
          <w:lang w:val="pt-BR"/>
        </w:rPr>
        <w:t>Pós-doutorando</w:t>
      </w:r>
      <w:proofErr w:type="spellEnd"/>
      <w:r w:rsidRPr="00F15621">
        <w:rPr>
          <w:sz w:val="18"/>
          <w:szCs w:val="18"/>
          <w:lang w:val="pt-BR"/>
        </w:rPr>
        <w:t xml:space="preserve"> junto Departamento de Educação, Informação e Comunicação da FFCLRP - Faculdade de Filosofia Ciências - USP.</w:t>
      </w:r>
    </w:p>
  </w:footnote>
  <w:footnote w:id="4">
    <w:p w14:paraId="7B6E67CC" w14:textId="31A7EDD6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</w:rPr>
      </w:pPr>
      <w:r w:rsidRPr="00F00B00">
        <w:rPr>
          <w:rStyle w:val="Refdenotaderodap"/>
          <w:i/>
          <w:sz w:val="18"/>
          <w:szCs w:val="18"/>
        </w:rPr>
        <w:footnoteRef/>
      </w:r>
      <w:r w:rsidRPr="00F15621">
        <w:rPr>
          <w:sz w:val="18"/>
          <w:szCs w:val="18"/>
          <w:lang w:val="pt-BR"/>
        </w:rPr>
        <w:t xml:space="preserve"> Professora Associada </w:t>
      </w:r>
      <w:r w:rsidRPr="00F00B00">
        <w:rPr>
          <w:sz w:val="18"/>
          <w:szCs w:val="18"/>
          <w:lang w:val="pt-BR"/>
        </w:rPr>
        <w:t>d</w:t>
      </w:r>
      <w:r w:rsidRPr="00F15621">
        <w:rPr>
          <w:sz w:val="18"/>
          <w:szCs w:val="18"/>
          <w:lang w:val="pt-BR"/>
        </w:rPr>
        <w:t xml:space="preserve">o Departamento de Educação, Informação e Comunicação da FFCLRP - Faculdade de Filosofia Ciências - USP. </w:t>
      </w:r>
      <w:r w:rsidRPr="00F00B00">
        <w:rPr>
          <w:sz w:val="18"/>
          <w:szCs w:val="18"/>
        </w:rPr>
        <w:t>E-mail:</w:t>
      </w:r>
      <w:r>
        <w:rPr>
          <w:sz w:val="18"/>
          <w:szCs w:val="18"/>
        </w:rPr>
        <w:t xml:space="preserve"> </w:t>
      </w:r>
      <w:hyperlink r:id="rId1" w:history="1">
        <w:r w:rsidRPr="00F00B00">
          <w:rPr>
            <w:rStyle w:val="Hyperlink"/>
            <w:sz w:val="18"/>
            <w:szCs w:val="18"/>
            <w:u w:val="none"/>
          </w:rPr>
          <w:t>lastoria@ffclrp.usp.br</w:t>
        </w:r>
      </w:hyperlink>
      <w:r>
        <w:rPr>
          <w:sz w:val="18"/>
          <w:szCs w:val="18"/>
        </w:rPr>
        <w:t xml:space="preserve"> </w:t>
      </w:r>
    </w:p>
  </w:footnote>
  <w:footnote w:id="5">
    <w:p w14:paraId="2CC04809" w14:textId="4126747F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 w:rsidRPr="0029101D"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Sobre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ponto,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pode-se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ter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acesso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dados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reflexões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contexto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produções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produzidas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publicadas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pelo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Instituto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Pesquisas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Econômicas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Aplicadas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(IPEA),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neste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órgão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consta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conjunto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pesquisas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que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presentes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Dossiê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Mulheres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Negras</w:t>
      </w:r>
      <w:r>
        <w:rPr>
          <w:sz w:val="18"/>
          <w:szCs w:val="18"/>
          <w:lang w:val="pt-BR"/>
        </w:rPr>
        <w:t xml:space="preserve"> - </w:t>
      </w:r>
      <w:r w:rsidRPr="00F00B00">
        <w:rPr>
          <w:sz w:val="18"/>
          <w:szCs w:val="18"/>
          <w:lang w:val="pt-BR"/>
        </w:rPr>
        <w:t>Retratos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Condição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Vida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Mulheres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Negras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Brasil.</w:t>
      </w:r>
      <w:r>
        <w:rPr>
          <w:sz w:val="18"/>
          <w:szCs w:val="18"/>
          <w:lang w:val="pt-BR"/>
        </w:rPr>
        <w:t xml:space="preserve"> </w:t>
      </w:r>
      <w:r w:rsidRPr="00F15621">
        <w:rPr>
          <w:sz w:val="18"/>
          <w:szCs w:val="18"/>
          <w:lang w:val="en-US"/>
        </w:rPr>
        <w:t xml:space="preserve">Cf.: </w:t>
      </w:r>
      <w:hyperlink r:id="rId2" w:history="1">
        <w:r w:rsidRPr="00F15621">
          <w:rPr>
            <w:rStyle w:val="Hyperlink"/>
            <w:sz w:val="18"/>
            <w:szCs w:val="18"/>
            <w:u w:val="none"/>
            <w:lang w:val="en-US"/>
          </w:rPr>
          <w:t>https://www.ipea.gov.br/igualdaderacial/index.php?option=com_content&amp;view=article&amp;id=735&amp;catid=18</w:t>
        </w:r>
      </w:hyperlink>
      <w:r w:rsidRPr="00F15621">
        <w:rPr>
          <w:sz w:val="18"/>
          <w:szCs w:val="18"/>
          <w:lang w:val="en-US"/>
        </w:rPr>
        <w:t>.</w:t>
      </w:r>
      <w:r w:rsidRPr="007F79F2">
        <w:rPr>
          <w:sz w:val="18"/>
          <w:szCs w:val="18"/>
          <w:lang w:val="en-US"/>
        </w:rPr>
        <w:t xml:space="preserve"> </w:t>
      </w:r>
      <w:r w:rsidRPr="00F00B00">
        <w:rPr>
          <w:sz w:val="18"/>
          <w:szCs w:val="18"/>
          <w:lang w:val="pt-BR"/>
        </w:rPr>
        <w:t>Acesso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: 15 jul. </w:t>
      </w:r>
      <w:r w:rsidRPr="00F00B00">
        <w:rPr>
          <w:sz w:val="18"/>
          <w:szCs w:val="18"/>
          <w:lang w:val="pt-BR"/>
        </w:rPr>
        <w:t>2022.</w:t>
      </w:r>
      <w:r>
        <w:rPr>
          <w:sz w:val="18"/>
          <w:szCs w:val="18"/>
          <w:lang w:val="pt-BR"/>
        </w:rPr>
        <w:t xml:space="preserve"> </w:t>
      </w:r>
    </w:p>
  </w:footnote>
  <w:footnote w:id="6">
    <w:p w14:paraId="447AAE4E" w14:textId="474A21C5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  <w:lang w:val="pt-BR"/>
        </w:rPr>
        <w:t>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desigualdades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étnico-raciais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gênero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atravessam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definem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quadro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social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brasileiro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um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conjunto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índices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que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denotam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uma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condição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intensa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precariedade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proofErr w:type="spellStart"/>
      <w:r w:rsidRPr="00F00B00">
        <w:rPr>
          <w:sz w:val="18"/>
          <w:szCs w:val="18"/>
          <w:lang w:val="pt-BR"/>
        </w:rPr>
        <w:t>subcidadania</w:t>
      </w:r>
      <w:proofErr w:type="spellEnd"/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para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negros,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mulheres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indígenas.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2013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dados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demonstravam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que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desemprego,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violência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policial,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falta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acesso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moradia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à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terra,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afetavam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fortemente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segmentos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Brasil.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Dados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discussões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presentes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publicação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Instituto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Pesquisas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econômicas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Aplicadas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(IPEA),</w:t>
      </w:r>
      <w:r>
        <w:rPr>
          <w:sz w:val="18"/>
          <w:szCs w:val="18"/>
          <w:lang w:val="pt-BR"/>
        </w:rPr>
        <w:t xml:space="preserve"> o</w:t>
      </w:r>
      <w:r w:rsidRPr="00F00B00">
        <w:rPr>
          <w:sz w:val="18"/>
          <w:szCs w:val="18"/>
          <w:lang w:val="pt-BR"/>
        </w:rPr>
        <w:t>rganizada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por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Tatiana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Dias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Silva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Fernanda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Lira</w:t>
      </w:r>
      <w:r>
        <w:rPr>
          <w:sz w:val="18"/>
          <w:szCs w:val="18"/>
          <w:lang w:val="pt-BR"/>
        </w:rPr>
        <w:t xml:space="preserve"> </w:t>
      </w:r>
      <w:proofErr w:type="spellStart"/>
      <w:r w:rsidRPr="00F00B00">
        <w:rPr>
          <w:sz w:val="18"/>
          <w:szCs w:val="18"/>
          <w:lang w:val="pt-BR"/>
        </w:rPr>
        <w:t>Goes</w:t>
      </w:r>
      <w:proofErr w:type="spellEnd"/>
      <w:r w:rsidRPr="00F00B00">
        <w:rPr>
          <w:sz w:val="18"/>
          <w:szCs w:val="18"/>
          <w:lang w:val="pt-BR"/>
        </w:rPr>
        <w:t>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2013.</w:t>
      </w:r>
    </w:p>
  </w:footnote>
  <w:footnote w:id="7">
    <w:p w14:paraId="63A81761" w14:textId="6750A399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  <w:lang w:val="pt-BR"/>
        </w:rPr>
        <w:t>Desde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2013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ocorrido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um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aumento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intenso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invasões,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destruições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formas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difusão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estigmas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demonização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religiões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afro-indígenas,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todas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regiões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Brasil.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Desde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estados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Paulo,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Rio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janeiro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Rio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Grande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Sul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até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Estados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região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Centro-Oeste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Nordeste,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Pernambuco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Bahia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Goiás.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Ver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caso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ataque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Goiás,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2014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: </w:t>
      </w:r>
      <w:hyperlink r:id="rId3" w:history="1">
        <w:r w:rsidRPr="00F00B00">
          <w:rPr>
            <w:rStyle w:val="Hyperlink"/>
            <w:sz w:val="18"/>
            <w:szCs w:val="18"/>
            <w:u w:val="none"/>
            <w:lang w:val="pt-BR"/>
          </w:rPr>
          <w:t>http://blogdaigualdaderacial.blogspot.com/2014/04/terreiro-de-pai-dedo-em-goianape-e.html</w:t>
        </w:r>
      </w:hyperlink>
      <w:r>
        <w:rPr>
          <w:sz w:val="18"/>
          <w:szCs w:val="18"/>
          <w:lang w:val="pt-BR"/>
        </w:rPr>
        <w:t>. A</w:t>
      </w:r>
      <w:r w:rsidRPr="00F00B00">
        <w:rPr>
          <w:sz w:val="18"/>
          <w:szCs w:val="18"/>
          <w:lang w:val="pt-BR"/>
        </w:rPr>
        <w:t>cesso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>: 20 jul. 2</w:t>
      </w:r>
      <w:r w:rsidRPr="00F00B00">
        <w:rPr>
          <w:sz w:val="18"/>
          <w:szCs w:val="18"/>
          <w:lang w:val="pt-BR"/>
        </w:rPr>
        <w:t>022.</w:t>
      </w:r>
      <w:r>
        <w:rPr>
          <w:sz w:val="18"/>
          <w:szCs w:val="18"/>
          <w:lang w:val="pt-BR"/>
        </w:rPr>
        <w:t xml:space="preserve"> </w:t>
      </w:r>
    </w:p>
  </w:footnote>
  <w:footnote w:id="8">
    <w:p w14:paraId="343885DC" w14:textId="78983219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</w:rPr>
      </w:pPr>
      <w:r w:rsidRPr="0029101D">
        <w:rPr>
          <w:rStyle w:val="Refdenotaderodap"/>
          <w:i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este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respeito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ver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entrevista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Jorge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Eremites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Oliveira: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época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hyperlink r:id="rId4" w:tgtFrame="_blank" w:history="1">
        <w:r w:rsidRPr="00F00B00">
          <w:rPr>
            <w:sz w:val="18"/>
            <w:szCs w:val="18"/>
          </w:rPr>
          <w:t>promulgação</w:t>
        </w:r>
        <w:r>
          <w:rPr>
            <w:sz w:val="18"/>
            <w:szCs w:val="18"/>
          </w:rPr>
          <w:t xml:space="preserve"> </w:t>
        </w:r>
        <w:r w:rsidRPr="00F00B00">
          <w:rPr>
            <w:sz w:val="18"/>
            <w:szCs w:val="18"/>
          </w:rPr>
          <w:t>da</w:t>
        </w:r>
        <w:r>
          <w:rPr>
            <w:sz w:val="18"/>
            <w:szCs w:val="18"/>
          </w:rPr>
          <w:t xml:space="preserve"> </w:t>
        </w:r>
        <w:r w:rsidRPr="00F00B00">
          <w:rPr>
            <w:sz w:val="18"/>
            <w:szCs w:val="18"/>
          </w:rPr>
          <w:t>Constituição</w:t>
        </w:r>
        <w:r>
          <w:rPr>
            <w:sz w:val="18"/>
            <w:szCs w:val="18"/>
          </w:rPr>
          <w:t xml:space="preserve"> </w:t>
        </w:r>
        <w:r w:rsidRPr="00F00B00">
          <w:rPr>
            <w:sz w:val="18"/>
            <w:szCs w:val="18"/>
          </w:rPr>
          <w:t>Federal</w:t>
        </w:r>
      </w:hyperlink>
      <w:r w:rsidRPr="00F00B0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movimento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indígena</w:t>
      </w:r>
      <w:r>
        <w:rPr>
          <w:b/>
          <w:bCs/>
          <w:sz w:val="18"/>
          <w:szCs w:val="18"/>
        </w:rPr>
        <w:t xml:space="preserve"> </w:t>
      </w:r>
      <w:r w:rsidRPr="00F00B00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aliados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registraram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grande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protagonismo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na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garantia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direitos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povos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originários.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Havia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um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singular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contexto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político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favorável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eles,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mas,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passados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quase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anos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desde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aquele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histórico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outubro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1988,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muitos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direitos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ainda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não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foram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aplicados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à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risca.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Este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é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caso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regularização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de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todas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as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terras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tradicionalmente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ocupadas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por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comunidades</w:t>
      </w:r>
      <w:r>
        <w:rPr>
          <w:b/>
          <w:bCs/>
          <w:sz w:val="18"/>
          <w:szCs w:val="18"/>
        </w:rPr>
        <w:t xml:space="preserve"> </w:t>
      </w:r>
      <w:r w:rsidRPr="00F00B00">
        <w:rPr>
          <w:b/>
          <w:bCs/>
          <w:sz w:val="18"/>
          <w:szCs w:val="18"/>
        </w:rPr>
        <w:t>indígenas</w:t>
      </w:r>
      <w:r w:rsidRPr="00F00B0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conforme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assegurado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no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Art.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231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Lei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Básica.</w:t>
      </w:r>
      <w:r>
        <w:rPr>
          <w:sz w:val="18"/>
          <w:szCs w:val="18"/>
        </w:rPr>
        <w:t xml:space="preserve"> Cf.: </w:t>
      </w:r>
      <w:r w:rsidR="00000000">
        <w:fldChar w:fldCharType="begin"/>
      </w:r>
      <w:r w:rsidR="00000000">
        <w:instrText xml:space="preserve"> HYPERLINK "https://www.ihu.unisinos.br/159-noticias/entrevistas/577323-a-constituicao-contra-o-estado-e-a-permanente-luta-pelos-direitos-indigenas-entrevista-especial-com-jorge-eremites" </w:instrText>
      </w:r>
      <w:r w:rsidR="00000000">
        <w:fldChar w:fldCharType="separate"/>
      </w:r>
      <w:r w:rsidRPr="00F00B00">
        <w:rPr>
          <w:rStyle w:val="Hyperlink"/>
          <w:sz w:val="18"/>
          <w:szCs w:val="18"/>
          <w:u w:val="none"/>
        </w:rPr>
        <w:t>https://www.ihu.unisinos.br/159-noticias/entrevistas/577323-a-constituicao-contra-o-estado-e-a-permanente-luta-pelos-direitos-indigenas-entrevista-especial-com-jorge-eremites</w:t>
      </w:r>
      <w:r w:rsidR="00000000">
        <w:rPr>
          <w:rStyle w:val="Hyperlink"/>
          <w:sz w:val="18"/>
          <w:szCs w:val="18"/>
          <w:u w:val="none"/>
        </w:rPr>
        <w:fldChar w:fldCharType="end"/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Acesso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em</w:t>
      </w:r>
      <w:r>
        <w:rPr>
          <w:sz w:val="18"/>
          <w:szCs w:val="18"/>
        </w:rPr>
        <w:t xml:space="preserve">: 02 ago </w:t>
      </w:r>
      <w:r w:rsidRPr="00F00B00">
        <w:rPr>
          <w:sz w:val="18"/>
          <w:szCs w:val="18"/>
        </w:rPr>
        <w:t>2022.</w:t>
      </w:r>
      <w:r>
        <w:rPr>
          <w:sz w:val="18"/>
          <w:szCs w:val="18"/>
        </w:rPr>
        <w:t xml:space="preserve"> </w:t>
      </w:r>
    </w:p>
  </w:footnote>
  <w:footnote w:id="9">
    <w:p w14:paraId="0D435BAC" w14:textId="01C6EFCF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 w:rsidRPr="00F15621">
        <w:rPr>
          <w:sz w:val="18"/>
          <w:szCs w:val="18"/>
          <w:lang w:val="en-US"/>
        </w:rPr>
        <w:t xml:space="preserve"> Cf.</w:t>
      </w:r>
      <w:r>
        <w:rPr>
          <w:sz w:val="18"/>
          <w:szCs w:val="18"/>
          <w:lang w:val="en-US"/>
        </w:rPr>
        <w:t>:</w:t>
      </w:r>
      <w:r w:rsidRPr="00F15621">
        <w:rPr>
          <w:sz w:val="18"/>
          <w:szCs w:val="18"/>
          <w:lang w:val="en-US"/>
        </w:rPr>
        <w:t xml:space="preserve"> </w:t>
      </w:r>
      <w:hyperlink r:id="rId5" w:history="1">
        <w:r w:rsidRPr="00F15621">
          <w:rPr>
            <w:rStyle w:val="Hyperlink"/>
            <w:sz w:val="18"/>
            <w:szCs w:val="18"/>
            <w:u w:val="none"/>
            <w:lang w:val="en-US"/>
          </w:rPr>
          <w:t>https://www.camara.leg.br/noticias/643729-lei-do-feminicidio-faz-cinco-anos/</w:t>
        </w:r>
      </w:hyperlink>
      <w:r w:rsidRPr="00F15621">
        <w:rPr>
          <w:sz w:val="18"/>
          <w:szCs w:val="18"/>
          <w:lang w:val="en-US"/>
        </w:rPr>
        <w:t xml:space="preserve">. </w:t>
      </w:r>
      <w:r w:rsidRPr="00F15621">
        <w:rPr>
          <w:sz w:val="18"/>
          <w:szCs w:val="18"/>
          <w:lang w:val="pt-BR"/>
        </w:rPr>
        <w:t>A</w:t>
      </w:r>
      <w:r w:rsidRPr="00F00B00">
        <w:rPr>
          <w:sz w:val="18"/>
          <w:szCs w:val="18"/>
        </w:rPr>
        <w:t>cesso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em</w:t>
      </w:r>
      <w:r>
        <w:rPr>
          <w:sz w:val="18"/>
          <w:szCs w:val="18"/>
        </w:rPr>
        <w:t xml:space="preserve">: 15 </w:t>
      </w:r>
      <w:r w:rsidRPr="00F00B00">
        <w:rPr>
          <w:sz w:val="18"/>
          <w:szCs w:val="18"/>
        </w:rPr>
        <w:t>jul</w:t>
      </w:r>
      <w:r>
        <w:rPr>
          <w:sz w:val="18"/>
          <w:szCs w:val="18"/>
        </w:rPr>
        <w:t xml:space="preserve">. </w:t>
      </w:r>
      <w:r w:rsidRPr="00F00B00">
        <w:rPr>
          <w:sz w:val="18"/>
          <w:szCs w:val="18"/>
        </w:rPr>
        <w:t>2022.</w:t>
      </w:r>
    </w:p>
  </w:footnote>
  <w:footnote w:id="10">
    <w:p w14:paraId="57C972F1" w14:textId="09A7586D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Lei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nº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7.716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janeiro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1989,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ficou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conhecida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como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Lei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Caó,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homenagem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autor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Carlos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Alberto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Oliveira.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legislação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definiu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como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crime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ato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praticar,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induzir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incitar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discriminação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preconceito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raça,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cor,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etnia,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religião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procedência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nacional.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Também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regulamentou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Constituição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Federal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que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tornou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inafiançável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imprescritível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crime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racismo,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após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dizer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que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todos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são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iguais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sem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discriminação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qualquer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natureza.</w:t>
      </w:r>
      <w:r>
        <w:rPr>
          <w:sz w:val="18"/>
          <w:szCs w:val="18"/>
        </w:rPr>
        <w:t xml:space="preserve"> </w:t>
      </w:r>
      <w:r w:rsidRPr="00F15621">
        <w:rPr>
          <w:sz w:val="18"/>
          <w:szCs w:val="18"/>
          <w:lang w:val="en-US"/>
        </w:rPr>
        <w:t>Cf.</w:t>
      </w:r>
      <w:r>
        <w:rPr>
          <w:sz w:val="18"/>
          <w:szCs w:val="18"/>
          <w:lang w:val="en-US"/>
        </w:rPr>
        <w:t>:</w:t>
      </w:r>
      <w:r w:rsidRPr="00F15621">
        <w:rPr>
          <w:sz w:val="18"/>
          <w:szCs w:val="18"/>
          <w:lang w:val="en-US"/>
        </w:rPr>
        <w:t xml:space="preserve"> </w:t>
      </w:r>
      <w:hyperlink r:id="rId6" w:history="1">
        <w:r w:rsidRPr="00F15621">
          <w:rPr>
            <w:rStyle w:val="Hyperlink"/>
            <w:sz w:val="18"/>
            <w:szCs w:val="18"/>
            <w:u w:val="none"/>
            <w:lang w:val="en-US"/>
          </w:rPr>
          <w:t>https://www.geledes.org.br/lei-7-71689-lei-cao-25-anos-combate-ao-racismo/?gclid=CjwKCAjwvNaYBhA3EiwACgndgn381Egs7pKQdTZ63ar0ApRDYopDldxdy7deynefq4s_HoHRLrBw_BoCaMkQAvD_BwE</w:t>
        </w:r>
      </w:hyperlink>
      <w:r w:rsidRPr="00F15621">
        <w:rPr>
          <w:sz w:val="18"/>
          <w:szCs w:val="18"/>
          <w:lang w:val="en-US"/>
        </w:rPr>
        <w:t xml:space="preserve">. </w:t>
      </w:r>
      <w:r w:rsidRPr="00F00B00">
        <w:rPr>
          <w:sz w:val="18"/>
          <w:szCs w:val="18"/>
        </w:rPr>
        <w:t>Acesso</w:t>
      </w:r>
      <w:r>
        <w:rPr>
          <w:sz w:val="18"/>
          <w:szCs w:val="18"/>
        </w:rPr>
        <w:t xml:space="preserve"> </w:t>
      </w:r>
      <w:r w:rsidRPr="00F00B00">
        <w:rPr>
          <w:sz w:val="18"/>
          <w:szCs w:val="18"/>
        </w:rPr>
        <w:t>em</w:t>
      </w:r>
      <w:r>
        <w:rPr>
          <w:sz w:val="18"/>
          <w:szCs w:val="18"/>
        </w:rPr>
        <w:t xml:space="preserve">:15 jul. </w:t>
      </w:r>
      <w:r w:rsidRPr="00F00B00">
        <w:rPr>
          <w:sz w:val="18"/>
          <w:szCs w:val="18"/>
        </w:rPr>
        <w:t>2022.</w:t>
      </w:r>
    </w:p>
  </w:footnote>
  <w:footnote w:id="11">
    <w:p w14:paraId="4A116F6C" w14:textId="47EA7C17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 w:rsidRPr="007F79F2">
        <w:rPr>
          <w:sz w:val="18"/>
          <w:szCs w:val="18"/>
          <w:lang w:val="pt-BR"/>
        </w:rPr>
        <w:t xml:space="preserve"> Cf.: </w:t>
      </w:r>
      <w:hyperlink r:id="rId7" w:history="1">
        <w:r w:rsidRPr="007F79F2">
          <w:rPr>
            <w:rStyle w:val="Hyperlink"/>
            <w:sz w:val="18"/>
            <w:szCs w:val="18"/>
            <w:u w:val="none"/>
            <w:lang w:val="pt-BR"/>
          </w:rPr>
          <w:t>https://brasildedireitos.org.br/atualidades/5-motivos-para-defender-as-cotas-para-negros-em-universidades?utm_source=google&amp;utm_medium=cpc&amp;utm_campaign=cotas&amp;gclid=Cj0KCQjwmdGYBhDRARIsABmSEeMvOukKpj4TKOYu9oaVtGQWBDncoL0K39-BZz0JbY-8t9R4pXsBn0caAqLpEALw_wcB</w:t>
        </w:r>
      </w:hyperlink>
      <w:r w:rsidRPr="007F79F2">
        <w:rPr>
          <w:rStyle w:val="Hyperlink"/>
          <w:sz w:val="18"/>
          <w:szCs w:val="18"/>
          <w:u w:val="none"/>
          <w:lang w:val="pt-BR"/>
        </w:rPr>
        <w:t>.</w:t>
      </w:r>
      <w:r w:rsidRPr="007F79F2"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Acesso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jul. </w:t>
      </w:r>
      <w:r w:rsidRPr="00F00B00">
        <w:rPr>
          <w:sz w:val="18"/>
          <w:szCs w:val="18"/>
          <w:lang w:val="pt-BR"/>
        </w:rPr>
        <w:t>2022.</w:t>
      </w:r>
    </w:p>
  </w:footnote>
  <w:footnote w:id="12">
    <w:p w14:paraId="36AB6FA5" w14:textId="441C0C64" w:rsidR="0029101D" w:rsidRPr="00F00B00" w:rsidRDefault="0029101D" w:rsidP="007F79F2">
      <w:pPr>
        <w:autoSpaceDE w:val="0"/>
        <w:autoSpaceDN w:val="0"/>
        <w:adjustRightInd w:val="0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  <w:lang w:val="pt-BR"/>
        </w:rPr>
        <w:footnoteRef/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conceito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neofascismo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aqui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empregado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é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compreendido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termos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definidos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por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Umberto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Eco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(1995)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“Ur-Fascismo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ou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Fascismo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eterno”.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Trata-se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uma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“nebulosa”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características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peculiares,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que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constituem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um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sistema,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podem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muitas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vezes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contradizerem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estão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também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presentes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outras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formas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despotismo,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elas: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culto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tradição;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(2)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recusa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modernidade;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(3)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culto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pela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ação;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(4)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aceitação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críticas;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(5)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medo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diferença;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(6)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apelo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às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classes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médias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frustradas;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(7)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obsessão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pelo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complô;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(8)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sentimento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humilhação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pela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riqueza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ostensiva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pela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força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inimigo;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(9)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princípio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guerra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permanente;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(10)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elitismo;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(11)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culto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heroísmo;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(12)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desdém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pelas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mulheres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condenação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de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hábitos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sexuais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não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conformistas;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(13)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“populismo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qualitativo”;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(14)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“</w:t>
      </w:r>
      <w:proofErr w:type="spellStart"/>
      <w:r w:rsidRPr="0029101D">
        <w:rPr>
          <w:sz w:val="18"/>
          <w:szCs w:val="18"/>
          <w:lang w:val="pt-BR"/>
        </w:rPr>
        <w:t>Novilíngua</w:t>
      </w:r>
      <w:proofErr w:type="spellEnd"/>
      <w:r w:rsidRPr="0029101D">
        <w:rPr>
          <w:sz w:val="18"/>
          <w:szCs w:val="18"/>
          <w:lang w:val="pt-BR"/>
        </w:rPr>
        <w:t>” (ECO, 1995).</w:t>
      </w:r>
    </w:p>
  </w:footnote>
  <w:footnote w:id="13">
    <w:p w14:paraId="19B2EE20" w14:textId="3027528C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 w:rsidRPr="0029101D">
        <w:rPr>
          <w:sz w:val="18"/>
          <w:szCs w:val="18"/>
          <w:lang w:val="pt-BR"/>
        </w:rPr>
        <w:t xml:space="preserve"> Postagem em vídeo no Facebook e no Youtube no dia 02 de março de 2015. Disponível em: </w:t>
      </w:r>
      <w:hyperlink r:id="rId8" w:history="1">
        <w:r w:rsidRPr="0029101D">
          <w:rPr>
            <w:rStyle w:val="Hyperlink"/>
            <w:sz w:val="18"/>
            <w:szCs w:val="18"/>
            <w:u w:val="none"/>
            <w:lang w:val="pt-BR"/>
          </w:rPr>
          <w:t>https://www.facebook.com/watch?ref=search&amp;v=752618861518238&amp;external_log_id=7eea51e0-d52a-4836-8c48-c144a93d73e8&amp;q=inimigos%20p%C3%BAblico%20Fernando%20Holidy</w:t>
        </w:r>
      </w:hyperlink>
      <w:r w:rsidRPr="0029101D">
        <w:rPr>
          <w:rStyle w:val="Hyperlink"/>
          <w:sz w:val="18"/>
          <w:szCs w:val="18"/>
          <w:u w:val="none"/>
          <w:lang w:val="pt-BR"/>
        </w:rPr>
        <w:t>.</w:t>
      </w:r>
      <w:r w:rsidRPr="0029101D">
        <w:rPr>
          <w:sz w:val="18"/>
          <w:szCs w:val="18"/>
          <w:lang w:val="pt-BR"/>
        </w:rPr>
        <w:t xml:space="preserve"> Acesso em: 30 maio 2021.</w:t>
      </w:r>
    </w:p>
  </w:footnote>
  <w:footnote w:id="14">
    <w:p w14:paraId="3BDBE30B" w14:textId="557DA419" w:rsidR="0029101D" w:rsidRPr="00F00B00" w:rsidRDefault="0029101D" w:rsidP="007F79F2">
      <w:pPr>
        <w:pStyle w:val="Textodenotaderodap"/>
        <w:ind w:left="170" w:hanging="170"/>
        <w:jc w:val="both"/>
        <w:rPr>
          <w:sz w:val="18"/>
          <w:szCs w:val="18"/>
          <w:lang w:val="pt-BR"/>
        </w:rPr>
      </w:pPr>
      <w:r w:rsidRPr="0029101D">
        <w:rPr>
          <w:rStyle w:val="Refdenotaderodap"/>
          <w:i/>
          <w:sz w:val="18"/>
          <w:szCs w:val="18"/>
        </w:rPr>
        <w:footnoteRef/>
      </w:r>
      <w:r w:rsidRPr="0029101D">
        <w:rPr>
          <w:iCs/>
          <w:sz w:val="18"/>
          <w:szCs w:val="18"/>
          <w:lang w:val="pt-BR"/>
        </w:rPr>
        <w:t xml:space="preserve"> Cf. “Fernando </w:t>
      </w:r>
      <w:proofErr w:type="spellStart"/>
      <w:r w:rsidRPr="0029101D">
        <w:rPr>
          <w:iCs/>
          <w:sz w:val="18"/>
          <w:szCs w:val="18"/>
          <w:lang w:val="pt-BR"/>
        </w:rPr>
        <w:t>Holliday</w:t>
      </w:r>
      <w:proofErr w:type="spellEnd"/>
      <w:r w:rsidRPr="0029101D">
        <w:rPr>
          <w:iCs/>
          <w:sz w:val="18"/>
          <w:szCs w:val="18"/>
          <w:lang w:val="pt-BR"/>
        </w:rPr>
        <w:t>, um fenômeno político”</w:t>
      </w:r>
      <w:r w:rsidRPr="0029101D">
        <w:rPr>
          <w:sz w:val="18"/>
          <w:szCs w:val="18"/>
          <w:lang w:val="pt-BR"/>
        </w:rPr>
        <w:t xml:space="preserve">. Disponível em: </w:t>
      </w:r>
      <w:hyperlink r:id="rId9" w:history="1">
        <w:r w:rsidRPr="0029101D">
          <w:rPr>
            <w:rStyle w:val="Hyperlink"/>
            <w:sz w:val="18"/>
            <w:szCs w:val="18"/>
            <w:u w:val="none"/>
            <w:lang w:val="pt-BR"/>
          </w:rPr>
          <w:t>https://www.youtube.com/watch?v=nlJ_St4tt7A</w:t>
        </w:r>
      </w:hyperlink>
      <w:r w:rsidRPr="0029101D">
        <w:rPr>
          <w:rStyle w:val="Hyperlink"/>
          <w:sz w:val="18"/>
          <w:szCs w:val="18"/>
          <w:u w:val="none"/>
          <w:lang w:val="pt-BR"/>
        </w:rPr>
        <w:t>.</w:t>
      </w:r>
      <w:r w:rsidRPr="00F15621"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Acesso</w:t>
      </w:r>
      <w:r>
        <w:rPr>
          <w:sz w:val="18"/>
          <w:szCs w:val="18"/>
          <w:lang w:val="pt-BR"/>
        </w:rPr>
        <w:t xml:space="preserve"> </w:t>
      </w:r>
      <w:r w:rsidRPr="00F00B00">
        <w:rPr>
          <w:sz w:val="18"/>
          <w:szCs w:val="18"/>
          <w:lang w:val="pt-BR"/>
        </w:rPr>
        <w:t>em</w:t>
      </w:r>
      <w:r>
        <w:rPr>
          <w:sz w:val="18"/>
          <w:szCs w:val="18"/>
          <w:lang w:val="pt-BR"/>
        </w:rPr>
        <w:t xml:space="preserve">: 10 jun. </w:t>
      </w:r>
      <w:r w:rsidRPr="00F00B00">
        <w:rPr>
          <w:sz w:val="18"/>
          <w:szCs w:val="18"/>
          <w:lang w:val="pt-BR"/>
        </w:rPr>
        <w:t>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2D8" w14:textId="77777777" w:rsidR="00F00B00" w:rsidRDefault="00F00B00">
    <w:pPr>
      <w:pStyle w:val="Cabealho"/>
      <w:tabs>
        <w:tab w:val="clear" w:pos="8838"/>
        <w:tab w:val="right" w:pos="8478"/>
      </w:tabs>
    </w:pPr>
    <w:r>
      <w:tab/>
    </w:r>
    <w:r>
      <w:rPr>
        <w:noProof/>
        <w:lang w:val="pt-BR"/>
      </w:rPr>
      <w:drawing>
        <wp:inline distT="0" distB="0" distL="0" distR="0" wp14:anchorId="35F4A90D" wp14:editId="06063384">
          <wp:extent cx="5396230" cy="134905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 de Formatura Tradicional Divertido e Comemorativo Amarelo Vermelho Bronz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3490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D51A689" w14:textId="77777777" w:rsidR="0029101D" w:rsidRDefault="0029101D">
    <w:pPr>
      <w:pStyle w:val="Cabealho"/>
      <w:tabs>
        <w:tab w:val="clear" w:pos="8838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7571"/>
    <w:multiLevelType w:val="hybridMultilevel"/>
    <w:tmpl w:val="AB7E94F8"/>
    <w:numStyleLink w:val="EstiloImportado1"/>
  </w:abstractNum>
  <w:abstractNum w:abstractNumId="1" w15:restartNumberingAfterBreak="0">
    <w:nsid w:val="329F430C"/>
    <w:multiLevelType w:val="hybridMultilevel"/>
    <w:tmpl w:val="AB7E94F8"/>
    <w:styleLink w:val="EstiloImportado1"/>
    <w:lvl w:ilvl="0" w:tplc="56124B54">
      <w:start w:val="1"/>
      <w:numFmt w:val="decimal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E46D7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D21ED0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3879F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A2509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A674B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5625B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B21384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4AF576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4067735">
    <w:abstractNumId w:val="1"/>
  </w:num>
  <w:num w:numId="2" w16cid:durableId="165637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86"/>
    <w:rsid w:val="00010A6F"/>
    <w:rsid w:val="00010C16"/>
    <w:rsid w:val="00065DE7"/>
    <w:rsid w:val="00067116"/>
    <w:rsid w:val="00075003"/>
    <w:rsid w:val="000C2D01"/>
    <w:rsid w:val="000D316B"/>
    <w:rsid w:val="000F15F1"/>
    <w:rsid w:val="000F6C05"/>
    <w:rsid w:val="00123F35"/>
    <w:rsid w:val="00142E9B"/>
    <w:rsid w:val="0014379A"/>
    <w:rsid w:val="00145086"/>
    <w:rsid w:val="0014629D"/>
    <w:rsid w:val="001570D7"/>
    <w:rsid w:val="001717B3"/>
    <w:rsid w:val="001740F8"/>
    <w:rsid w:val="00185135"/>
    <w:rsid w:val="001A383E"/>
    <w:rsid w:val="001B44BE"/>
    <w:rsid w:val="001B7376"/>
    <w:rsid w:val="001C386A"/>
    <w:rsid w:val="001F4E42"/>
    <w:rsid w:val="0022105F"/>
    <w:rsid w:val="00254FA9"/>
    <w:rsid w:val="00262F8B"/>
    <w:rsid w:val="00274A09"/>
    <w:rsid w:val="0029101D"/>
    <w:rsid w:val="002B5D1F"/>
    <w:rsid w:val="002C308C"/>
    <w:rsid w:val="002C5B28"/>
    <w:rsid w:val="002F0E2A"/>
    <w:rsid w:val="002F1EF1"/>
    <w:rsid w:val="002F2444"/>
    <w:rsid w:val="003003F0"/>
    <w:rsid w:val="0030565D"/>
    <w:rsid w:val="00313A56"/>
    <w:rsid w:val="00314BB6"/>
    <w:rsid w:val="00336958"/>
    <w:rsid w:val="00353EDA"/>
    <w:rsid w:val="00356F76"/>
    <w:rsid w:val="00384AAF"/>
    <w:rsid w:val="003904DC"/>
    <w:rsid w:val="003D10B7"/>
    <w:rsid w:val="003D5038"/>
    <w:rsid w:val="003F2CA6"/>
    <w:rsid w:val="00406868"/>
    <w:rsid w:val="004148AD"/>
    <w:rsid w:val="00415410"/>
    <w:rsid w:val="00423209"/>
    <w:rsid w:val="00442A63"/>
    <w:rsid w:val="0045525E"/>
    <w:rsid w:val="004857A1"/>
    <w:rsid w:val="004865EC"/>
    <w:rsid w:val="00490464"/>
    <w:rsid w:val="004960CC"/>
    <w:rsid w:val="004A7E99"/>
    <w:rsid w:val="004B3463"/>
    <w:rsid w:val="004C4C86"/>
    <w:rsid w:val="004D298D"/>
    <w:rsid w:val="004D543E"/>
    <w:rsid w:val="004F45E5"/>
    <w:rsid w:val="004F78E8"/>
    <w:rsid w:val="004F7A0E"/>
    <w:rsid w:val="00506BF0"/>
    <w:rsid w:val="00533C47"/>
    <w:rsid w:val="00534AF3"/>
    <w:rsid w:val="00565BFD"/>
    <w:rsid w:val="005735E6"/>
    <w:rsid w:val="00580FBF"/>
    <w:rsid w:val="00585C1C"/>
    <w:rsid w:val="005C72F5"/>
    <w:rsid w:val="005E5F20"/>
    <w:rsid w:val="005F054F"/>
    <w:rsid w:val="005F7D72"/>
    <w:rsid w:val="0060153D"/>
    <w:rsid w:val="0060536B"/>
    <w:rsid w:val="00606A13"/>
    <w:rsid w:val="00610108"/>
    <w:rsid w:val="00617FF1"/>
    <w:rsid w:val="006243C3"/>
    <w:rsid w:val="0064783B"/>
    <w:rsid w:val="00653388"/>
    <w:rsid w:val="00653666"/>
    <w:rsid w:val="006A42EC"/>
    <w:rsid w:val="006A5D2A"/>
    <w:rsid w:val="006B1585"/>
    <w:rsid w:val="006C586C"/>
    <w:rsid w:val="006D3C82"/>
    <w:rsid w:val="006D591B"/>
    <w:rsid w:val="006F01DF"/>
    <w:rsid w:val="007040F7"/>
    <w:rsid w:val="007313B4"/>
    <w:rsid w:val="00750FD4"/>
    <w:rsid w:val="00755E66"/>
    <w:rsid w:val="0077111A"/>
    <w:rsid w:val="007A7CAB"/>
    <w:rsid w:val="007B33D5"/>
    <w:rsid w:val="007C4D97"/>
    <w:rsid w:val="007C6EB8"/>
    <w:rsid w:val="007D1364"/>
    <w:rsid w:val="007D1B0A"/>
    <w:rsid w:val="007F1D62"/>
    <w:rsid w:val="007F79F2"/>
    <w:rsid w:val="008008B5"/>
    <w:rsid w:val="00804D61"/>
    <w:rsid w:val="00806C34"/>
    <w:rsid w:val="00825473"/>
    <w:rsid w:val="00833A96"/>
    <w:rsid w:val="00853082"/>
    <w:rsid w:val="00862656"/>
    <w:rsid w:val="00884064"/>
    <w:rsid w:val="0089181C"/>
    <w:rsid w:val="008C4701"/>
    <w:rsid w:val="008E58D2"/>
    <w:rsid w:val="008E605A"/>
    <w:rsid w:val="008F1A8F"/>
    <w:rsid w:val="00905E75"/>
    <w:rsid w:val="00911444"/>
    <w:rsid w:val="00911F0A"/>
    <w:rsid w:val="0091275F"/>
    <w:rsid w:val="00913FE0"/>
    <w:rsid w:val="00915431"/>
    <w:rsid w:val="00916925"/>
    <w:rsid w:val="009379F2"/>
    <w:rsid w:val="00940B16"/>
    <w:rsid w:val="009465F6"/>
    <w:rsid w:val="0096261D"/>
    <w:rsid w:val="0098188B"/>
    <w:rsid w:val="009C4E63"/>
    <w:rsid w:val="009C51A1"/>
    <w:rsid w:val="009D6E89"/>
    <w:rsid w:val="009E774A"/>
    <w:rsid w:val="009F263A"/>
    <w:rsid w:val="00A105C5"/>
    <w:rsid w:val="00A10685"/>
    <w:rsid w:val="00A16F1D"/>
    <w:rsid w:val="00A724AA"/>
    <w:rsid w:val="00A9743E"/>
    <w:rsid w:val="00AA08A9"/>
    <w:rsid w:val="00AB449D"/>
    <w:rsid w:val="00AB520D"/>
    <w:rsid w:val="00AB6328"/>
    <w:rsid w:val="00AC3564"/>
    <w:rsid w:val="00AC4AC4"/>
    <w:rsid w:val="00AD52CD"/>
    <w:rsid w:val="00AD78AD"/>
    <w:rsid w:val="00AE04FA"/>
    <w:rsid w:val="00AE154D"/>
    <w:rsid w:val="00AE1A77"/>
    <w:rsid w:val="00AE559C"/>
    <w:rsid w:val="00B00490"/>
    <w:rsid w:val="00B07D47"/>
    <w:rsid w:val="00B07EF4"/>
    <w:rsid w:val="00B211E9"/>
    <w:rsid w:val="00B31E42"/>
    <w:rsid w:val="00B35567"/>
    <w:rsid w:val="00B41FE1"/>
    <w:rsid w:val="00B5068E"/>
    <w:rsid w:val="00B537F4"/>
    <w:rsid w:val="00B82E31"/>
    <w:rsid w:val="00B85313"/>
    <w:rsid w:val="00BA3227"/>
    <w:rsid w:val="00BD49FD"/>
    <w:rsid w:val="00BD5A13"/>
    <w:rsid w:val="00BF0A55"/>
    <w:rsid w:val="00BF5780"/>
    <w:rsid w:val="00BF73FC"/>
    <w:rsid w:val="00C03BF0"/>
    <w:rsid w:val="00C24D0D"/>
    <w:rsid w:val="00C26D73"/>
    <w:rsid w:val="00C32B5C"/>
    <w:rsid w:val="00C44C94"/>
    <w:rsid w:val="00C520CA"/>
    <w:rsid w:val="00C57DC4"/>
    <w:rsid w:val="00C64F47"/>
    <w:rsid w:val="00C84DEA"/>
    <w:rsid w:val="00C86FAB"/>
    <w:rsid w:val="00C90941"/>
    <w:rsid w:val="00CA0476"/>
    <w:rsid w:val="00CC45ED"/>
    <w:rsid w:val="00CD409F"/>
    <w:rsid w:val="00CF1C32"/>
    <w:rsid w:val="00CF2CB4"/>
    <w:rsid w:val="00CF3E56"/>
    <w:rsid w:val="00D04A06"/>
    <w:rsid w:val="00D155FD"/>
    <w:rsid w:val="00D161FA"/>
    <w:rsid w:val="00D27046"/>
    <w:rsid w:val="00D36D9D"/>
    <w:rsid w:val="00D5133F"/>
    <w:rsid w:val="00D72E3A"/>
    <w:rsid w:val="00D734EC"/>
    <w:rsid w:val="00D92D7F"/>
    <w:rsid w:val="00DB5120"/>
    <w:rsid w:val="00DB5316"/>
    <w:rsid w:val="00DB72F6"/>
    <w:rsid w:val="00DD538F"/>
    <w:rsid w:val="00E05051"/>
    <w:rsid w:val="00E06E7D"/>
    <w:rsid w:val="00E21A2C"/>
    <w:rsid w:val="00E23785"/>
    <w:rsid w:val="00E41A02"/>
    <w:rsid w:val="00E50540"/>
    <w:rsid w:val="00E55A58"/>
    <w:rsid w:val="00E57873"/>
    <w:rsid w:val="00E714CE"/>
    <w:rsid w:val="00E726EA"/>
    <w:rsid w:val="00E778C3"/>
    <w:rsid w:val="00E842FC"/>
    <w:rsid w:val="00E9148D"/>
    <w:rsid w:val="00EA4C1D"/>
    <w:rsid w:val="00EB0CAC"/>
    <w:rsid w:val="00EC0A7F"/>
    <w:rsid w:val="00EC2E9D"/>
    <w:rsid w:val="00ED02C1"/>
    <w:rsid w:val="00ED5273"/>
    <w:rsid w:val="00EF13E8"/>
    <w:rsid w:val="00EF2662"/>
    <w:rsid w:val="00EF37FD"/>
    <w:rsid w:val="00F002EB"/>
    <w:rsid w:val="00F00B00"/>
    <w:rsid w:val="00F15621"/>
    <w:rsid w:val="00F20E1F"/>
    <w:rsid w:val="00F2110C"/>
    <w:rsid w:val="00F269F4"/>
    <w:rsid w:val="00F45B74"/>
    <w:rsid w:val="00F5048D"/>
    <w:rsid w:val="00F55E86"/>
    <w:rsid w:val="00F6230B"/>
    <w:rsid w:val="00F64471"/>
    <w:rsid w:val="00F839CD"/>
    <w:rsid w:val="00F86FE9"/>
    <w:rsid w:val="00F90063"/>
    <w:rsid w:val="00F966BA"/>
    <w:rsid w:val="00FA17E7"/>
    <w:rsid w:val="00FA4B12"/>
    <w:rsid w:val="00FA548E"/>
    <w:rsid w:val="00FB65BF"/>
    <w:rsid w:val="00FC04EC"/>
    <w:rsid w:val="00FC0A15"/>
    <w:rsid w:val="00FC5690"/>
    <w:rsid w:val="00FD7F57"/>
    <w:rsid w:val="00FE062C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0C6BC"/>
  <w15:docId w15:val="{2CBC4258-E50C-4981-84B4-CF89389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A"/>
    <w:uiPriority w:val="9"/>
    <w:qFormat/>
    <w:pPr>
      <w:keepNext/>
      <w:jc w:val="both"/>
      <w:outlineLvl w:val="0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Subttulo">
    <w:name w:val="Subtitle"/>
    <w:uiPriority w:val="11"/>
    <w:qFormat/>
    <w:pPr>
      <w:jc w:val="center"/>
    </w:pPr>
    <w:rPr>
      <w:rFonts w:cs="Arial Unicode MS"/>
      <w:b/>
      <w:bCs/>
      <w:i/>
      <w:iCs/>
      <w:color w:val="000000"/>
      <w:sz w:val="32"/>
      <w:szCs w:val="32"/>
      <w:u w:color="000000"/>
      <w:lang w:val="pt-PT"/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detexto">
    <w:name w:val="Body Text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notaderodap">
    <w:name w:val="footnote text"/>
    <w:link w:val="TextodenotaderodapChar"/>
    <w:uiPriority w:val="99"/>
    <w:rPr>
      <w:rFonts w:eastAsia="Times New Roman"/>
      <w:color w:val="000000"/>
      <w:u w:color="000000"/>
      <w:lang w:val="pt-PT"/>
    </w:rPr>
  </w:style>
  <w:style w:type="paragraph" w:styleId="Corpodetexto2">
    <w:name w:val="Body Text 2"/>
    <w:pPr>
      <w:jc w:val="both"/>
    </w:pPr>
    <w:rPr>
      <w:rFonts w:eastAsia="Times New Roman"/>
      <w:color w:val="000000"/>
      <w:u w:color="000000"/>
      <w:lang w:val="pt-PT"/>
    </w:rPr>
  </w:style>
  <w:style w:type="character" w:customStyle="1" w:styleId="Hyperlink1">
    <w:name w:val="Hyperlink.1"/>
    <w:basedOn w:val="Nenhum"/>
    <w:rPr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9181C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5E66"/>
    <w:rPr>
      <w:rFonts w:eastAsia="Times New Roman"/>
      <w:color w:val="000000"/>
      <w:u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0E1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D591B"/>
    <w:rPr>
      <w:b/>
      <w:bCs/>
    </w:rPr>
  </w:style>
  <w:style w:type="paragraph" w:customStyle="1" w:styleId="CITA">
    <w:name w:val="CITA"/>
    <w:basedOn w:val="Normal"/>
    <w:link w:val="CITAChar"/>
    <w:qFormat/>
    <w:rsid w:val="00F00B00"/>
    <w:pPr>
      <w:ind w:left="2268"/>
      <w:jc w:val="both"/>
    </w:pPr>
    <w:rPr>
      <w:rFonts w:ascii="Arial" w:hAnsi="Arial" w:cs="Arial"/>
      <w:sz w:val="22"/>
      <w:szCs w:val="22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621"/>
    <w:rPr>
      <w:sz w:val="20"/>
      <w:szCs w:val="20"/>
    </w:rPr>
  </w:style>
  <w:style w:type="character" w:customStyle="1" w:styleId="CITAChar">
    <w:name w:val="CITA Char"/>
    <w:basedOn w:val="Fontepargpadro"/>
    <w:link w:val="CITA"/>
    <w:rsid w:val="00F00B00"/>
    <w:rPr>
      <w:rFonts w:ascii="Arial" w:hAnsi="Arial" w:cs="Arial"/>
      <w:sz w:val="22"/>
      <w:szCs w:val="22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621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F15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8GMbHDq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ref=search&amp;v=752618861518238&amp;external_log_id=7eea51e0-d52a-4836-8c48-c144a93d73e8&amp;q=inimigos%20p%C3%BAblico%20Fernando%20Holidy" TargetMode="External"/><Relationship Id="rId3" Type="http://schemas.openxmlformats.org/officeDocument/2006/relationships/hyperlink" Target="http://blogdaigualdaderacial.blogspot.com/2014/04/terreiro-de-pai-dedo-em-goianape-e.html" TargetMode="External"/><Relationship Id="rId7" Type="http://schemas.openxmlformats.org/officeDocument/2006/relationships/hyperlink" Target="https://brasildedireitos.org.br/atualidades/5-motivos-para-defender-as-cotas-para-negros-em-universidades?utm_source=google&amp;utm_medium=cpc&amp;utm_campaign=cotas&amp;gclid=Cj0KCQjwmdGYBhDRARIsABmSEeMvOukKpj4TKOYu9oaVtGQWBDncoL0K39-BZz0JbY-8t9R4pXsBn0caAqLpEALw_wcB" TargetMode="External"/><Relationship Id="rId2" Type="http://schemas.openxmlformats.org/officeDocument/2006/relationships/hyperlink" Target="https://www.ipea.gov.br/igualdaderacial/index.php?option=com_content&amp;view=article&amp;id=735&amp;catid=18" TargetMode="External"/><Relationship Id="rId1" Type="http://schemas.openxmlformats.org/officeDocument/2006/relationships/hyperlink" Target="mailto:lastoria@ffclrp.usp.br" TargetMode="External"/><Relationship Id="rId6" Type="http://schemas.openxmlformats.org/officeDocument/2006/relationships/hyperlink" Target="https://www.geledes.org.br/lei-7-71689-lei-cao-25-anos-combate-ao-racismo/?gclid=CjwKCAjwvNaYBhA3EiwACgndgn381Egs7pKQdTZ63ar0ApRDYopDldxdy7deynefq4s_HoHRLrBw_BoCaMkQAvD_BwE" TargetMode="External"/><Relationship Id="rId5" Type="http://schemas.openxmlformats.org/officeDocument/2006/relationships/hyperlink" Target="https://www.camara.leg.br/noticias/643729-lei-do-feminicidio-faz-cinco-anos/" TargetMode="External"/><Relationship Id="rId4" Type="http://schemas.openxmlformats.org/officeDocument/2006/relationships/hyperlink" Target="http://www.ihuonline.unisinos.br/artigo/5191-jose-otavio-catafesto" TargetMode="External"/><Relationship Id="rId9" Type="http://schemas.openxmlformats.org/officeDocument/2006/relationships/hyperlink" Target="https://www.youtube.com/watch?v=nlJ_St4tt7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73B5-44D1-40F5-A5DC-2CB5E30C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4229</Words>
  <Characters>24828</Characters>
  <Application>Microsoft Office Word</Application>
  <DocSecurity>0</DocSecurity>
  <Lines>477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17</cp:revision>
  <dcterms:created xsi:type="dcterms:W3CDTF">2022-09-10T15:37:00Z</dcterms:created>
  <dcterms:modified xsi:type="dcterms:W3CDTF">2022-09-10T16:30:00Z</dcterms:modified>
</cp:coreProperties>
</file>