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3B02" w14:textId="77777777" w:rsidR="00334B3E" w:rsidRPr="00402E9C" w:rsidRDefault="00567537" w:rsidP="00951C5E">
      <w:pPr>
        <w:pStyle w:val="Ttulo"/>
        <w:rPr>
          <w:rFonts w:ascii="Times New Roman" w:hAnsi="Times New Roman"/>
          <w:sz w:val="24"/>
          <w:szCs w:val="24"/>
        </w:rPr>
      </w:pPr>
      <w:bookmarkStart w:id="0" w:name="_Toc532850551"/>
      <w:bookmarkStart w:id="1" w:name="begin"/>
      <w:r w:rsidRPr="00402E9C">
        <w:rPr>
          <w:rFonts w:ascii="Times New Roman" w:hAnsi="Times New Roman"/>
          <w:sz w:val="24"/>
          <w:szCs w:val="24"/>
        </w:rPr>
        <w:t xml:space="preserve">CENÁRIOS PROSPECTIVOS </w:t>
      </w:r>
      <w:r w:rsidR="006D7401" w:rsidRPr="00402E9C">
        <w:rPr>
          <w:rFonts w:ascii="Times New Roman" w:hAnsi="Times New Roman"/>
          <w:sz w:val="24"/>
          <w:szCs w:val="24"/>
        </w:rPr>
        <w:t xml:space="preserve">DE </w:t>
      </w:r>
      <w:r w:rsidRPr="00402E9C">
        <w:rPr>
          <w:rFonts w:ascii="Times New Roman" w:hAnsi="Times New Roman"/>
          <w:sz w:val="24"/>
          <w:szCs w:val="24"/>
        </w:rPr>
        <w:t>FUSÕES E AQUISIÇÕES NO BRASIL</w:t>
      </w:r>
      <w:bookmarkEnd w:id="0"/>
    </w:p>
    <w:bookmarkEnd w:id="1"/>
    <w:p w14:paraId="31C38ADA" w14:textId="1C32E118" w:rsidR="000F4CB5" w:rsidRPr="007452E7" w:rsidRDefault="000D60E2" w:rsidP="007452E7">
      <w:pPr>
        <w:pStyle w:val="Ttulo2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02E9C">
        <w:rPr>
          <w:rFonts w:ascii="Times New Roman" w:hAnsi="Times New Roman"/>
          <w:sz w:val="24"/>
          <w:szCs w:val="24"/>
        </w:rPr>
        <w:t>RESUMO</w:t>
      </w:r>
    </w:p>
    <w:p w14:paraId="1F333620" w14:textId="20961587" w:rsidR="00687168" w:rsidRPr="00402E9C" w:rsidRDefault="00A02701" w:rsidP="00402E9C">
      <w:pPr>
        <w:jc w:val="both"/>
      </w:pPr>
      <w:r w:rsidRPr="00402E9C">
        <w:t xml:space="preserve">Transações de </w:t>
      </w:r>
      <w:r w:rsidR="00F74696" w:rsidRPr="00402E9C">
        <w:t xml:space="preserve">Fusões e Aquisições </w:t>
      </w:r>
      <w:r w:rsidR="00654DFA" w:rsidRPr="00402E9C">
        <w:t>(</w:t>
      </w:r>
      <w:r w:rsidR="00F74696" w:rsidRPr="00402E9C">
        <w:t>F&amp;A</w:t>
      </w:r>
      <w:r w:rsidR="00654DFA" w:rsidRPr="00402E9C">
        <w:t>)</w:t>
      </w:r>
      <w:r w:rsidRPr="00402E9C">
        <w:t xml:space="preserve"> têm sido pesquisadas em diferentes perspectivas e despertado interesse com a intensificação das transformações no mundo globalizado.</w:t>
      </w:r>
      <w:r w:rsidR="00904562" w:rsidRPr="00402E9C">
        <w:t xml:space="preserve"> T</w:t>
      </w:r>
      <w:r w:rsidRPr="00402E9C">
        <w:t xml:space="preserve">em-se observado </w:t>
      </w:r>
      <w:r w:rsidR="00B149A6" w:rsidRPr="00402E9C">
        <w:t>crescente integração entre o</w:t>
      </w:r>
      <w:r w:rsidR="00385AD2" w:rsidRPr="00402E9C">
        <w:t>s mercados</w:t>
      </w:r>
      <w:r w:rsidR="00654DFA" w:rsidRPr="00402E9C">
        <w:t>,</w:t>
      </w:r>
      <w:r w:rsidR="00B149A6" w:rsidRPr="00402E9C">
        <w:t xml:space="preserve"> </w:t>
      </w:r>
      <w:r w:rsidR="00654DFA" w:rsidRPr="00402E9C">
        <w:t>d</w:t>
      </w:r>
      <w:r w:rsidRPr="00402E9C">
        <w:t>enotando</w:t>
      </w:r>
      <w:r w:rsidR="00567537" w:rsidRPr="00402E9C">
        <w:t xml:space="preserve"> a necessidade </w:t>
      </w:r>
      <w:proofErr w:type="gramStart"/>
      <w:r w:rsidR="00567537" w:rsidRPr="00402E9C">
        <w:t>d</w:t>
      </w:r>
      <w:r w:rsidR="00B149A6" w:rsidRPr="00402E9C">
        <w:t>as</w:t>
      </w:r>
      <w:proofErr w:type="gramEnd"/>
      <w:r w:rsidR="00B149A6" w:rsidRPr="00402E9C">
        <w:t xml:space="preserve"> organizações reestruturarem suas estratégias. </w:t>
      </w:r>
      <w:r w:rsidR="00843B35" w:rsidRPr="00402E9C">
        <w:t>O</w:t>
      </w:r>
      <w:r w:rsidR="00B149A6" w:rsidRPr="00402E9C">
        <w:t>s processos de F&amp;A são empregados como uma estratégia de crescimento adotada pelas organizações</w:t>
      </w:r>
      <w:r w:rsidRPr="00402E9C">
        <w:t xml:space="preserve">, </w:t>
      </w:r>
      <w:r w:rsidR="00334B3E" w:rsidRPr="00402E9C">
        <w:t xml:space="preserve">considerado uma ferramenta estratégica, na contínua busca de vantagem competitiva no mercado. </w:t>
      </w:r>
      <w:r w:rsidR="00843B35" w:rsidRPr="00402E9C">
        <w:t>Nesse contexto a</w:t>
      </w:r>
      <w:r w:rsidR="00385AD2" w:rsidRPr="00402E9C">
        <w:t xml:space="preserve"> pesquisa</w:t>
      </w:r>
      <w:r w:rsidR="00334B3E" w:rsidRPr="00402E9C">
        <w:t xml:space="preserve"> trata da construção de cenários prospectivos, visando auxiliar a definição </w:t>
      </w:r>
      <w:r w:rsidR="00687168" w:rsidRPr="00402E9C">
        <w:t xml:space="preserve">de </w:t>
      </w:r>
      <w:r w:rsidR="00334B3E" w:rsidRPr="00402E9C">
        <w:t>estratégia</w:t>
      </w:r>
      <w:r w:rsidR="00687168" w:rsidRPr="00402E9C">
        <w:t>s</w:t>
      </w:r>
      <w:r w:rsidR="00334B3E" w:rsidRPr="00402E9C">
        <w:t xml:space="preserve"> corporativa</w:t>
      </w:r>
      <w:r w:rsidR="00687168" w:rsidRPr="00402E9C">
        <w:t>s</w:t>
      </w:r>
      <w:r w:rsidR="00843B35" w:rsidRPr="00402E9C">
        <w:t xml:space="preserve"> </w:t>
      </w:r>
      <w:r w:rsidR="00687168" w:rsidRPr="00402E9C">
        <w:t>para</w:t>
      </w:r>
      <w:r w:rsidR="00843B35" w:rsidRPr="00402E9C">
        <w:t xml:space="preserve"> realização de F&amp;A</w:t>
      </w:r>
      <w:r w:rsidR="006D0F30" w:rsidRPr="00402E9C">
        <w:t xml:space="preserve"> no Brasil</w:t>
      </w:r>
      <w:r w:rsidR="00843B35" w:rsidRPr="00402E9C">
        <w:t>.</w:t>
      </w:r>
      <w:r w:rsidR="00334B3E" w:rsidRPr="00402E9C">
        <w:t xml:space="preserve"> A natureza desta pesquisa configura-se como qualitativa</w:t>
      </w:r>
      <w:r w:rsidR="00687168" w:rsidRPr="00402E9C">
        <w:t xml:space="preserve"> e quantitativa, </w:t>
      </w:r>
      <w:r w:rsidR="00334B3E" w:rsidRPr="00402E9C">
        <w:t xml:space="preserve">descritiva com a aplicação de questionário </w:t>
      </w:r>
      <w:r w:rsidR="00843B35" w:rsidRPr="00402E9C">
        <w:t>com</w:t>
      </w:r>
      <w:r w:rsidR="00334B3E" w:rsidRPr="00402E9C">
        <w:t xml:space="preserve"> peritos</w:t>
      </w:r>
      <w:r w:rsidR="00904562" w:rsidRPr="00402E9C">
        <w:t>,</w:t>
      </w:r>
      <w:r w:rsidR="00334B3E" w:rsidRPr="00402E9C">
        <w:t xml:space="preserve"> resultando na obtenção de </w:t>
      </w:r>
      <w:r w:rsidR="00B149A6" w:rsidRPr="00402E9C">
        <w:t>três cenários prospectivos</w:t>
      </w:r>
      <w:r w:rsidR="00567537" w:rsidRPr="00402E9C">
        <w:t xml:space="preserve"> para F&amp;A no Brasil</w:t>
      </w:r>
      <w:r w:rsidR="00B149A6" w:rsidRPr="00402E9C">
        <w:t xml:space="preserve">: </w:t>
      </w:r>
      <w:r w:rsidR="00687168" w:rsidRPr="00402E9C">
        <w:t xml:space="preserve">Céu </w:t>
      </w:r>
      <w:r w:rsidR="00843B35" w:rsidRPr="00402E9C">
        <w:t>aberto (otimista)</w:t>
      </w:r>
      <w:r w:rsidR="00B149A6" w:rsidRPr="00402E9C">
        <w:t xml:space="preserve">, </w:t>
      </w:r>
      <w:r w:rsidR="00904562" w:rsidRPr="00402E9C">
        <w:t xml:space="preserve">Temporal (pessimista) </w:t>
      </w:r>
      <w:proofErr w:type="gramStart"/>
      <w:r w:rsidR="00904562" w:rsidRPr="00402E9C">
        <w:t xml:space="preserve">e </w:t>
      </w:r>
      <w:r w:rsidR="00687168" w:rsidRPr="00402E9C">
        <w:t>Parcialmente</w:t>
      </w:r>
      <w:proofErr w:type="gramEnd"/>
      <w:r w:rsidR="00687168" w:rsidRPr="00402E9C">
        <w:t xml:space="preserve"> </w:t>
      </w:r>
      <w:r w:rsidR="00904562" w:rsidRPr="00402E9C">
        <w:t>nublado (</w:t>
      </w:r>
      <w:r w:rsidR="00B149A6" w:rsidRPr="00402E9C">
        <w:t>r</w:t>
      </w:r>
      <w:r w:rsidR="00334B3E" w:rsidRPr="00402E9C">
        <w:t>ealista</w:t>
      </w:r>
      <w:r w:rsidR="00904562" w:rsidRPr="00402E9C">
        <w:t>)</w:t>
      </w:r>
      <w:r w:rsidR="00334B3E" w:rsidRPr="00402E9C">
        <w:t xml:space="preserve"> para </w:t>
      </w:r>
      <w:r w:rsidR="00972477" w:rsidRPr="00402E9C">
        <w:t>o ano de 2026</w:t>
      </w:r>
      <w:r w:rsidR="00334B3E" w:rsidRPr="00402E9C">
        <w:t xml:space="preserve">. </w:t>
      </w:r>
      <w:r w:rsidR="00687168" w:rsidRPr="00402E9C">
        <w:t xml:space="preserve">Há um crescente </w:t>
      </w:r>
      <w:r w:rsidR="00AD1DBD">
        <w:t>esforço</w:t>
      </w:r>
      <w:r w:rsidR="00687168" w:rsidRPr="00402E9C">
        <w:t xml:space="preserve"> pelo melhor direcionamento das decisões coorporativas para a realização de operações de F&amp;A e de quais estratégias necessitam ser desenvolvidas diante dos cenários possíveis para viabilização de bons resultados. Por meio dos cenários pode-se diminuir os impactos negativos e alavancar os resultados dos negócios, e assim, aumentar as chances de tornar-se mais competitivo no mercado.</w:t>
      </w:r>
    </w:p>
    <w:p w14:paraId="5DFD8D6E" w14:textId="00A78D9C" w:rsidR="00334B3E" w:rsidRPr="00E22557" w:rsidRDefault="00334B3E" w:rsidP="008F7398">
      <w:r w:rsidRPr="00402E9C">
        <w:rPr>
          <w:b/>
        </w:rPr>
        <w:t>Palavras-chave</w:t>
      </w:r>
      <w:r w:rsidRPr="00402E9C">
        <w:t xml:space="preserve">: Fusões e </w:t>
      </w:r>
      <w:r w:rsidR="00F74696" w:rsidRPr="00402E9C">
        <w:t>aqu</w:t>
      </w:r>
      <w:r w:rsidRPr="00402E9C">
        <w:t>isições</w:t>
      </w:r>
      <w:r w:rsidR="00E22557">
        <w:t>;</w:t>
      </w:r>
      <w:r w:rsidRPr="00402E9C">
        <w:t xml:space="preserve"> </w:t>
      </w:r>
      <w:r w:rsidRPr="00E22557">
        <w:t xml:space="preserve">Cenários </w:t>
      </w:r>
      <w:r w:rsidR="00F74696" w:rsidRPr="00E22557">
        <w:t>prosp</w:t>
      </w:r>
      <w:r w:rsidRPr="00E22557">
        <w:t>ectivos</w:t>
      </w:r>
      <w:r w:rsidR="00E22557" w:rsidRPr="00E22557">
        <w:t>;</w:t>
      </w:r>
      <w:r w:rsidRPr="00E22557">
        <w:t xml:space="preserve"> Estratégia </w:t>
      </w:r>
      <w:r w:rsidR="005828FD" w:rsidRPr="00E22557">
        <w:t>Corporativa</w:t>
      </w:r>
      <w:r w:rsidRPr="00E22557">
        <w:t>.</w:t>
      </w:r>
    </w:p>
    <w:p w14:paraId="3150D80F" w14:textId="77777777" w:rsidR="00402E9C" w:rsidRPr="00E22557" w:rsidRDefault="00402E9C" w:rsidP="00402E9C">
      <w:pPr>
        <w:pStyle w:val="Ttulo2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bookmarkStart w:id="2" w:name="_Toc532850554"/>
    </w:p>
    <w:p w14:paraId="4F8ACAD5" w14:textId="26C68935" w:rsidR="000F4CB5" w:rsidRPr="00696E74" w:rsidRDefault="00F74696" w:rsidP="00696E74">
      <w:pPr>
        <w:pStyle w:val="Ttulo2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02E9C">
        <w:rPr>
          <w:rFonts w:ascii="Times New Roman" w:hAnsi="Times New Roman"/>
          <w:sz w:val="24"/>
          <w:szCs w:val="24"/>
        </w:rPr>
        <w:t>1 Introdução</w:t>
      </w:r>
      <w:bookmarkEnd w:id="2"/>
    </w:p>
    <w:p w14:paraId="51E5C69A" w14:textId="00C3E920" w:rsidR="00334B3E" w:rsidRPr="00402E9C" w:rsidRDefault="00334B3E" w:rsidP="00402E9C">
      <w:pPr>
        <w:ind w:firstLine="567"/>
        <w:jc w:val="both"/>
      </w:pPr>
      <w:bookmarkStart w:id="3" w:name="_Toc532688590"/>
      <w:bookmarkStart w:id="4" w:name="_Toc532850555"/>
      <w:r w:rsidRPr="00402E9C">
        <w:t>Estratégias de crescimento são adotadas para auxiliar as empresas no atual cenário internacional</w:t>
      </w:r>
      <w:r w:rsidR="004E4781" w:rsidRPr="00402E9C">
        <w:t xml:space="preserve"> (Caldeira, 2017)</w:t>
      </w:r>
      <w:r w:rsidRPr="00402E9C">
        <w:t xml:space="preserve">. As operações de combinações de negócios entre diferentes empresas, principalmente as Fusões e Aquisições </w:t>
      </w:r>
      <w:r w:rsidR="007017D7" w:rsidRPr="00402E9C">
        <w:t>[</w:t>
      </w:r>
      <w:r w:rsidRPr="00402E9C">
        <w:t>F&amp;A</w:t>
      </w:r>
      <w:r w:rsidR="007017D7" w:rsidRPr="00402E9C">
        <w:t>]</w:t>
      </w:r>
      <w:r w:rsidRPr="00402E9C">
        <w:t xml:space="preserve">, são eventos que envolvem organizações e, que, ainda permanecem </w:t>
      </w:r>
      <w:r w:rsidR="008F34DE" w:rsidRPr="00402E9C">
        <w:t xml:space="preserve">controversas </w:t>
      </w:r>
      <w:r w:rsidRPr="00402E9C">
        <w:t>na literatura</w:t>
      </w:r>
      <w:r w:rsidR="00696E74">
        <w:t xml:space="preserve"> </w:t>
      </w:r>
      <w:r w:rsidRPr="00402E9C">
        <w:t>(</w:t>
      </w:r>
      <w:r w:rsidRPr="00402E9C">
        <w:rPr>
          <w:bCs/>
        </w:rPr>
        <w:t>Ferreira &amp; Callado, 2015).</w:t>
      </w:r>
      <w:bookmarkEnd w:id="3"/>
      <w:bookmarkEnd w:id="4"/>
    </w:p>
    <w:p w14:paraId="7700ED77" w14:textId="77777777" w:rsidR="00334B3E" w:rsidRPr="00402E9C" w:rsidRDefault="00334B3E" w:rsidP="00402E9C">
      <w:pPr>
        <w:ind w:firstLine="567"/>
        <w:jc w:val="both"/>
      </w:pPr>
      <w:bookmarkStart w:id="5" w:name="_Toc532688591"/>
      <w:bookmarkStart w:id="6" w:name="_Toc532850556"/>
      <w:r w:rsidRPr="00402E9C">
        <w:t xml:space="preserve">As fusões, como forma de estratégia de integração vertical ou horizontal, têm sido muito utilizadas para as empresas se adaptarem a esse ambiente, na medida em que essas ações podem gerar diversos tipos de sinergias entre outros fatores benéficos à organização (Wright, </w:t>
      </w:r>
      <w:proofErr w:type="spellStart"/>
      <w:r w:rsidRPr="00402E9C">
        <w:t>Kroll</w:t>
      </w:r>
      <w:proofErr w:type="spellEnd"/>
      <w:r w:rsidR="001C3790" w:rsidRPr="00402E9C">
        <w:t>,</w:t>
      </w:r>
      <w:r w:rsidRPr="00402E9C">
        <w:t xml:space="preserve"> &amp; </w:t>
      </w:r>
      <w:proofErr w:type="spellStart"/>
      <w:r w:rsidRPr="00402E9C">
        <w:t>Parnell</w:t>
      </w:r>
      <w:proofErr w:type="spellEnd"/>
      <w:r w:rsidRPr="00402E9C">
        <w:t xml:space="preserve">, 2000). São definidas como combinações estratégicas distintas, dinâmicas e complexas. Conceitualmente a operação de fusão é a união de duas ou mais companhias que forma uma única empresa. A aquisição por sua vez é a compra do controle acionário de uma empresa por outra. Na ótica de </w:t>
      </w:r>
      <w:proofErr w:type="spellStart"/>
      <w:r w:rsidRPr="00402E9C">
        <w:t>Dodd</w:t>
      </w:r>
      <w:proofErr w:type="spellEnd"/>
      <w:r w:rsidRPr="00402E9C">
        <w:t xml:space="preserve"> (1980), fusão trata-se de uma transação na qual uma empresa compra ações ou ativos de outra.</w:t>
      </w:r>
      <w:bookmarkEnd w:id="5"/>
      <w:bookmarkEnd w:id="6"/>
    </w:p>
    <w:p w14:paraId="79A2E12B" w14:textId="77777777" w:rsidR="00334B3E" w:rsidRPr="00402E9C" w:rsidRDefault="00654DFA" w:rsidP="00402E9C">
      <w:pPr>
        <w:ind w:firstLine="567"/>
        <w:jc w:val="both"/>
      </w:pPr>
      <w:bookmarkStart w:id="7" w:name="_Toc532688592"/>
      <w:bookmarkStart w:id="8" w:name="_Toc532850557"/>
      <w:r w:rsidRPr="00402E9C">
        <w:t>Fusões e aquisições</w:t>
      </w:r>
      <w:r w:rsidR="00334B3E" w:rsidRPr="00402E9C">
        <w:t xml:space="preserve"> são ferramentas para o crescimento empresarial, possibilitando a penetração</w:t>
      </w:r>
      <w:r w:rsidRPr="00402E9C">
        <w:t xml:space="preserve"> em novos mercados, com ganho de</w:t>
      </w:r>
      <w:r w:rsidR="00334B3E" w:rsidRPr="00402E9C">
        <w:t xml:space="preserve"> maturidade e investimento. Embora, teoricamente as transações de fusões e aquisições tenham características diferenciadas, observa-se que a definição de fusão se torna mais uma forma de aquisição, embora juridicamente estas duas estratégias empresariais que envolvem a pessoa jurídica da empresa sejam tratadas diferent</w:t>
      </w:r>
      <w:r w:rsidR="00255DE9" w:rsidRPr="00402E9C">
        <w:t>emente</w:t>
      </w:r>
      <w:r w:rsidR="00334B3E" w:rsidRPr="00402E9C">
        <w:t xml:space="preserve"> (Caixeta, 2010)</w:t>
      </w:r>
      <w:bookmarkEnd w:id="7"/>
      <w:bookmarkEnd w:id="8"/>
      <w:r w:rsidR="00255DE9" w:rsidRPr="00402E9C">
        <w:t>.</w:t>
      </w:r>
    </w:p>
    <w:p w14:paraId="78A52109" w14:textId="7E203AEB" w:rsidR="00135BB1" w:rsidRPr="00402E9C" w:rsidRDefault="00DB75A0" w:rsidP="00402E9C">
      <w:pPr>
        <w:ind w:firstLine="567"/>
        <w:jc w:val="both"/>
      </w:pPr>
      <w:r w:rsidRPr="00402E9C">
        <w:t xml:space="preserve">De acordo com relatório da </w:t>
      </w:r>
      <w:proofErr w:type="spellStart"/>
      <w:r w:rsidRPr="00402E9C">
        <w:t>K</w:t>
      </w:r>
      <w:r w:rsidR="000A54FE">
        <w:t>pmg</w:t>
      </w:r>
      <w:proofErr w:type="spellEnd"/>
      <w:r w:rsidRPr="00402E9C">
        <w:t xml:space="preserve"> (2018)</w:t>
      </w:r>
      <w:r w:rsidR="00040226" w:rsidRPr="00402E9C">
        <w:t>,</w:t>
      </w:r>
      <w:r w:rsidRPr="00402E9C">
        <w:t xml:space="preserve"> o n</w:t>
      </w:r>
      <w:r w:rsidR="00135BB1" w:rsidRPr="00402E9C">
        <w:t xml:space="preserve">úmero de fusões e aquisições </w:t>
      </w:r>
      <w:r w:rsidR="001C3790" w:rsidRPr="00402E9C">
        <w:t xml:space="preserve">no Brasil </w:t>
      </w:r>
      <w:r w:rsidR="00040226" w:rsidRPr="00402E9C">
        <w:t>obteve um</w:t>
      </w:r>
      <w:r w:rsidR="00135BB1" w:rsidRPr="00402E9C">
        <w:t xml:space="preserve"> recorde em 2017</w:t>
      </w:r>
      <w:r w:rsidR="00690B23" w:rsidRPr="00402E9C">
        <w:t>.</w:t>
      </w:r>
      <w:r w:rsidR="00135BB1" w:rsidRPr="00402E9C">
        <w:t xml:space="preserve"> O número é 12% superior </w:t>
      </w:r>
      <w:r w:rsidRPr="00402E9C">
        <w:t>ao realizado</w:t>
      </w:r>
      <w:r w:rsidR="00135BB1" w:rsidRPr="00402E9C">
        <w:t xml:space="preserve"> em 2016</w:t>
      </w:r>
      <w:r w:rsidR="00040226" w:rsidRPr="00402E9C">
        <w:t>, t</w:t>
      </w:r>
      <w:r w:rsidRPr="00402E9C">
        <w:t xml:space="preserve">otalizando </w:t>
      </w:r>
      <w:r w:rsidR="00040226" w:rsidRPr="00402E9C">
        <w:t>830 transações concretizadas.</w:t>
      </w:r>
      <w:r w:rsidR="00135BB1" w:rsidRPr="00402E9C">
        <w:t xml:space="preserve"> </w:t>
      </w:r>
      <w:r w:rsidRPr="00402E9C">
        <w:t>O</w:t>
      </w:r>
      <w:r w:rsidR="00135BB1" w:rsidRPr="00402E9C">
        <w:t xml:space="preserve">s principais fatores que </w:t>
      </w:r>
      <w:r w:rsidRPr="00402E9C">
        <w:t>contribuíram com o aumento do</w:t>
      </w:r>
      <w:r w:rsidR="00135BB1" w:rsidRPr="00402E9C">
        <w:t xml:space="preserve"> número de fusões e aquisições </w:t>
      </w:r>
      <w:r w:rsidRPr="00402E9C">
        <w:t>foram</w:t>
      </w:r>
      <w:r w:rsidR="00135BB1" w:rsidRPr="00402E9C">
        <w:t xml:space="preserve"> as tra</w:t>
      </w:r>
      <w:r w:rsidR="00040226" w:rsidRPr="00402E9C">
        <w:t>nsações domésticas, que envolvem</w:t>
      </w:r>
      <w:r w:rsidR="00135BB1" w:rsidRPr="00402E9C">
        <w:t xml:space="preserve"> apenas empresas brasileiras, com 378 operações, </w:t>
      </w:r>
      <w:r w:rsidR="001C3790" w:rsidRPr="00402E9C">
        <w:t>havendo uma</w:t>
      </w:r>
      <w:r w:rsidR="00135BB1" w:rsidRPr="00402E9C">
        <w:t xml:space="preserve"> recuperação no segundo semestre, principalmente do período entre outubro e dezembro, que somou 246 negociações e se tornou o melhor trimestre da história.</w:t>
      </w:r>
    </w:p>
    <w:p w14:paraId="71F13E31" w14:textId="50A8942F" w:rsidR="00040226" w:rsidRPr="00402E9C" w:rsidRDefault="00040226" w:rsidP="00402E9C">
      <w:pPr>
        <w:ind w:firstLine="567"/>
        <w:jc w:val="both"/>
      </w:pPr>
      <w:r w:rsidRPr="00402E9C">
        <w:t>Por se tratar de eventos complexos, as F&amp;A devem refletir o horizonte de tempo das decisões de investimentos mais importantes da organização (Porter, 1992), sendo recomendável que os cenários tenham ao menos cinco anos, dado o objetivo principal de auxiliar na definição das estratégias das empresas, o que exige abordagem em longo prazo (</w:t>
      </w:r>
      <w:proofErr w:type="spellStart"/>
      <w:r w:rsidR="003053A6" w:rsidRPr="00402E9C">
        <w:t>Godet</w:t>
      </w:r>
      <w:proofErr w:type="spellEnd"/>
      <w:r w:rsidR="00402E9C">
        <w:t xml:space="preserve"> &amp;</w:t>
      </w:r>
      <w:r w:rsidR="003053A6" w:rsidRPr="00402E9C">
        <w:t xml:space="preserve"> </w:t>
      </w:r>
      <w:proofErr w:type="spellStart"/>
      <w:r w:rsidR="003053A6" w:rsidRPr="00402E9C">
        <w:t>Durance</w:t>
      </w:r>
      <w:proofErr w:type="spellEnd"/>
      <w:r w:rsidR="003053A6" w:rsidRPr="00402E9C">
        <w:t xml:space="preserve">, 2011, </w:t>
      </w:r>
      <w:r w:rsidRPr="00402E9C">
        <w:lastRenderedPageBreak/>
        <w:t>Marcial &amp; Costa, 2001</w:t>
      </w:r>
      <w:r w:rsidR="003053A6" w:rsidRPr="00402E9C">
        <w:t>, Roney &amp; Curtis, 2013</w:t>
      </w:r>
      <w:r w:rsidRPr="00402E9C">
        <w:t xml:space="preserve">). </w:t>
      </w:r>
      <w:r w:rsidR="008A0D5A" w:rsidRPr="00402E9C">
        <w:t xml:space="preserve">Assim, utilizou-se no presente trabalho, o horizonte temporal de 10 anos, </w:t>
      </w:r>
      <w:r w:rsidR="00097828" w:rsidRPr="00402E9C">
        <w:t>exercício temporal já consagrado na literatura como modelador para estudos de cenários</w:t>
      </w:r>
      <w:r w:rsidR="003053A6" w:rsidRPr="00402E9C">
        <w:t xml:space="preserve"> (Ribeiro &amp; Forte, 2020), </w:t>
      </w:r>
      <w:proofErr w:type="spellStart"/>
      <w:r w:rsidR="003053A6" w:rsidRPr="00402E9C">
        <w:t>Spada</w:t>
      </w:r>
      <w:proofErr w:type="spellEnd"/>
      <w:r w:rsidR="003053A6" w:rsidRPr="00402E9C">
        <w:t xml:space="preserve"> &amp; Forte, 2018, Silva, Machado Neto, &amp; Guerra, 2020). </w:t>
      </w:r>
    </w:p>
    <w:p w14:paraId="4EEBDB9B" w14:textId="1198C9F3" w:rsidR="00334B3E" w:rsidRPr="00402E9C" w:rsidRDefault="00334B3E" w:rsidP="00402E9C">
      <w:pPr>
        <w:ind w:firstLine="567"/>
        <w:jc w:val="both"/>
      </w:pPr>
      <w:r w:rsidRPr="00402E9C">
        <w:t xml:space="preserve">Nesse contexto, salienta-se a importância do estudo de cenários prospectivos para identificar possíveis tendências do ambiente </w:t>
      </w:r>
      <w:r w:rsidR="00F03AFA" w:rsidRPr="00402E9C">
        <w:t>às quais</w:t>
      </w:r>
      <w:r w:rsidRPr="00402E9C">
        <w:t xml:space="preserve"> as empresas estão inseridas, possibilitando a elaboração de estratégias preventivas para minimizar os riscos decorrentes de cenários desfavoráveis.</w:t>
      </w:r>
    </w:p>
    <w:p w14:paraId="4954A240" w14:textId="5D852084" w:rsidR="00334B3E" w:rsidRPr="00402E9C" w:rsidRDefault="00334B3E" w:rsidP="00402E9C">
      <w:pPr>
        <w:ind w:firstLine="567"/>
        <w:jc w:val="both"/>
      </w:pPr>
      <w:r w:rsidRPr="00402E9C">
        <w:t xml:space="preserve">Diante disto e tendo em vista a </w:t>
      </w:r>
      <w:r w:rsidR="00040226" w:rsidRPr="00402E9C">
        <w:t>relevância das F&amp;A na economia b</w:t>
      </w:r>
      <w:r w:rsidRPr="00402E9C">
        <w:t>rasileira, a complexidade do alinhamento estratégic</w:t>
      </w:r>
      <w:r w:rsidR="00040226" w:rsidRPr="00402E9C">
        <w:t>o entre as necessidades do</w:t>
      </w:r>
      <w:r w:rsidRPr="00402E9C">
        <w:t xml:space="preserve"> mercado, e os planos de crescimento do país, a pesquisa empreendida busca responder a seguinte pergunta: Quais os possíveis cenário</w:t>
      </w:r>
      <w:r w:rsidR="00040226" w:rsidRPr="00402E9C">
        <w:t>s</w:t>
      </w:r>
      <w:r w:rsidRPr="00402E9C">
        <w:t xml:space="preserve"> </w:t>
      </w:r>
      <w:r w:rsidR="00040226" w:rsidRPr="00402E9C">
        <w:t xml:space="preserve">das </w:t>
      </w:r>
      <w:r w:rsidRPr="00402E9C">
        <w:t>F&amp;A no Brasil</w:t>
      </w:r>
      <w:r w:rsidRPr="00402E9C">
        <w:rPr>
          <w:rFonts w:eastAsia="TimesNewRomanPSMT"/>
        </w:rPr>
        <w:t xml:space="preserve"> </w:t>
      </w:r>
      <w:r w:rsidR="00972477" w:rsidRPr="00402E9C">
        <w:rPr>
          <w:rFonts w:eastAsia="TimesNewRomanPSMT"/>
        </w:rPr>
        <w:t>para o ano de 2026</w:t>
      </w:r>
      <w:r w:rsidRPr="00402E9C">
        <w:rPr>
          <w:rFonts w:eastAsia="TimesNewRomanPSMT"/>
        </w:rPr>
        <w:t>?</w:t>
      </w:r>
      <w:r w:rsidR="003E1778" w:rsidRPr="00402E9C">
        <w:rPr>
          <w:rFonts w:eastAsia="TimesNewRomanPSMT"/>
        </w:rPr>
        <w:t xml:space="preserve"> </w:t>
      </w:r>
      <w:r w:rsidR="00972477" w:rsidRPr="00402E9C">
        <w:rPr>
          <w:rFonts w:eastAsia="TimesNewRomanPSMT"/>
        </w:rPr>
        <w:t xml:space="preserve">A pesquisa objetiva identificar os cenários </w:t>
      </w:r>
      <w:proofErr w:type="spellStart"/>
      <w:r w:rsidR="00972477" w:rsidRPr="00402E9C">
        <w:rPr>
          <w:rFonts w:eastAsia="TimesNewRomanPSMT"/>
        </w:rPr>
        <w:t>prospeftivos</w:t>
      </w:r>
      <w:proofErr w:type="spellEnd"/>
      <w:r w:rsidR="00972477" w:rsidRPr="00402E9C">
        <w:rPr>
          <w:rFonts w:eastAsia="TimesNewRomanPSMT"/>
        </w:rPr>
        <w:t xml:space="preserve"> de Fusões e Aquisições no Brasil para o ano de 2026.</w:t>
      </w:r>
    </w:p>
    <w:p w14:paraId="31C8BD06" w14:textId="29946000" w:rsidR="004B7927" w:rsidRPr="00402E9C" w:rsidRDefault="004B7927" w:rsidP="00402E9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02E9C">
        <w:t xml:space="preserve">No aspecto metodológico para a construção dos cenários, a pesquisa </w:t>
      </w:r>
      <w:r w:rsidR="007F2B6B" w:rsidRPr="00402E9C">
        <w:t xml:space="preserve">contribui </w:t>
      </w:r>
      <w:r w:rsidRPr="00402E9C">
        <w:t xml:space="preserve">com a aplicação de metodologia sugerida por </w:t>
      </w:r>
      <w:proofErr w:type="spellStart"/>
      <w:r w:rsidRPr="00402E9C">
        <w:t>Blanning</w:t>
      </w:r>
      <w:proofErr w:type="spellEnd"/>
      <w:r w:rsidRPr="00402E9C">
        <w:t xml:space="preserve"> e </w:t>
      </w:r>
      <w:proofErr w:type="spellStart"/>
      <w:r w:rsidRPr="00402E9C">
        <w:t>Reinig</w:t>
      </w:r>
      <w:proofErr w:type="spellEnd"/>
      <w:r w:rsidRPr="00402E9C">
        <w:t xml:space="preserve"> (1998), </w:t>
      </w:r>
      <w:r w:rsidR="007F2B6B" w:rsidRPr="00402E9C">
        <w:t xml:space="preserve">uma vez que foi </w:t>
      </w:r>
      <w:r w:rsidRPr="00402E9C">
        <w:t xml:space="preserve">apoiada pelos Métodos de </w:t>
      </w:r>
      <w:proofErr w:type="spellStart"/>
      <w:r w:rsidRPr="00402E9C">
        <w:t>Godet</w:t>
      </w:r>
      <w:proofErr w:type="spellEnd"/>
      <w:r w:rsidRPr="00402E9C">
        <w:t xml:space="preserve"> (2000) e Marcial e </w:t>
      </w:r>
      <w:proofErr w:type="spellStart"/>
      <w:r w:rsidRPr="00402E9C">
        <w:t>Grumbach</w:t>
      </w:r>
      <w:proofErr w:type="spellEnd"/>
      <w:r w:rsidRPr="00402E9C">
        <w:t xml:space="preserve"> (2002).</w:t>
      </w:r>
    </w:p>
    <w:p w14:paraId="4447B24B" w14:textId="573D635C" w:rsidR="00DD41DA" w:rsidRPr="00402E9C" w:rsidRDefault="00DD41DA" w:rsidP="00402E9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02E9C">
        <w:t xml:space="preserve">A pesquisa encontra relevância no aspecto empírico, pois visa contribuir com um estudo prospectivo de cenários para uma </w:t>
      </w:r>
      <w:r w:rsidR="00572B48" w:rsidRPr="00402E9C">
        <w:t>destacada estratégia corporativa</w:t>
      </w:r>
      <w:r w:rsidRPr="00402E9C">
        <w:t>, uma vez que desenvolve e apresenta os possíveis cenários para fusões e aquisições no Brasil.</w:t>
      </w:r>
    </w:p>
    <w:p w14:paraId="0D8FC463" w14:textId="76D30E38" w:rsidR="00040226" w:rsidRPr="00402E9C" w:rsidRDefault="00DD41DA" w:rsidP="00402E9C">
      <w:pPr>
        <w:ind w:firstLine="567"/>
        <w:jc w:val="both"/>
      </w:pPr>
      <w:r w:rsidRPr="00402E9C">
        <w:t>O artigo pode contribuir</w:t>
      </w:r>
      <w:r w:rsidR="004B7927" w:rsidRPr="00402E9C">
        <w:t xml:space="preserve"> para o desenvolvimento e crescimento da </w:t>
      </w:r>
      <w:r w:rsidRPr="00402E9C">
        <w:t xml:space="preserve">indústria, </w:t>
      </w:r>
      <w:r w:rsidR="004B7927" w:rsidRPr="00402E9C">
        <w:t xml:space="preserve">por meio dos cenários construídos, produz condições para que as empresas e demais atores intervenientes possam </w:t>
      </w:r>
      <w:r w:rsidRPr="00402E9C">
        <w:t>auxiliar</w:t>
      </w:r>
      <w:r w:rsidR="004B7927" w:rsidRPr="00402E9C">
        <w:t xml:space="preserve"> no desenvolvimento, subsidiando melhorias no processo de tomada de decisão relacionada </w:t>
      </w:r>
      <w:r w:rsidR="00572B48" w:rsidRPr="00402E9C">
        <w:t>à</w:t>
      </w:r>
      <w:r w:rsidR="004B7927" w:rsidRPr="00402E9C">
        <w:t xml:space="preserve"> estratégia de fusões e aquisições no Brasil.</w:t>
      </w:r>
    </w:p>
    <w:p w14:paraId="479F710C" w14:textId="77777777" w:rsidR="00696E74" w:rsidRDefault="00696E74" w:rsidP="005F2C8D">
      <w:pPr>
        <w:pStyle w:val="Ttulo2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9" w:name="_Toc532850558"/>
    </w:p>
    <w:p w14:paraId="4818542C" w14:textId="4AC0C196" w:rsidR="006D0F30" w:rsidRPr="00696E74" w:rsidRDefault="003059CC" w:rsidP="00696E74">
      <w:pPr>
        <w:pStyle w:val="Ttulo2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02E9C">
        <w:rPr>
          <w:rFonts w:ascii="Times New Roman" w:hAnsi="Times New Roman"/>
          <w:sz w:val="24"/>
          <w:szCs w:val="24"/>
        </w:rPr>
        <w:t xml:space="preserve">2 </w:t>
      </w:r>
      <w:r w:rsidR="0032437F" w:rsidRPr="00402E9C">
        <w:rPr>
          <w:rFonts w:ascii="Times New Roman" w:hAnsi="Times New Roman"/>
          <w:sz w:val="24"/>
          <w:szCs w:val="24"/>
        </w:rPr>
        <w:t xml:space="preserve">Fundamentação </w:t>
      </w:r>
      <w:r w:rsidR="0025378D" w:rsidRPr="00402E9C">
        <w:rPr>
          <w:rFonts w:ascii="Times New Roman" w:hAnsi="Times New Roman"/>
          <w:sz w:val="24"/>
          <w:szCs w:val="24"/>
        </w:rPr>
        <w:t>Teórica</w:t>
      </w:r>
      <w:bookmarkStart w:id="10" w:name="_Toc532850559"/>
      <w:bookmarkEnd w:id="9"/>
    </w:p>
    <w:p w14:paraId="74954BBE" w14:textId="7A2C117F" w:rsidR="00402E9C" w:rsidRPr="008C7CB9" w:rsidRDefault="0037019D" w:rsidP="005F2C8D">
      <w:pPr>
        <w:pStyle w:val="Ttulo1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02E9C">
        <w:rPr>
          <w:rFonts w:ascii="Times New Roman" w:hAnsi="Times New Roman"/>
          <w:sz w:val="24"/>
          <w:szCs w:val="24"/>
        </w:rPr>
        <w:t>2.1 FUSÕES E AQUISIÇÕES (F&amp;A</w:t>
      </w:r>
      <w:bookmarkEnd w:id="10"/>
      <w:r w:rsidRPr="00402E9C">
        <w:rPr>
          <w:rFonts w:ascii="Times New Roman" w:hAnsi="Times New Roman"/>
          <w:sz w:val="24"/>
          <w:szCs w:val="24"/>
        </w:rPr>
        <w:t>)</w:t>
      </w:r>
    </w:p>
    <w:p w14:paraId="0F73629A" w14:textId="57461FBB" w:rsidR="006D0F30" w:rsidRPr="00402E9C" w:rsidRDefault="006D0F30" w:rsidP="005F2C8D">
      <w:pPr>
        <w:ind w:firstLine="567"/>
        <w:jc w:val="both"/>
      </w:pPr>
      <w:r w:rsidRPr="00402E9C">
        <w:t xml:space="preserve">Normalmente, as F&amp;A são uma alternativa de desenvolvimento ou expansão que, em princípio, oferece vantagens para as partes envolvidas na transação (El </w:t>
      </w:r>
      <w:proofErr w:type="spellStart"/>
      <w:r w:rsidRPr="00402E9C">
        <w:t>Hajj</w:t>
      </w:r>
      <w:proofErr w:type="spellEnd"/>
      <w:r w:rsidRPr="00402E9C">
        <w:t>, 1999). Assim há três pontos que podem diferenciá-las: (i) atividade: nas aquisições é comum operações que envolvam empresas que atuam em setores diferentes e em fusões normalmente as empresas possuem a mesma atividade-fim; (</w:t>
      </w:r>
      <w:proofErr w:type="spellStart"/>
      <w:r w:rsidRPr="00402E9C">
        <w:t>ii</w:t>
      </w:r>
      <w:proofErr w:type="spellEnd"/>
      <w:r w:rsidRPr="00402E9C">
        <w:t>) personalidade jurídica: em uma aquisição uma das empresas mantém a sua identidade jurídica e em uma fusão ocorre a criação de uma nova empresa que é a junção das anteriores; (</w:t>
      </w:r>
      <w:proofErr w:type="spellStart"/>
      <w:r w:rsidRPr="00402E9C">
        <w:t>iii</w:t>
      </w:r>
      <w:proofErr w:type="spellEnd"/>
      <w:r w:rsidRPr="00402E9C">
        <w:t>) forma de pagamento: nas aquisições pode variar entre dinheiro, ações e títulos e em fusões ocorre uma permuta de ações (</w:t>
      </w:r>
      <w:proofErr w:type="spellStart"/>
      <w:r w:rsidRPr="00402E9C">
        <w:t>Camargos</w:t>
      </w:r>
      <w:proofErr w:type="spellEnd"/>
      <w:r w:rsidRPr="00402E9C">
        <w:t xml:space="preserve"> &amp; Barbosa, 2003.</w:t>
      </w:r>
    </w:p>
    <w:p w14:paraId="589A6744" w14:textId="1FFD801F" w:rsidR="006D0F30" w:rsidRPr="00402E9C" w:rsidRDefault="006D0F30" w:rsidP="00402E9C">
      <w:pPr>
        <w:ind w:firstLine="567"/>
        <w:jc w:val="both"/>
      </w:pPr>
      <w:r w:rsidRPr="00402E9C">
        <w:t xml:space="preserve">Para </w:t>
      </w:r>
      <w:proofErr w:type="spellStart"/>
      <w:r w:rsidRPr="00402E9C">
        <w:t>Camargos</w:t>
      </w:r>
      <w:proofErr w:type="spellEnd"/>
      <w:r w:rsidRPr="00402E9C">
        <w:t xml:space="preserve"> e </w:t>
      </w:r>
      <w:proofErr w:type="spellStart"/>
      <w:r w:rsidRPr="00402E9C">
        <w:t>Camargos</w:t>
      </w:r>
      <w:proofErr w:type="spellEnd"/>
      <w:r w:rsidRPr="00402E9C">
        <w:t xml:space="preserve"> (2010), as teorias de finanças e estratégia explicam a motivação ao participar de uma operação de F&amp;A sob a perspectiva da realização de um investimento. A tomada de decisão em relação a uma operação de F&amp;A visa à criação de valor para os acionistas da adquirente, no entanto, para que tal objetivo seja alcançado, o planejamento e a execução da operação precisam ser cuidadosamente considerados.</w:t>
      </w:r>
    </w:p>
    <w:p w14:paraId="7F33BEE9" w14:textId="6E6112EF" w:rsidR="006D0F30" w:rsidRPr="00402E9C" w:rsidRDefault="006D0F30" w:rsidP="008C7CB9">
      <w:pPr>
        <w:ind w:firstLine="567"/>
        <w:jc w:val="both"/>
      </w:pPr>
      <w:r w:rsidRPr="00402E9C">
        <w:t xml:space="preserve">De acordo com Ross, </w:t>
      </w:r>
      <w:proofErr w:type="spellStart"/>
      <w:r w:rsidRPr="00402E9C">
        <w:t>Westerfield</w:t>
      </w:r>
      <w:proofErr w:type="spellEnd"/>
      <w:r w:rsidRPr="00402E9C">
        <w:t xml:space="preserve"> e </w:t>
      </w:r>
      <w:proofErr w:type="spellStart"/>
      <w:r w:rsidRPr="00402E9C">
        <w:t>Jaffe</w:t>
      </w:r>
      <w:proofErr w:type="spellEnd"/>
      <w:r w:rsidRPr="00402E9C">
        <w:t xml:space="preserve"> (2002), uma fusão ou aquisição pode variar de acordo com a estratégia da empresa, bem como da sua capacidade financeira e visão de mercado, sendo classificadas em três categorias:</w:t>
      </w:r>
    </w:p>
    <w:p w14:paraId="7F2FF245" w14:textId="5E803CBA" w:rsidR="006D0F30" w:rsidRPr="00402E9C" w:rsidRDefault="006D0F30" w:rsidP="00402E9C">
      <w:pPr>
        <w:pStyle w:val="PargrafodaLista"/>
        <w:numPr>
          <w:ilvl w:val="0"/>
          <w:numId w:val="25"/>
        </w:numPr>
        <w:ind w:left="426"/>
        <w:rPr>
          <w:rFonts w:ascii="Times New Roman" w:eastAsia="Times New Roman" w:hAnsi="Times New Roman"/>
          <w:color w:val="auto"/>
          <w:sz w:val="24"/>
          <w:szCs w:val="24"/>
        </w:rPr>
      </w:pPr>
      <w:r w:rsidRPr="00402E9C">
        <w:rPr>
          <w:rFonts w:ascii="Times New Roman" w:eastAsia="Times New Roman" w:hAnsi="Times New Roman"/>
          <w:color w:val="auto"/>
          <w:sz w:val="24"/>
          <w:szCs w:val="24"/>
        </w:rPr>
        <w:t>Horizontal: caracteriza pela união de empresas que atuam no mesmo ramo de atividade, geralmente concorrentes</w:t>
      </w:r>
      <w:r w:rsidR="00696E74">
        <w:rPr>
          <w:rFonts w:ascii="Times New Roman" w:eastAsia="Times New Roman" w:hAnsi="Times New Roman"/>
          <w:color w:val="auto"/>
          <w:sz w:val="24"/>
          <w:szCs w:val="24"/>
        </w:rPr>
        <w:t>, c</w:t>
      </w:r>
      <w:r w:rsidRPr="00402E9C">
        <w:rPr>
          <w:rFonts w:ascii="Times New Roman" w:eastAsia="Times New Roman" w:hAnsi="Times New Roman"/>
          <w:color w:val="auto"/>
          <w:sz w:val="24"/>
          <w:szCs w:val="24"/>
        </w:rPr>
        <w:t>om o objetivo principal de expandir as atividades da empresa, gerar economias de escala e reduzir os custos, aumentando o poder de mercado;</w:t>
      </w:r>
    </w:p>
    <w:p w14:paraId="6D6E2F95" w14:textId="77777777" w:rsidR="006D0F30" w:rsidRPr="00402E9C" w:rsidRDefault="006D0F30" w:rsidP="00402E9C">
      <w:pPr>
        <w:pStyle w:val="PargrafodaLista"/>
        <w:numPr>
          <w:ilvl w:val="0"/>
          <w:numId w:val="25"/>
        </w:numPr>
        <w:ind w:left="426"/>
        <w:rPr>
          <w:rFonts w:ascii="Times New Roman" w:eastAsia="Times New Roman" w:hAnsi="Times New Roman"/>
          <w:color w:val="auto"/>
          <w:sz w:val="24"/>
          <w:szCs w:val="24"/>
        </w:rPr>
      </w:pPr>
      <w:r w:rsidRPr="00402E9C">
        <w:rPr>
          <w:rFonts w:ascii="Times New Roman" w:eastAsia="Times New Roman" w:hAnsi="Times New Roman"/>
          <w:color w:val="auto"/>
          <w:sz w:val="24"/>
          <w:szCs w:val="24"/>
        </w:rPr>
        <w:t xml:space="preserve">Vertical: caracterizada pela união de empresas que atuam em uma mesma cadeia produtiva, podendo ser a montante (em direção aos fornecedores) ou a jusante (em direção aos distribuidores). Tem por objetivo gerar economias de escala e sinergias. Pode ser </w:t>
      </w:r>
      <w:r w:rsidRPr="00402E9C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progressiva, quando uma empresa adquire outra que compra seus produtos ou regressiva, quando a empresa adquirida é fornecedora da adquirente;</w:t>
      </w:r>
    </w:p>
    <w:p w14:paraId="0A29FECD" w14:textId="52E699F1" w:rsidR="006D0F30" w:rsidRPr="008C7CB9" w:rsidRDefault="006D0F30" w:rsidP="00696E74">
      <w:pPr>
        <w:pStyle w:val="PargrafodaLista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auto"/>
          <w:sz w:val="24"/>
          <w:szCs w:val="24"/>
        </w:rPr>
      </w:pPr>
      <w:r w:rsidRPr="00402E9C">
        <w:rPr>
          <w:rFonts w:ascii="Times New Roman" w:eastAsia="Times New Roman" w:hAnsi="Times New Roman"/>
          <w:color w:val="auto"/>
          <w:sz w:val="24"/>
          <w:szCs w:val="24"/>
        </w:rPr>
        <w:t>Conglomerado: caracterizada pela união de duas empresas de ramos de atividades distintos e não relacionados, resultando em uma diversificação de investimentos, que possibilita a redução de custos e a geração de novas oportunidades de investimentos. É complexa pois envolve a difícil missão de administrar negócios diversificados, subdivido em fusões concêntricas e conglomerados puros.</w:t>
      </w:r>
    </w:p>
    <w:p w14:paraId="7566049F" w14:textId="73AC9B99" w:rsidR="006D0F30" w:rsidRPr="00402E9C" w:rsidRDefault="006D0F30" w:rsidP="005F2C8D">
      <w:pPr>
        <w:tabs>
          <w:tab w:val="left" w:pos="426"/>
        </w:tabs>
        <w:ind w:firstLine="426"/>
        <w:jc w:val="both"/>
      </w:pPr>
      <w:r w:rsidRPr="00402E9C">
        <w:t>Salienta-se, ainda, que as transações de fusões e aquisições podem ser do tipo: (i). Doméstica (realizadas apenas entre empresas brasileiras) ou (</w:t>
      </w:r>
      <w:proofErr w:type="spellStart"/>
      <w:r w:rsidRPr="00402E9C">
        <w:t>ii</w:t>
      </w:r>
      <w:proofErr w:type="spellEnd"/>
      <w:r w:rsidRPr="00402E9C">
        <w:t xml:space="preserve">) </w:t>
      </w:r>
      <w:r w:rsidRPr="00402E9C">
        <w:rPr>
          <w:i/>
        </w:rPr>
        <w:t>Cross-</w:t>
      </w:r>
      <w:proofErr w:type="spellStart"/>
      <w:r w:rsidRPr="00402E9C">
        <w:rPr>
          <w:i/>
        </w:rPr>
        <w:t>border</w:t>
      </w:r>
      <w:proofErr w:type="spellEnd"/>
      <w:r w:rsidRPr="00402E9C">
        <w:t xml:space="preserve"> (realizadas entre uma empresa brasileira e uma estrangeira) (</w:t>
      </w:r>
      <w:proofErr w:type="spellStart"/>
      <w:r w:rsidRPr="00402E9C">
        <w:t>Bortoluzzo</w:t>
      </w:r>
      <w:proofErr w:type="spellEnd"/>
      <w:r w:rsidRPr="00402E9C">
        <w:t>, 2014).</w:t>
      </w:r>
    </w:p>
    <w:p w14:paraId="6A8B696C" w14:textId="3FDA2FBF" w:rsidR="006D0F30" w:rsidRPr="00402E9C" w:rsidRDefault="006D0F30" w:rsidP="008C7CB9">
      <w:pPr>
        <w:tabs>
          <w:tab w:val="left" w:pos="567"/>
        </w:tabs>
        <w:ind w:firstLine="567"/>
        <w:jc w:val="both"/>
      </w:pPr>
      <w:r w:rsidRPr="00402E9C">
        <w:t xml:space="preserve">De acordo com Wood, Vasconcelos e Caldas (2004), as fusões e aquisições no Brasil têm caráter estratégico, tendo em vista três objetivos principais: (i) defesa da concorrência pela obtenção de </w:t>
      </w:r>
      <w:r w:rsidRPr="00402E9C">
        <w:rPr>
          <w:i/>
        </w:rPr>
        <w:t>know-how</w:t>
      </w:r>
      <w:r w:rsidRPr="00402E9C">
        <w:t xml:space="preserve"> de tecnologia e a ampliação da participação de mercado; (</w:t>
      </w:r>
      <w:proofErr w:type="spellStart"/>
      <w:r w:rsidRPr="00402E9C">
        <w:t>ii</w:t>
      </w:r>
      <w:proofErr w:type="spellEnd"/>
      <w:r w:rsidRPr="00402E9C">
        <w:t>) preservação de lucros com ganhos de produtividade e operacionais, e (</w:t>
      </w:r>
      <w:proofErr w:type="spellStart"/>
      <w:r w:rsidRPr="00402E9C">
        <w:t>iii</w:t>
      </w:r>
      <w:proofErr w:type="spellEnd"/>
      <w:r w:rsidRPr="00402E9C">
        <w:t>) aumento do poder em relação ao mercado de atuação, ampliando as redes de distribuição e logística.</w:t>
      </w:r>
    </w:p>
    <w:p w14:paraId="62A66E99" w14:textId="5E34903F" w:rsidR="006D0F30" w:rsidRPr="00402E9C" w:rsidRDefault="006D0F30" w:rsidP="008C7CB9">
      <w:pPr>
        <w:tabs>
          <w:tab w:val="left" w:pos="567"/>
        </w:tabs>
        <w:ind w:firstLine="567"/>
        <w:jc w:val="both"/>
      </w:pPr>
      <w:r w:rsidRPr="00402E9C">
        <w:t>Para o Conselho Administrativo de Defesa Econômica (</w:t>
      </w:r>
      <w:proofErr w:type="spellStart"/>
      <w:r w:rsidR="000A54FE">
        <w:t>Cade</w:t>
      </w:r>
      <w:proofErr w:type="spellEnd"/>
      <w:r w:rsidR="000A54FE">
        <w:t xml:space="preserve">, </w:t>
      </w:r>
      <w:r w:rsidRPr="00402E9C">
        <w:t xml:space="preserve">2013), quando empresas concorrem entre si, objetivam ofertar bens e serviços de maior qualidade e a preços mais baixos. Competitividade estimula a inovação e o aumento de eficiência e produtividade, além de gerar oportunidade para empresas entrarem em um mercado, tendo em vista que o mercado, por si só, muitas vezes não consegue se manter equilibrado e acessível a todos os </w:t>
      </w:r>
      <w:proofErr w:type="spellStart"/>
      <w:r w:rsidRPr="00402E9C">
        <w:t>interesssados</w:t>
      </w:r>
      <w:proofErr w:type="spellEnd"/>
      <w:r w:rsidRPr="00402E9C">
        <w:t xml:space="preserve"> em ofertar produtos e serviço.</w:t>
      </w:r>
    </w:p>
    <w:p w14:paraId="31346D50" w14:textId="678EBBCA" w:rsidR="006D0F30" w:rsidRPr="00402E9C" w:rsidRDefault="00334B3E" w:rsidP="008C7CB9">
      <w:pPr>
        <w:tabs>
          <w:tab w:val="left" w:pos="567"/>
        </w:tabs>
        <w:ind w:firstLine="567"/>
        <w:jc w:val="both"/>
      </w:pPr>
      <w:r w:rsidRPr="00402E9C">
        <w:t>A</w:t>
      </w:r>
      <w:r w:rsidR="006D0F30" w:rsidRPr="00402E9C">
        <w:t xml:space="preserve"> </w:t>
      </w:r>
      <w:r w:rsidRPr="00402E9C">
        <w:t xml:space="preserve">aquisição e a fusão estão dispostas na </w:t>
      </w:r>
      <w:r w:rsidR="00833013" w:rsidRPr="00402E9C">
        <w:t xml:space="preserve">Lei </w:t>
      </w:r>
      <w:r w:rsidRPr="00402E9C">
        <w:t xml:space="preserve">das Sociedades Anônimas </w:t>
      </w:r>
      <w:r w:rsidR="00A52824" w:rsidRPr="00402E9C">
        <w:t>[</w:t>
      </w:r>
      <w:r w:rsidRPr="00402E9C">
        <w:t>LSA</w:t>
      </w:r>
      <w:r w:rsidR="00A52824" w:rsidRPr="00402E9C">
        <w:t>]</w:t>
      </w:r>
      <w:r w:rsidRPr="00402E9C">
        <w:t xml:space="preserve"> (</w:t>
      </w:r>
      <w:r w:rsidR="00833013" w:rsidRPr="00402E9C">
        <w:t>Lei nº</w:t>
      </w:r>
      <w:r w:rsidR="009E4FBD" w:rsidRPr="00402E9C">
        <w:t xml:space="preserve"> 6.404/76)</w:t>
      </w:r>
      <w:r w:rsidRPr="00402E9C">
        <w:t>.</w:t>
      </w:r>
      <w:r w:rsidR="008C7CB9">
        <w:t xml:space="preserve"> </w:t>
      </w:r>
      <w:r w:rsidRPr="00402E9C">
        <w:t>Segundo o art. 228 da LSA, as fu</w:t>
      </w:r>
      <w:r w:rsidR="00CC5071" w:rsidRPr="00402E9C">
        <w:t>sões podem ser definidas como “</w:t>
      </w:r>
      <w:r w:rsidRPr="00402E9C">
        <w:t>a operação pela qual se unem duas ou mais sociedades para formar uma sociedade nova, que a sucederá em todos os direitos e obrigações”</w:t>
      </w:r>
      <w:r w:rsidR="00972477" w:rsidRPr="00402E9C">
        <w:t xml:space="preserve"> </w:t>
      </w:r>
      <w:r w:rsidR="00A72961" w:rsidRPr="00402E9C">
        <w:t>(</w:t>
      </w:r>
      <w:r w:rsidR="00BE26E6" w:rsidRPr="00402E9C">
        <w:t>Brasil</w:t>
      </w:r>
      <w:r w:rsidR="00A72961" w:rsidRPr="00402E9C">
        <w:t>, 1976)</w:t>
      </w:r>
      <w:r w:rsidRPr="00402E9C">
        <w:t>. Na fusão ou consolidação, as empresas envolvidas na operação geralmente possuem porte e ramo de atividades semelhantes e combinam-se por meio de uma permuta de ações, dando origem a outra empresa (Ross et al., 2002).</w:t>
      </w:r>
    </w:p>
    <w:p w14:paraId="4D1A3CE6" w14:textId="69C734BC" w:rsidR="006D0F30" w:rsidRPr="00402E9C" w:rsidRDefault="00334B3E" w:rsidP="008C7CB9">
      <w:pPr>
        <w:tabs>
          <w:tab w:val="left" w:pos="567"/>
        </w:tabs>
        <w:ind w:firstLine="567"/>
        <w:jc w:val="both"/>
      </w:pPr>
      <w:r w:rsidRPr="00402E9C">
        <w:t>Já as aquisições são definidas no art. 227 da LSA como “operação pela qual uma ou mais sociedades são absorvidas por outra, que lhes sucede em todos os direitos e obrigações”. Ou seja, uma aquisição ocorre quando uma empresa compra, de forma total ou parcial, as ações circulantes ou os ativos de outra empresa (</w:t>
      </w:r>
      <w:proofErr w:type="spellStart"/>
      <w:r w:rsidRPr="00402E9C">
        <w:t>Dodd</w:t>
      </w:r>
      <w:proofErr w:type="spellEnd"/>
      <w:r w:rsidRPr="00402E9C">
        <w:t>, 1980). Salienta-se que as aquisições podem ser realizadas de forma amigável ou hostil, podendo des</w:t>
      </w:r>
      <w:r w:rsidR="00D10747" w:rsidRPr="00402E9C">
        <w:t>envolver-se de duas formas: (i) c</w:t>
      </w:r>
      <w:r w:rsidRPr="00402E9C">
        <w:t>omprando-se ativos líquidos da empresa-alvo, podendo selecionar os ativos desejáveis e excluir os passivo</w:t>
      </w:r>
      <w:r w:rsidR="00D10747" w:rsidRPr="00402E9C">
        <w:t>s de alto risco; (</w:t>
      </w:r>
      <w:proofErr w:type="spellStart"/>
      <w:r w:rsidR="00D10747" w:rsidRPr="00402E9C">
        <w:t>ii</w:t>
      </w:r>
      <w:proofErr w:type="spellEnd"/>
      <w:r w:rsidR="00D10747" w:rsidRPr="00402E9C">
        <w:t>)</w:t>
      </w:r>
      <w:r w:rsidRPr="00402E9C">
        <w:t xml:space="preserve"> </w:t>
      </w:r>
      <w:r w:rsidR="00D10747" w:rsidRPr="00402E9C">
        <w:t>a</w:t>
      </w:r>
      <w:r w:rsidRPr="00402E9C">
        <w:t>ssumindo-se o controle de todos os passivos pela compra da maioria das ações da empresa-alvo (</w:t>
      </w:r>
      <w:proofErr w:type="spellStart"/>
      <w:r w:rsidRPr="00402E9C">
        <w:t>Straub</w:t>
      </w:r>
      <w:proofErr w:type="spellEnd"/>
      <w:r w:rsidRPr="00402E9C">
        <w:t>, 2007).</w:t>
      </w:r>
    </w:p>
    <w:p w14:paraId="4A7DE324" w14:textId="7B86686D" w:rsidR="002D1118" w:rsidRPr="00402E9C" w:rsidRDefault="002D1118" w:rsidP="00402E9C">
      <w:pPr>
        <w:tabs>
          <w:tab w:val="left" w:pos="567"/>
        </w:tabs>
        <w:ind w:firstLine="567"/>
        <w:jc w:val="both"/>
      </w:pPr>
      <w:r w:rsidRPr="00402E9C">
        <w:t>O foco do trabalho recai especificamente sob</w:t>
      </w:r>
      <w:r w:rsidR="00E71B50" w:rsidRPr="00402E9C">
        <w:t xml:space="preserve">re </w:t>
      </w:r>
      <w:r w:rsidR="008C7CB9">
        <w:t>a</w:t>
      </w:r>
      <w:r w:rsidR="00E71B50" w:rsidRPr="00402E9C">
        <w:t xml:space="preserve"> realização de f</w:t>
      </w:r>
      <w:r w:rsidRPr="00402E9C">
        <w:t>usões</w:t>
      </w:r>
      <w:r w:rsidR="00E71B50" w:rsidRPr="00402E9C">
        <w:t xml:space="preserve"> e a</w:t>
      </w:r>
      <w:r w:rsidR="00F7538A" w:rsidRPr="00402E9C">
        <w:t>quisições, que podem criar vantagens c</w:t>
      </w:r>
      <w:r w:rsidRPr="00402E9C">
        <w:t>ompetitivas, porém, dependendo dos termos e do poder de mercado das empresas envolvidas, podem acabar sendo prejudiciais à concorrência. Daí a importâ</w:t>
      </w:r>
      <w:r w:rsidR="00F7538A" w:rsidRPr="00402E9C">
        <w:t xml:space="preserve">ncia da atividade de regulação </w:t>
      </w:r>
      <w:r w:rsidRPr="00402E9C">
        <w:t xml:space="preserve">(Considera </w:t>
      </w:r>
      <w:r w:rsidR="00CC5071" w:rsidRPr="00402E9C">
        <w:t>&amp;</w:t>
      </w:r>
      <w:r w:rsidRPr="00402E9C">
        <w:t xml:space="preserve"> Albuquerque, 2001).</w:t>
      </w:r>
    </w:p>
    <w:p w14:paraId="1A6932AD" w14:textId="05B0715F" w:rsidR="009720A2" w:rsidRPr="00402E9C" w:rsidRDefault="009720A2" w:rsidP="00402E9C">
      <w:pPr>
        <w:tabs>
          <w:tab w:val="left" w:pos="567"/>
        </w:tabs>
        <w:ind w:firstLine="567"/>
        <w:jc w:val="both"/>
      </w:pPr>
      <w:proofErr w:type="spellStart"/>
      <w:r w:rsidRPr="00402E9C">
        <w:t>Camargos</w:t>
      </w:r>
      <w:proofErr w:type="spellEnd"/>
      <w:r w:rsidRPr="00402E9C">
        <w:t xml:space="preserve"> e Barbosa (2013) avaliam que a prospecção de oportunidades de F&amp;A ocorre em épocas de baixa onde as empresas estão passando</w:t>
      </w:r>
      <w:r w:rsidR="00703320" w:rsidRPr="00402E9C">
        <w:t xml:space="preserve"> por dificuldades financeiras e</w:t>
      </w:r>
      <w:r w:rsidRPr="00402E9C">
        <w:t xml:space="preserve"> que se efetivam quando os mercados estão aquecidos (época de alta atividade econômica).</w:t>
      </w:r>
    </w:p>
    <w:p w14:paraId="1399F62E" w14:textId="77777777" w:rsidR="00B71DA4" w:rsidRPr="00402E9C" w:rsidRDefault="00B71DA4" w:rsidP="00B71DA4">
      <w:pPr>
        <w:pStyle w:val="Ttulo4"/>
        <w:spacing w:before="0" w:after="0" w:line="240" w:lineRule="auto"/>
        <w:rPr>
          <w:rStyle w:val="nfaseIntensa"/>
          <w:rFonts w:ascii="Times New Roman" w:hAnsi="Times New Roman"/>
          <w:i w:val="0"/>
        </w:rPr>
      </w:pPr>
      <w:bookmarkStart w:id="11" w:name="_Toc532850560"/>
    </w:p>
    <w:p w14:paraId="6467D4E7" w14:textId="5FCF645E" w:rsidR="000F4CB5" w:rsidRPr="00696E74" w:rsidRDefault="00774AD6" w:rsidP="00696E74">
      <w:pPr>
        <w:pStyle w:val="Ttulo4"/>
        <w:spacing w:before="0" w:after="0" w:line="240" w:lineRule="auto"/>
        <w:rPr>
          <w:b/>
          <w:i w:val="0"/>
        </w:rPr>
      </w:pPr>
      <w:r w:rsidRPr="008C7CB9">
        <w:rPr>
          <w:rStyle w:val="nfaseIntensa"/>
          <w:rFonts w:ascii="Times New Roman" w:hAnsi="Times New Roman"/>
          <w:i w:val="0"/>
          <w:sz w:val="24"/>
          <w:szCs w:val="24"/>
        </w:rPr>
        <w:t>2</w:t>
      </w:r>
      <w:r w:rsidR="00E71B50" w:rsidRPr="008C7CB9">
        <w:rPr>
          <w:rStyle w:val="nfaseIntensa"/>
          <w:rFonts w:ascii="Times New Roman" w:hAnsi="Times New Roman"/>
          <w:i w:val="0"/>
          <w:sz w:val="24"/>
          <w:szCs w:val="24"/>
        </w:rPr>
        <w:t>.</w:t>
      </w:r>
      <w:r w:rsidR="001A798F" w:rsidRPr="008C7CB9">
        <w:rPr>
          <w:rStyle w:val="nfaseIntensa"/>
          <w:rFonts w:ascii="Times New Roman" w:hAnsi="Times New Roman"/>
          <w:i w:val="0"/>
          <w:sz w:val="24"/>
          <w:szCs w:val="24"/>
        </w:rPr>
        <w:t>1</w:t>
      </w:r>
      <w:r w:rsidR="00D70087" w:rsidRPr="008C7CB9">
        <w:rPr>
          <w:rStyle w:val="nfaseIntensa"/>
          <w:rFonts w:ascii="Times New Roman" w:hAnsi="Times New Roman"/>
          <w:i w:val="0"/>
          <w:sz w:val="24"/>
          <w:szCs w:val="24"/>
        </w:rPr>
        <w:t>.1</w:t>
      </w:r>
      <w:r w:rsidR="00E71B50" w:rsidRPr="008C7CB9">
        <w:rPr>
          <w:rStyle w:val="nfaseIntensa"/>
          <w:rFonts w:ascii="Times New Roman" w:hAnsi="Times New Roman"/>
          <w:i w:val="0"/>
          <w:sz w:val="24"/>
          <w:szCs w:val="24"/>
        </w:rPr>
        <w:t xml:space="preserve"> Panorama atual de fusões e aquisições no Brasil</w:t>
      </w:r>
      <w:bookmarkEnd w:id="11"/>
    </w:p>
    <w:p w14:paraId="0646A88A" w14:textId="185945FF" w:rsidR="00E71B50" w:rsidRPr="00402E9C" w:rsidRDefault="00E71B50" w:rsidP="008C7CB9">
      <w:pPr>
        <w:ind w:firstLine="567"/>
        <w:jc w:val="both"/>
      </w:pPr>
      <w:r w:rsidRPr="00402E9C">
        <w:t>Até 2014</w:t>
      </w:r>
      <w:r w:rsidR="00B71DA4" w:rsidRPr="00402E9C">
        <w:t>,</w:t>
      </w:r>
      <w:r w:rsidRPr="00402E9C">
        <w:t xml:space="preserve"> o volume de transações demonstrou crescimento, fruto da visibilidade da economia brasileira no âmbito nacional e internacional. </w:t>
      </w:r>
      <w:r w:rsidR="00703320" w:rsidRPr="00402E9C">
        <w:t>Em</w:t>
      </w:r>
      <w:r w:rsidRPr="00402E9C">
        <w:t xml:space="preserve"> 2015</w:t>
      </w:r>
      <w:r w:rsidR="00703320" w:rsidRPr="00402E9C">
        <w:t xml:space="preserve"> e 2016</w:t>
      </w:r>
      <w:r w:rsidRPr="00402E9C">
        <w:t xml:space="preserve">, </w:t>
      </w:r>
      <w:r w:rsidR="00F102A4" w:rsidRPr="00402E9C">
        <w:t xml:space="preserve">a economia </w:t>
      </w:r>
      <w:r w:rsidRPr="00402E9C">
        <w:t>apresentou retração nas operações fruto da instabilidade econ</w:t>
      </w:r>
      <w:r w:rsidR="00255AC8" w:rsidRPr="00402E9C">
        <w:t>ô</w:t>
      </w:r>
      <w:r w:rsidRPr="00402E9C">
        <w:t xml:space="preserve">mica e política instalada no país, além </w:t>
      </w:r>
      <w:r w:rsidR="007140FE" w:rsidRPr="00402E9C">
        <w:t>de altos índi</w:t>
      </w:r>
      <w:r w:rsidR="00703320" w:rsidRPr="00402E9C">
        <w:t>ces de desemprego,</w:t>
      </w:r>
      <w:r w:rsidRPr="00402E9C">
        <w:t xml:space="preserve"> corrupção, barreiras legais e administrativas para os investidores. A volatilidade do mercado brasileiro, diante de instabilidade política, coloca </w:t>
      </w:r>
      <w:r w:rsidRPr="00402E9C">
        <w:lastRenderedPageBreak/>
        <w:t>muitas operações de fusões e aquisições em espera, resultando em retração do volume de operações.</w:t>
      </w:r>
    </w:p>
    <w:p w14:paraId="5804702C" w14:textId="2EA40CA3" w:rsidR="00E71B50" w:rsidRPr="00402E9C" w:rsidRDefault="00E71B50" w:rsidP="008C7CB9">
      <w:pPr>
        <w:ind w:firstLine="567"/>
        <w:jc w:val="both"/>
      </w:pPr>
      <w:r w:rsidRPr="00402E9C">
        <w:t xml:space="preserve">Para </w:t>
      </w:r>
      <w:proofErr w:type="spellStart"/>
      <w:r w:rsidRPr="00402E9C">
        <w:t>K</w:t>
      </w:r>
      <w:r w:rsidR="000A54FE">
        <w:t>pmg</w:t>
      </w:r>
      <w:proofErr w:type="spellEnd"/>
      <w:r w:rsidRPr="00402E9C">
        <w:t xml:space="preserve"> (2018)</w:t>
      </w:r>
      <w:r w:rsidR="0061388C" w:rsidRPr="00402E9C">
        <w:t xml:space="preserve">, </w:t>
      </w:r>
      <w:r w:rsidRPr="00402E9C">
        <w:t>o número de fusões e aquisições bate</w:t>
      </w:r>
      <w:r w:rsidR="00B71770" w:rsidRPr="00402E9C">
        <w:t>u</w:t>
      </w:r>
      <w:r w:rsidRPr="00402E9C">
        <w:t xml:space="preserve"> recorde em 2017</w:t>
      </w:r>
      <w:r w:rsidR="0061388C" w:rsidRPr="00402E9C">
        <w:t>,</w:t>
      </w:r>
      <w:r w:rsidRPr="00402E9C">
        <w:t xml:space="preserve"> número superior ao volume de transações realizadas em 2016</w:t>
      </w:r>
      <w:r w:rsidR="00255AC8" w:rsidRPr="00402E9C">
        <w:t>,</w:t>
      </w:r>
      <w:r w:rsidRPr="00402E9C">
        <w:t xml:space="preserve"> c</w:t>
      </w:r>
      <w:r w:rsidR="00703320" w:rsidRPr="00402E9C">
        <w:t>om 830 transações concretizadas</w:t>
      </w:r>
      <w:r w:rsidRPr="00402E9C">
        <w:t xml:space="preserve">. Tal número foi 12% maior se comparado ao ano anterior, quando foram realizadas 740 de acordo com </w:t>
      </w:r>
      <w:r w:rsidR="00255AC8" w:rsidRPr="00402E9C">
        <w:t>a Figura 2</w:t>
      </w:r>
      <w:r w:rsidRPr="00402E9C">
        <w:t>.</w:t>
      </w:r>
    </w:p>
    <w:p w14:paraId="3D50395A" w14:textId="1E02D363" w:rsidR="00E71B50" w:rsidRPr="00402E9C" w:rsidRDefault="00E71B50" w:rsidP="008C7CB9">
      <w:pPr>
        <w:ind w:firstLine="567"/>
        <w:jc w:val="both"/>
      </w:pPr>
      <w:r w:rsidRPr="00402E9C">
        <w:t>As transações domésticas, com 378 operações, tiveram historicamente seu terceiro melhor resultado, atrás apenas dos anos de 2011 (com 410) e 2008 (com 379). Este resultado pode representar o início de uma retomada de confiança do empresariado (</w:t>
      </w:r>
      <w:proofErr w:type="spellStart"/>
      <w:r w:rsidRPr="00402E9C">
        <w:t>K</w:t>
      </w:r>
      <w:r w:rsidR="000A54FE">
        <w:t>pmg</w:t>
      </w:r>
      <w:proofErr w:type="spellEnd"/>
      <w:r w:rsidRPr="00402E9C">
        <w:t>, 2017).</w:t>
      </w:r>
    </w:p>
    <w:p w14:paraId="49B504B7" w14:textId="6835BA86" w:rsidR="003F77DD" w:rsidRPr="00402E9C" w:rsidRDefault="00255AC8" w:rsidP="008C7CB9">
      <w:pPr>
        <w:ind w:firstLine="567"/>
        <w:jc w:val="both"/>
      </w:pPr>
      <w:r w:rsidRPr="00402E9C">
        <w:t xml:space="preserve">Na Figura </w:t>
      </w:r>
      <w:r w:rsidR="00696E74">
        <w:t>1</w:t>
      </w:r>
      <w:r w:rsidRPr="00402E9C">
        <w:t>,</w:t>
      </w:r>
      <w:r w:rsidR="00E71B50" w:rsidRPr="00402E9C">
        <w:t xml:space="preserve"> pode-se visualizar tendência ascendente no volume </w:t>
      </w:r>
      <w:r w:rsidR="00B71770" w:rsidRPr="00402E9C">
        <w:t>de</w:t>
      </w:r>
      <w:r w:rsidR="00E71B50" w:rsidRPr="00402E9C">
        <w:t xml:space="preserve"> operações de fusões e aquisições do tipo </w:t>
      </w:r>
      <w:proofErr w:type="spellStart"/>
      <w:r w:rsidR="00E71B50" w:rsidRPr="00402E9C">
        <w:rPr>
          <w:i/>
        </w:rPr>
        <w:t>cross</w:t>
      </w:r>
      <w:proofErr w:type="spellEnd"/>
      <w:r w:rsidR="00E71B50" w:rsidRPr="00402E9C">
        <w:rPr>
          <w:i/>
        </w:rPr>
        <w:t xml:space="preserve"> </w:t>
      </w:r>
      <w:proofErr w:type="spellStart"/>
      <w:r w:rsidR="00E71B50" w:rsidRPr="00402E9C">
        <w:rPr>
          <w:i/>
        </w:rPr>
        <w:t>border</w:t>
      </w:r>
      <w:proofErr w:type="spellEnd"/>
      <w:r w:rsidR="00E71B50" w:rsidRPr="00402E9C">
        <w:t xml:space="preserve"> e descendente para as op</w:t>
      </w:r>
      <w:r w:rsidR="00894B9F" w:rsidRPr="00402E9C">
        <w:t>erações domésticas para o perío</w:t>
      </w:r>
      <w:r w:rsidR="00E71B50" w:rsidRPr="00402E9C">
        <w:t xml:space="preserve">do estudado. Observa-se que, enquanto as transações </w:t>
      </w:r>
      <w:proofErr w:type="spellStart"/>
      <w:r w:rsidR="00E71B50" w:rsidRPr="00402E9C">
        <w:rPr>
          <w:i/>
        </w:rPr>
        <w:t>cross-border</w:t>
      </w:r>
      <w:proofErr w:type="spellEnd"/>
      <w:r w:rsidR="00E71B50" w:rsidRPr="00402E9C">
        <w:rPr>
          <w:i/>
        </w:rPr>
        <w:t xml:space="preserve">, </w:t>
      </w:r>
      <w:r w:rsidR="00E71B50" w:rsidRPr="00402E9C">
        <w:t>que</w:t>
      </w:r>
      <w:r w:rsidR="00E71B50" w:rsidRPr="00402E9C">
        <w:rPr>
          <w:i/>
        </w:rPr>
        <w:t xml:space="preserve"> </w:t>
      </w:r>
      <w:r w:rsidR="00E71B50" w:rsidRPr="00402E9C">
        <w:t xml:space="preserve">envolvem uma empresa brasileira e uma estrangeira, </w:t>
      </w:r>
      <w:r w:rsidR="00B71770" w:rsidRPr="00402E9C">
        <w:t>cresceu</w:t>
      </w:r>
      <w:r w:rsidR="00E71B50" w:rsidRPr="00402E9C">
        <w:t xml:space="preserve"> 11% no período, as operações domésticas que envolvem apenas empresas brasileiras, decresceram 10%, podendo demonstrar o esforço do governo brasileiro em atrair investidores externos, ou um movimento de mercado.</w:t>
      </w:r>
    </w:p>
    <w:p w14:paraId="670C0C2B" w14:textId="21B77D42" w:rsidR="006D0F30" w:rsidRPr="000F4CB5" w:rsidRDefault="00BE1375" w:rsidP="008C7CB9">
      <w:pPr>
        <w:rPr>
          <w:b/>
          <w:iCs/>
          <w:color w:val="404040"/>
          <w:sz w:val="20"/>
          <w:szCs w:val="20"/>
        </w:rPr>
      </w:pPr>
      <w:r w:rsidRPr="008C7CB9">
        <w:rPr>
          <w:b/>
          <w:iCs/>
          <w:noProof/>
          <w:color w:val="404040"/>
          <w:sz w:val="20"/>
          <w:szCs w:val="20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95B01E2" wp14:editId="23640C40">
            <wp:simplePos x="0" y="0"/>
            <wp:positionH relativeFrom="column">
              <wp:posOffset>13716</wp:posOffset>
            </wp:positionH>
            <wp:positionV relativeFrom="paragraph">
              <wp:posOffset>20066</wp:posOffset>
            </wp:positionV>
            <wp:extent cx="5769102" cy="3848862"/>
            <wp:effectExtent l="6096" t="6096" r="3937" b="3937"/>
            <wp:wrapThrough wrapText="bothSides">
              <wp:wrapPolygon edited="0">
                <wp:start x="-36" y="0"/>
                <wp:lineTo x="-36" y="21547"/>
                <wp:lineTo x="21600" y="21547"/>
                <wp:lineTo x="21600" y="0"/>
                <wp:lineTo x="-36" y="0"/>
              </wp:wrapPolygon>
            </wp:wrapThrough>
            <wp:docPr id="10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bookmarkStart w:id="12" w:name="_Toc532849503"/>
      <w:r w:rsidR="00255AC8" w:rsidRPr="008C7CB9">
        <w:rPr>
          <w:rStyle w:val="nfaseSutil"/>
          <w:sz w:val="20"/>
          <w:szCs w:val="20"/>
        </w:rPr>
        <w:t xml:space="preserve">Figura </w:t>
      </w:r>
      <w:r w:rsidR="00696E74">
        <w:rPr>
          <w:rStyle w:val="nfaseSutil"/>
          <w:sz w:val="20"/>
          <w:szCs w:val="20"/>
        </w:rPr>
        <w:t>1</w:t>
      </w:r>
      <w:r w:rsidR="003F77DD" w:rsidRPr="008C7CB9">
        <w:rPr>
          <w:rStyle w:val="nfaseSutil"/>
          <w:sz w:val="20"/>
          <w:szCs w:val="20"/>
        </w:rPr>
        <w:t xml:space="preserve">: Evolução anual de fusões e Aquisições </w:t>
      </w:r>
      <w:proofErr w:type="spellStart"/>
      <w:r w:rsidR="003F77DD" w:rsidRPr="008C7CB9">
        <w:rPr>
          <w:rStyle w:val="nfaseSutil"/>
          <w:sz w:val="20"/>
          <w:szCs w:val="20"/>
        </w:rPr>
        <w:t>cross</w:t>
      </w:r>
      <w:proofErr w:type="spellEnd"/>
      <w:r w:rsidR="003F77DD" w:rsidRPr="008C7CB9">
        <w:rPr>
          <w:rStyle w:val="nfaseSutil"/>
          <w:sz w:val="20"/>
          <w:szCs w:val="20"/>
        </w:rPr>
        <w:t xml:space="preserve"> </w:t>
      </w:r>
      <w:proofErr w:type="spellStart"/>
      <w:r w:rsidR="003F77DD" w:rsidRPr="008C7CB9">
        <w:rPr>
          <w:rStyle w:val="nfaseSutil"/>
          <w:sz w:val="20"/>
          <w:szCs w:val="20"/>
        </w:rPr>
        <w:t>border</w:t>
      </w:r>
      <w:proofErr w:type="spellEnd"/>
      <w:r w:rsidR="003F77DD" w:rsidRPr="008C7CB9">
        <w:rPr>
          <w:rStyle w:val="nfaseSutil"/>
          <w:sz w:val="20"/>
          <w:szCs w:val="20"/>
        </w:rPr>
        <w:t xml:space="preserve"> e doméstica realizadas no Brasil entre 2010 e</w:t>
      </w:r>
      <w:r w:rsidR="005F2C8D">
        <w:rPr>
          <w:rStyle w:val="nfaseSutil"/>
          <w:sz w:val="20"/>
          <w:szCs w:val="20"/>
        </w:rPr>
        <w:t xml:space="preserve"> </w:t>
      </w:r>
      <w:r w:rsidR="003F77DD" w:rsidRPr="008C7CB9">
        <w:rPr>
          <w:rStyle w:val="nfaseSutil"/>
          <w:sz w:val="20"/>
          <w:szCs w:val="20"/>
        </w:rPr>
        <w:t>2017</w:t>
      </w:r>
      <w:bookmarkEnd w:id="12"/>
      <w:r w:rsidR="000F4CB5">
        <w:rPr>
          <w:rStyle w:val="nfaseSutil"/>
          <w:sz w:val="20"/>
          <w:szCs w:val="20"/>
        </w:rPr>
        <w:t xml:space="preserve">. </w:t>
      </w:r>
      <w:r w:rsidR="003F77DD" w:rsidRPr="008C7CB9">
        <w:rPr>
          <w:rStyle w:val="nfase"/>
        </w:rPr>
        <w:t>Fonte: Adaptado pelo</w:t>
      </w:r>
      <w:r w:rsidR="00255AC8" w:rsidRPr="008C7CB9">
        <w:rPr>
          <w:rStyle w:val="nfase"/>
        </w:rPr>
        <w:t>s</w:t>
      </w:r>
      <w:r w:rsidR="003F77DD" w:rsidRPr="008C7CB9">
        <w:rPr>
          <w:rStyle w:val="nfase"/>
        </w:rPr>
        <w:t xml:space="preserve"> autor</w:t>
      </w:r>
      <w:r w:rsidR="00255AC8" w:rsidRPr="008C7CB9">
        <w:rPr>
          <w:rStyle w:val="nfase"/>
        </w:rPr>
        <w:t>es</w:t>
      </w:r>
      <w:r w:rsidR="003F77DD" w:rsidRPr="008C7CB9">
        <w:rPr>
          <w:rStyle w:val="nfase"/>
        </w:rPr>
        <w:t xml:space="preserve"> (2018)</w:t>
      </w:r>
      <w:r w:rsidR="00255AC8" w:rsidRPr="008C7CB9">
        <w:rPr>
          <w:rStyle w:val="nfase"/>
        </w:rPr>
        <w:t>,</w:t>
      </w:r>
      <w:r w:rsidR="003F77DD" w:rsidRPr="008C7CB9">
        <w:rPr>
          <w:rStyle w:val="nfase"/>
        </w:rPr>
        <w:t xml:space="preserve"> a partir de </w:t>
      </w:r>
      <w:proofErr w:type="spellStart"/>
      <w:r w:rsidR="003F77DD" w:rsidRPr="008C7CB9">
        <w:rPr>
          <w:rStyle w:val="nfase"/>
        </w:rPr>
        <w:t>K</w:t>
      </w:r>
      <w:r w:rsidR="000A54FE">
        <w:rPr>
          <w:rStyle w:val="nfase"/>
        </w:rPr>
        <w:t>pmg</w:t>
      </w:r>
      <w:proofErr w:type="spellEnd"/>
      <w:r w:rsidR="003F77DD" w:rsidRPr="008C7CB9">
        <w:rPr>
          <w:rStyle w:val="nfase"/>
        </w:rPr>
        <w:t xml:space="preserve"> (2018).</w:t>
      </w:r>
    </w:p>
    <w:p w14:paraId="0FEA67AA" w14:textId="4B4B406E" w:rsidR="006D0F30" w:rsidRPr="00402E9C" w:rsidRDefault="00E71B50" w:rsidP="008C7CB9">
      <w:pPr>
        <w:jc w:val="both"/>
      </w:pPr>
      <w:r w:rsidRPr="00402E9C">
        <w:t xml:space="preserve">Por meio da análise dos dados </w:t>
      </w:r>
      <w:r w:rsidR="003B0758" w:rsidRPr="00402E9C">
        <w:t xml:space="preserve">do </w:t>
      </w:r>
      <w:r w:rsidR="00255AC8" w:rsidRPr="00402E9C">
        <w:t>Figura 3</w:t>
      </w:r>
      <w:r w:rsidRPr="00402E9C">
        <w:t xml:space="preserve">, percebe-se retração nas F&amp;A domésticas e </w:t>
      </w:r>
      <w:proofErr w:type="spellStart"/>
      <w:r w:rsidRPr="00402E9C">
        <w:t>e</w:t>
      </w:r>
      <w:proofErr w:type="spellEnd"/>
      <w:r w:rsidRPr="00402E9C">
        <w:t xml:space="preserve"> aumento das transações </w:t>
      </w:r>
      <w:proofErr w:type="spellStart"/>
      <w:r w:rsidRPr="00402E9C">
        <w:rPr>
          <w:i/>
        </w:rPr>
        <w:t>cross</w:t>
      </w:r>
      <w:proofErr w:type="spellEnd"/>
      <w:r w:rsidRPr="00402E9C">
        <w:rPr>
          <w:i/>
        </w:rPr>
        <w:t xml:space="preserve"> </w:t>
      </w:r>
      <w:proofErr w:type="spellStart"/>
      <w:r w:rsidRPr="00402E9C">
        <w:rPr>
          <w:i/>
        </w:rPr>
        <w:t>border</w:t>
      </w:r>
      <w:proofErr w:type="spellEnd"/>
      <w:r w:rsidRPr="00402E9C">
        <w:t xml:space="preserve"> no período de 2014 a 2016, queda vertiginosa das negociações domésticas que correspondiam a 50% no início do período (</w:t>
      </w:r>
      <w:r w:rsidR="00964AAC" w:rsidRPr="00402E9C">
        <w:t xml:space="preserve">2011) e passaram a apenas 40%. </w:t>
      </w:r>
      <w:r w:rsidRPr="00402E9C">
        <w:t xml:space="preserve">Esse movimento foi reflexo do momento vivido pela economia brasileira, com incertezas políticas e a forte depreciação da moeda </w:t>
      </w:r>
      <w:proofErr w:type="spellStart"/>
      <w:r w:rsidRPr="00402E9C">
        <w:t>brasielra</w:t>
      </w:r>
      <w:proofErr w:type="spellEnd"/>
      <w:r w:rsidRPr="00402E9C">
        <w:t>, tornando as empresas brasileiras mais atraentes para o mercado estrangeiro (</w:t>
      </w:r>
      <w:proofErr w:type="spellStart"/>
      <w:r w:rsidRPr="00402E9C">
        <w:t>P</w:t>
      </w:r>
      <w:r w:rsidR="000A54FE">
        <w:t>wc</w:t>
      </w:r>
      <w:proofErr w:type="spellEnd"/>
      <w:r w:rsidRPr="00402E9C">
        <w:t>, 2015).</w:t>
      </w:r>
      <w:bookmarkStart w:id="13" w:name="_Toc532850561"/>
    </w:p>
    <w:p w14:paraId="595CD8F6" w14:textId="77777777" w:rsidR="008C7CB9" w:rsidRDefault="008C7CB9" w:rsidP="008C7CB9">
      <w:pPr>
        <w:pStyle w:val="Ttulo1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34E985F" w14:textId="174D1609" w:rsidR="000F4CB5" w:rsidRPr="00696E74" w:rsidRDefault="00EF0828" w:rsidP="00696E74">
      <w:pPr>
        <w:pStyle w:val="Ttulo1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02E9C">
        <w:rPr>
          <w:rFonts w:ascii="Times New Roman" w:hAnsi="Times New Roman"/>
          <w:sz w:val="24"/>
          <w:szCs w:val="24"/>
        </w:rPr>
        <w:t>2.2</w:t>
      </w:r>
      <w:r w:rsidR="00C26B8B" w:rsidRPr="00402E9C">
        <w:rPr>
          <w:rFonts w:ascii="Times New Roman" w:hAnsi="Times New Roman"/>
          <w:sz w:val="24"/>
          <w:szCs w:val="24"/>
        </w:rPr>
        <w:t xml:space="preserve"> CENÁRIOS PROSPECTIVOS</w:t>
      </w:r>
      <w:bookmarkEnd w:id="13"/>
    </w:p>
    <w:p w14:paraId="7237564B" w14:textId="53E90C07" w:rsidR="00334B3E" w:rsidRPr="00402E9C" w:rsidRDefault="00334B3E" w:rsidP="008C7CB9">
      <w:pPr>
        <w:ind w:firstLine="567"/>
        <w:jc w:val="both"/>
      </w:pPr>
      <w:r w:rsidRPr="00402E9C">
        <w:t xml:space="preserve">A análise tradicional baseada na observância do passado para prever ou projetar o futuro não satisfaz mais as necessidades atuais das empresas. Qualquer desvio significativo em relação </w:t>
      </w:r>
      <w:r w:rsidRPr="00402E9C">
        <w:lastRenderedPageBreak/>
        <w:t>às tendências históricas enfraquece a previsão de forma relevante, sendo que tais desvios estão ocorren</w:t>
      </w:r>
      <w:r w:rsidR="00BE4062" w:rsidRPr="00402E9C">
        <w:t>do com maior frequência (Wright</w:t>
      </w:r>
      <w:r w:rsidR="00255AC8" w:rsidRPr="00402E9C">
        <w:t xml:space="preserve">, </w:t>
      </w:r>
      <w:proofErr w:type="spellStart"/>
      <w:r w:rsidR="00255AC8" w:rsidRPr="00402E9C">
        <w:t>Kroll</w:t>
      </w:r>
      <w:proofErr w:type="spellEnd"/>
      <w:r w:rsidR="00255AC8" w:rsidRPr="00402E9C">
        <w:t xml:space="preserve">, &amp; </w:t>
      </w:r>
      <w:proofErr w:type="spellStart"/>
      <w:r w:rsidR="00255AC8" w:rsidRPr="00402E9C">
        <w:t>Parnell</w:t>
      </w:r>
      <w:proofErr w:type="spellEnd"/>
      <w:r w:rsidR="00255AC8" w:rsidRPr="00402E9C">
        <w:t xml:space="preserve">, </w:t>
      </w:r>
      <w:r w:rsidRPr="00402E9C">
        <w:t>2000).</w:t>
      </w:r>
    </w:p>
    <w:p w14:paraId="4FF67454" w14:textId="4C5BACD8" w:rsidR="00334B3E" w:rsidRPr="00402E9C" w:rsidRDefault="00121D79" w:rsidP="008C7CB9">
      <w:pPr>
        <w:ind w:firstLine="567"/>
        <w:jc w:val="both"/>
      </w:pPr>
      <w:r>
        <w:t>O</w:t>
      </w:r>
      <w:r w:rsidR="00334B3E" w:rsidRPr="00402E9C">
        <w:t xml:space="preserve">s estudos de </w:t>
      </w:r>
      <w:r w:rsidR="003A4706" w:rsidRPr="00402E9C">
        <w:t>cenários p</w:t>
      </w:r>
      <w:r w:rsidR="00334B3E" w:rsidRPr="00402E9C">
        <w:t>rospectivos ganham notoriedade, uma vez que identificam possíveis tendências do ambiente organizacional em um determinado período de tempo, possibilitando a elaboração de estratégias eficazes para se resguardar dos riscos decorrentes de cenários desfavoráveis (pessimistas) (Silva, 2010).</w:t>
      </w:r>
    </w:p>
    <w:p w14:paraId="3CD9A8BC" w14:textId="1EAED73D" w:rsidR="00334B3E" w:rsidRPr="00402E9C" w:rsidRDefault="002D3E76" w:rsidP="00121D79">
      <w:pPr>
        <w:ind w:firstLine="567"/>
        <w:jc w:val="both"/>
      </w:pPr>
      <w:r w:rsidRPr="00402E9C">
        <w:t xml:space="preserve">Para </w:t>
      </w:r>
      <w:proofErr w:type="spellStart"/>
      <w:r w:rsidRPr="00402E9C">
        <w:t>Godet</w:t>
      </w:r>
      <w:proofErr w:type="spellEnd"/>
      <w:r w:rsidRPr="00402E9C">
        <w:t xml:space="preserve"> e </w:t>
      </w:r>
      <w:proofErr w:type="spellStart"/>
      <w:r w:rsidRPr="00402E9C">
        <w:t>Durance</w:t>
      </w:r>
      <w:proofErr w:type="spellEnd"/>
      <w:r w:rsidRPr="00402E9C">
        <w:t xml:space="preserve"> (2011, p. 28)</w:t>
      </w:r>
      <w:r w:rsidR="002667F5" w:rsidRPr="00402E9C">
        <w:t>,</w:t>
      </w:r>
      <w:r w:rsidRPr="00402E9C">
        <w:t xml:space="preserve"> um </w:t>
      </w:r>
      <w:proofErr w:type="spellStart"/>
      <w:r w:rsidRPr="00402E9C">
        <w:t>cenário</w:t>
      </w:r>
      <w:proofErr w:type="spellEnd"/>
      <w:r w:rsidRPr="00402E9C">
        <w:t xml:space="preserve"> é “um conjunto formado pela </w:t>
      </w:r>
      <w:proofErr w:type="spellStart"/>
      <w:r w:rsidRPr="00402E9C">
        <w:t>descrição</w:t>
      </w:r>
      <w:proofErr w:type="spellEnd"/>
      <w:r w:rsidRPr="00402E9C">
        <w:t xml:space="preserve"> de uma </w:t>
      </w:r>
      <w:proofErr w:type="spellStart"/>
      <w:r w:rsidRPr="00402E9C">
        <w:t>situação</w:t>
      </w:r>
      <w:proofErr w:type="spellEnd"/>
      <w:r w:rsidRPr="00402E9C">
        <w:t xml:space="preserve"> futura e pela cadeia de acontecimentos que permitem passar da </w:t>
      </w:r>
      <w:proofErr w:type="spellStart"/>
      <w:r w:rsidRPr="00402E9C">
        <w:t>situação</w:t>
      </w:r>
      <w:proofErr w:type="spellEnd"/>
      <w:r w:rsidRPr="00402E9C">
        <w:t xml:space="preserve"> de origem à </w:t>
      </w:r>
      <w:proofErr w:type="spellStart"/>
      <w:r w:rsidRPr="00402E9C">
        <w:t>situação</w:t>
      </w:r>
      <w:proofErr w:type="spellEnd"/>
      <w:r w:rsidRPr="00402E9C">
        <w:t xml:space="preserve"> futura”, </w:t>
      </w:r>
      <w:proofErr w:type="spellStart"/>
      <w:r w:rsidRPr="00402E9C">
        <w:t>não</w:t>
      </w:r>
      <w:proofErr w:type="spellEnd"/>
      <w:r w:rsidRPr="00402E9C">
        <w:t xml:space="preserve"> se devendo confundir </w:t>
      </w:r>
      <w:proofErr w:type="spellStart"/>
      <w:r w:rsidRPr="00402E9C">
        <w:t>elaboração</w:t>
      </w:r>
      <w:proofErr w:type="spellEnd"/>
      <w:r w:rsidRPr="00402E9C">
        <w:t xml:space="preserve"> de </w:t>
      </w:r>
      <w:proofErr w:type="spellStart"/>
      <w:r w:rsidRPr="00402E9C">
        <w:t>cenários</w:t>
      </w:r>
      <w:proofErr w:type="spellEnd"/>
      <w:r w:rsidRPr="00402E9C">
        <w:t xml:space="preserve"> como um jogo de </w:t>
      </w:r>
      <w:proofErr w:type="spellStart"/>
      <w:r w:rsidRPr="00402E9C">
        <w:t>hipóteses</w:t>
      </w:r>
      <w:proofErr w:type="spellEnd"/>
      <w:r w:rsidRPr="00402E9C">
        <w:t xml:space="preserve">, posto que é </w:t>
      </w:r>
      <w:proofErr w:type="spellStart"/>
      <w:r w:rsidRPr="00402E9C">
        <w:t>necessário</w:t>
      </w:r>
      <w:proofErr w:type="spellEnd"/>
      <w:r w:rsidRPr="00402E9C">
        <w:t xml:space="preserve"> haver </w:t>
      </w:r>
      <w:proofErr w:type="spellStart"/>
      <w:r w:rsidRPr="00402E9C">
        <w:t>condições</w:t>
      </w:r>
      <w:proofErr w:type="spellEnd"/>
      <w:r w:rsidRPr="00402E9C">
        <w:t xml:space="preserve"> </w:t>
      </w:r>
      <w:proofErr w:type="spellStart"/>
      <w:r w:rsidRPr="00402E9C">
        <w:t>simultâneas</w:t>
      </w:r>
      <w:proofErr w:type="spellEnd"/>
      <w:r w:rsidRPr="00402E9C">
        <w:t xml:space="preserve"> como: a </w:t>
      </w:r>
      <w:proofErr w:type="spellStart"/>
      <w:r w:rsidRPr="00402E9C">
        <w:t>pertinência</w:t>
      </w:r>
      <w:proofErr w:type="spellEnd"/>
      <w:r w:rsidRPr="00402E9C">
        <w:t xml:space="preserve">, a </w:t>
      </w:r>
      <w:proofErr w:type="spellStart"/>
      <w:r w:rsidRPr="00402E9C">
        <w:t>coerência</w:t>
      </w:r>
      <w:proofErr w:type="spellEnd"/>
      <w:r w:rsidRPr="00402E9C">
        <w:t xml:space="preserve">, a </w:t>
      </w:r>
      <w:proofErr w:type="spellStart"/>
      <w:r w:rsidRPr="00402E9C">
        <w:t>verossimilhança</w:t>
      </w:r>
      <w:proofErr w:type="spellEnd"/>
      <w:r w:rsidRPr="00402E9C">
        <w:t xml:space="preserve">, a </w:t>
      </w:r>
      <w:proofErr w:type="spellStart"/>
      <w:r w:rsidRPr="00402E9C">
        <w:t>importância</w:t>
      </w:r>
      <w:proofErr w:type="spellEnd"/>
      <w:r w:rsidRPr="00402E9C">
        <w:t xml:space="preserve"> e a </w:t>
      </w:r>
      <w:proofErr w:type="spellStart"/>
      <w:r w:rsidRPr="00402E9C">
        <w:t>transparência</w:t>
      </w:r>
      <w:proofErr w:type="spellEnd"/>
      <w:r w:rsidRPr="00402E9C">
        <w:t>.</w:t>
      </w:r>
      <w:r w:rsidR="00121D79">
        <w:t xml:space="preserve">  </w:t>
      </w:r>
      <w:r w:rsidR="00334B3E" w:rsidRPr="00402E9C">
        <w:t>Segundo Schwartz (2006)</w:t>
      </w:r>
      <w:r w:rsidR="00EA3C84" w:rsidRPr="00402E9C">
        <w:t>,</w:t>
      </w:r>
      <w:r w:rsidR="00334B3E" w:rsidRPr="00402E9C">
        <w:t xml:space="preserve"> cenários são uma ferramenta importante para auxiliar na adoção de visão de longo prazo em um mundo de grande incerteza e complexidade, ou seja, os cenários são </w:t>
      </w:r>
      <w:proofErr w:type="gramStart"/>
      <w:r w:rsidR="00334B3E" w:rsidRPr="00402E9C">
        <w:t>narrativas</w:t>
      </w:r>
      <w:proofErr w:type="gramEnd"/>
      <w:r w:rsidR="00334B3E" w:rsidRPr="00402E9C">
        <w:t xml:space="preserve"> baseadas em estudos prospectivos sobre o futuro, consistentes e cuidadosamente estruturados. </w:t>
      </w:r>
    </w:p>
    <w:p w14:paraId="57740B58" w14:textId="1A16E932" w:rsidR="007B5918" w:rsidRPr="00402E9C" w:rsidRDefault="007B5918" w:rsidP="008C7CB9">
      <w:pPr>
        <w:ind w:firstLine="567"/>
        <w:jc w:val="both"/>
      </w:pPr>
      <w:r w:rsidRPr="00402E9C">
        <w:t>O cenário estratégico, chamado de planejamento ou pensamento, é uma metodologia que as organizações utilizam para desenvolver planos estratégicos (Roney &amp; Curtis, 2013).</w:t>
      </w:r>
    </w:p>
    <w:p w14:paraId="60E6B995" w14:textId="59FC3174" w:rsidR="000F06E4" w:rsidRPr="00402E9C" w:rsidRDefault="009C633E" w:rsidP="008C7CB9">
      <w:pPr>
        <w:ind w:firstLine="567"/>
        <w:jc w:val="both"/>
      </w:pPr>
      <w:r w:rsidRPr="00402E9C">
        <w:t>E</w:t>
      </w:r>
      <w:r w:rsidR="000F06E4" w:rsidRPr="00402E9C">
        <w:t>laborar cenários não é um exercício de predição, mas sim um esforço de fazer descrições plausíveis e consistentes de situações futuras possíveis, apresentando condicionantes do caminho entre a situação atual e cada cenário futuro e destacando os fatores relevantes às decisões que precisam ser tomadas (</w:t>
      </w:r>
      <w:r w:rsidR="006D0F30" w:rsidRPr="00402E9C">
        <w:t xml:space="preserve">Wright, Silva, &amp; </w:t>
      </w:r>
      <w:proofErr w:type="spellStart"/>
      <w:r w:rsidR="006D0F30" w:rsidRPr="00402E9C">
        <w:t>Spers</w:t>
      </w:r>
      <w:proofErr w:type="spellEnd"/>
      <w:r w:rsidR="006D0F30" w:rsidRPr="00402E9C">
        <w:t xml:space="preserve">, </w:t>
      </w:r>
      <w:r w:rsidR="000F06E4" w:rsidRPr="00402E9C">
        <w:t>2010).</w:t>
      </w:r>
    </w:p>
    <w:p w14:paraId="0E6A7089" w14:textId="6B793686" w:rsidR="00334B3E" w:rsidRPr="00402E9C" w:rsidRDefault="00334B3E" w:rsidP="008C7CB9">
      <w:pPr>
        <w:ind w:firstLine="567"/>
        <w:jc w:val="both"/>
      </w:pPr>
      <w:r w:rsidRPr="00402E9C">
        <w:t>Dentre as vantagens no uso de cenários destacam-se o aumento da velocidade, flexibilidade em responder às mudanças e o estímulo ao pensamento conjunto e sistemático dos gestores. Já as principais barreiras</w:t>
      </w:r>
      <w:r w:rsidR="00BF21E1" w:rsidRPr="00402E9C">
        <w:t>,</w:t>
      </w:r>
      <w:r w:rsidRPr="00402E9C">
        <w:t xml:space="preserve"> segundo </w:t>
      </w:r>
      <w:proofErr w:type="spellStart"/>
      <w:r w:rsidRPr="00402E9C">
        <w:t>Schoemaker</w:t>
      </w:r>
      <w:proofErr w:type="spellEnd"/>
      <w:r w:rsidRPr="00402E9C">
        <w:t xml:space="preserve"> (199</w:t>
      </w:r>
      <w:r w:rsidR="00A57C9D" w:rsidRPr="00402E9C">
        <w:t>5</w:t>
      </w:r>
      <w:r w:rsidRPr="00402E9C">
        <w:t>)</w:t>
      </w:r>
      <w:r w:rsidR="00EA3C84" w:rsidRPr="00402E9C">
        <w:t>,</w:t>
      </w:r>
      <w:r w:rsidR="009A4E35" w:rsidRPr="00402E9C">
        <w:t xml:space="preserve"> referem-se à</w:t>
      </w:r>
      <w:r w:rsidRPr="00402E9C">
        <w:t xml:space="preserve"> dificuldade de fazer com que as pessoas abandonem a descrença em alternativa de futuro, </w:t>
      </w:r>
      <w:r w:rsidR="009A4E35" w:rsidRPr="00402E9C">
        <w:t>a</w:t>
      </w:r>
      <w:r w:rsidRPr="00402E9C">
        <w:t>os custos de</w:t>
      </w:r>
      <w:r w:rsidR="00EA3C84" w:rsidRPr="00402E9C">
        <w:t xml:space="preserve"> </w:t>
      </w:r>
      <w:r w:rsidRPr="00402E9C">
        <w:t>tempo,</w:t>
      </w:r>
      <w:r w:rsidR="00C16DDE" w:rsidRPr="00402E9C">
        <w:t xml:space="preserve"> recursos humanos e materiais, à</w:t>
      </w:r>
      <w:r w:rsidRPr="00402E9C">
        <w:t xml:space="preserve"> falta de </w:t>
      </w:r>
      <w:r w:rsidR="00C16DDE" w:rsidRPr="00402E9C">
        <w:t>comprometimento da liderança e à</w:t>
      </w:r>
      <w:r w:rsidRPr="00402E9C">
        <w:t>s falhas de comunicação entre os desenvolvedores de cenários e os gestores.</w:t>
      </w:r>
    </w:p>
    <w:p w14:paraId="14F3F88D" w14:textId="6A67EC3D" w:rsidR="00032E7B" w:rsidRPr="00402E9C" w:rsidRDefault="00032E7B" w:rsidP="008C7CB9">
      <w:pPr>
        <w:ind w:firstLine="567"/>
        <w:jc w:val="both"/>
      </w:pPr>
      <w:r w:rsidRPr="00402E9C">
        <w:t xml:space="preserve">Para elaboração de cenários é preciso considerar as </w:t>
      </w:r>
      <w:proofErr w:type="spellStart"/>
      <w:r w:rsidRPr="00402E9C">
        <w:t>forças</w:t>
      </w:r>
      <w:proofErr w:type="spellEnd"/>
      <w:r w:rsidRPr="00402E9C">
        <w:t xml:space="preserve"> que atuantes sobre o objeto de estudo, compreendendo </w:t>
      </w:r>
      <w:proofErr w:type="spellStart"/>
      <w:r w:rsidRPr="00402E9C">
        <w:t>forças</w:t>
      </w:r>
      <w:proofErr w:type="spellEnd"/>
      <w:r w:rsidRPr="00402E9C">
        <w:t xml:space="preserve"> restritivas e propulsoras sobre as </w:t>
      </w:r>
      <w:proofErr w:type="spellStart"/>
      <w:r w:rsidRPr="00402E9C">
        <w:t>variáveis</w:t>
      </w:r>
      <w:proofErr w:type="spellEnd"/>
      <w:r w:rsidRPr="00402E9C">
        <w:t xml:space="preserve"> identificadas, e considerar os limites naturais e sociais envolventes no horizonte de tempo em </w:t>
      </w:r>
      <w:proofErr w:type="spellStart"/>
      <w:r w:rsidRPr="00402E9C">
        <w:t>análise</w:t>
      </w:r>
      <w:proofErr w:type="spellEnd"/>
      <w:r w:rsidRPr="00402E9C">
        <w:t xml:space="preserve"> (Wright</w:t>
      </w:r>
      <w:r w:rsidR="006D0F30" w:rsidRPr="00402E9C">
        <w:t xml:space="preserve"> et al., </w:t>
      </w:r>
      <w:r w:rsidRPr="00402E9C">
        <w:t>2010).</w:t>
      </w:r>
    </w:p>
    <w:p w14:paraId="42EF9F25" w14:textId="3B64B4A4" w:rsidR="00E559D5" w:rsidRPr="00402E9C" w:rsidRDefault="00E559D5" w:rsidP="008C7CB9">
      <w:pPr>
        <w:ind w:firstLine="567"/>
        <w:jc w:val="both"/>
      </w:pPr>
      <w:r w:rsidRPr="00402E9C">
        <w:t xml:space="preserve">Para </w:t>
      </w:r>
      <w:proofErr w:type="spellStart"/>
      <w:r w:rsidRPr="00402E9C">
        <w:t>Godet</w:t>
      </w:r>
      <w:proofErr w:type="spellEnd"/>
      <w:r w:rsidRPr="00402E9C">
        <w:t xml:space="preserve"> (2010)</w:t>
      </w:r>
      <w:r w:rsidR="00BF21E1" w:rsidRPr="00402E9C">
        <w:t>,</w:t>
      </w:r>
      <w:r w:rsidRPr="00402E9C">
        <w:t xml:space="preserve"> apesar da extensa variedade de métodos existentes, em geral todos possuem etapas, análise de variáveis, seleção de atores e elaboração de cenários múltiplos.</w:t>
      </w:r>
    </w:p>
    <w:p w14:paraId="7DB928F4" w14:textId="77777777" w:rsidR="008B4165" w:rsidRPr="00402E9C" w:rsidRDefault="008B4165" w:rsidP="008C7CB9">
      <w:pPr>
        <w:ind w:firstLine="567"/>
        <w:jc w:val="both"/>
      </w:pPr>
      <w:r w:rsidRPr="00402E9C">
        <w:t>A escolha da metodologia utilizada não é apenas para subordinar a natureza do problema identificado, mas é também, limitada pelo tempo e meios atribuídos para o estudo, pois o método fornece uma maneira de estruturar o processo para os melhores resu</w:t>
      </w:r>
      <w:r w:rsidR="00E05D2D" w:rsidRPr="00402E9C">
        <w:t>ltados possíveis (Coates, 2010)</w:t>
      </w:r>
      <w:r w:rsidR="00BE4062" w:rsidRPr="00402E9C">
        <w:t>.</w:t>
      </w:r>
    </w:p>
    <w:p w14:paraId="109F1806" w14:textId="73DDABDB" w:rsidR="0034017B" w:rsidRPr="00402E9C" w:rsidRDefault="008B4165" w:rsidP="00E308A9">
      <w:pPr>
        <w:ind w:firstLine="567"/>
        <w:jc w:val="both"/>
      </w:pPr>
      <w:r w:rsidRPr="00402E9C">
        <w:t>A construção de cenários requer o uso de ferramentas simples, de forma a facilitar o entendimento (</w:t>
      </w:r>
      <w:r w:rsidR="00E05D2D" w:rsidRPr="00402E9C">
        <w:t>Oliveira &amp; Forte</w:t>
      </w:r>
      <w:r w:rsidR="00C16DDE" w:rsidRPr="00402E9C">
        <w:t>, 2009</w:t>
      </w:r>
      <w:r w:rsidR="00E308A9">
        <w:t xml:space="preserve"> e e</w:t>
      </w:r>
      <w:r w:rsidR="00DF0237" w:rsidRPr="00402E9C">
        <w:t>xistem vários métodos para a construção de cenários</w:t>
      </w:r>
      <w:r w:rsidR="00032E7B" w:rsidRPr="00402E9C">
        <w:t xml:space="preserve"> </w:t>
      </w:r>
      <w:r w:rsidR="002D3E76" w:rsidRPr="00402E9C">
        <w:t xml:space="preserve">(Lira, </w:t>
      </w:r>
      <w:proofErr w:type="spellStart"/>
      <w:r w:rsidR="002D3E76" w:rsidRPr="00402E9C">
        <w:t>Araújo</w:t>
      </w:r>
      <w:proofErr w:type="spellEnd"/>
      <w:r w:rsidR="002D3E76" w:rsidRPr="00402E9C">
        <w:t>, &amp; Duarte</w:t>
      </w:r>
      <w:r w:rsidR="006D0F30" w:rsidRPr="00402E9C">
        <w:t xml:space="preserve">, </w:t>
      </w:r>
      <w:r w:rsidR="002D3E76" w:rsidRPr="00402E9C">
        <w:t xml:space="preserve">2017), como o modelo de cinco </w:t>
      </w:r>
      <w:proofErr w:type="spellStart"/>
      <w:r w:rsidR="002D3E76" w:rsidRPr="00402E9C">
        <w:t>forças</w:t>
      </w:r>
      <w:proofErr w:type="spellEnd"/>
      <w:r w:rsidR="002D3E76" w:rsidRPr="00402E9C">
        <w:t xml:space="preserve"> de Porter, </w:t>
      </w:r>
      <w:proofErr w:type="spellStart"/>
      <w:r w:rsidR="002D3E76" w:rsidRPr="00402E9C">
        <w:t>método</w:t>
      </w:r>
      <w:proofErr w:type="spellEnd"/>
      <w:r w:rsidR="002D3E76" w:rsidRPr="00402E9C">
        <w:t xml:space="preserve"> </w:t>
      </w:r>
      <w:r w:rsidR="002667F5" w:rsidRPr="00402E9C">
        <w:t>D</w:t>
      </w:r>
      <w:r w:rsidR="002D3E76" w:rsidRPr="00402E9C">
        <w:t xml:space="preserve">elphi, prospectiva de </w:t>
      </w:r>
      <w:proofErr w:type="spellStart"/>
      <w:r w:rsidR="002D3E76" w:rsidRPr="00402E9C">
        <w:t>Godet</w:t>
      </w:r>
      <w:proofErr w:type="spellEnd"/>
      <w:r w:rsidR="002D3E76" w:rsidRPr="00402E9C">
        <w:t xml:space="preserve"> </w:t>
      </w:r>
      <w:r w:rsidR="00032E7B" w:rsidRPr="00402E9C">
        <w:t>como Matriz de Impactos Cruzados (Gordon, 1999)</w:t>
      </w:r>
      <w:r w:rsidR="00DF0237" w:rsidRPr="00402E9C">
        <w:t xml:space="preserve">. No entanto, buscou-se </w:t>
      </w:r>
      <w:r w:rsidR="00032E7B" w:rsidRPr="00402E9C">
        <w:t xml:space="preserve">utilizar </w:t>
      </w:r>
      <w:r w:rsidR="0043395C" w:rsidRPr="00402E9C">
        <w:t>o método</w:t>
      </w:r>
      <w:r w:rsidR="00DF0237" w:rsidRPr="00402E9C">
        <w:t xml:space="preserve"> de </w:t>
      </w:r>
      <w:proofErr w:type="spellStart"/>
      <w:r w:rsidR="00DF0237" w:rsidRPr="00402E9C">
        <w:t>Blanning</w:t>
      </w:r>
      <w:proofErr w:type="spellEnd"/>
      <w:r w:rsidR="00DF0237" w:rsidRPr="00402E9C">
        <w:t xml:space="preserve"> e </w:t>
      </w:r>
      <w:proofErr w:type="spellStart"/>
      <w:r w:rsidR="00DF0237" w:rsidRPr="00402E9C">
        <w:t>Reinig</w:t>
      </w:r>
      <w:proofErr w:type="spellEnd"/>
      <w:r w:rsidR="00DF0237" w:rsidRPr="00402E9C">
        <w:t xml:space="preserve"> (1998</w:t>
      </w:r>
      <w:r w:rsidR="006D0F30" w:rsidRPr="00402E9C">
        <w:t>)</w:t>
      </w:r>
      <w:r w:rsidR="002667F5" w:rsidRPr="00402E9C">
        <w:t>,</w:t>
      </w:r>
      <w:r w:rsidR="00032E7B" w:rsidRPr="00402E9C">
        <w:t xml:space="preserve"> em função de sua praticidade no processo de coleta e análise.</w:t>
      </w:r>
      <w:r w:rsidR="006D0F30" w:rsidRPr="00402E9C">
        <w:t xml:space="preserve"> </w:t>
      </w:r>
      <w:r w:rsidR="0034017B" w:rsidRPr="00402E9C">
        <w:t>Esta metodologia já tem pesquisadores ad</w:t>
      </w:r>
      <w:r w:rsidR="00FF3084" w:rsidRPr="00402E9C">
        <w:t>eptos</w:t>
      </w:r>
      <w:r w:rsidR="0034017B" w:rsidRPr="00402E9C">
        <w:t xml:space="preserve"> </w:t>
      </w:r>
      <w:r w:rsidR="00A7647E" w:rsidRPr="00402E9C">
        <w:t xml:space="preserve">no Brasil </w:t>
      </w:r>
      <w:r w:rsidR="0034017B" w:rsidRPr="00402E9C">
        <w:t xml:space="preserve">em suas pesquisas como </w:t>
      </w:r>
      <w:r w:rsidR="00A7647E" w:rsidRPr="00402E9C">
        <w:t xml:space="preserve">Branquinho e Machado Neto (2017) no setor turístico de Franca (SP), </w:t>
      </w:r>
      <w:r w:rsidR="00FF3084" w:rsidRPr="00402E9C">
        <w:t>Ribeiro</w:t>
      </w:r>
      <w:r w:rsidR="0034017B" w:rsidRPr="00402E9C">
        <w:t xml:space="preserve"> e Forte (2020)</w:t>
      </w:r>
      <w:r w:rsidR="002667F5" w:rsidRPr="00402E9C">
        <w:t xml:space="preserve"> em estudos de programas de pós-graduação no Brasil, </w:t>
      </w:r>
      <w:proofErr w:type="spellStart"/>
      <w:r w:rsidR="002667F5" w:rsidRPr="00402E9C">
        <w:t>Spada</w:t>
      </w:r>
      <w:proofErr w:type="spellEnd"/>
      <w:r w:rsidR="002667F5" w:rsidRPr="00402E9C">
        <w:t xml:space="preserve"> e Forte (2018) em Universidades </w:t>
      </w:r>
      <w:proofErr w:type="spellStart"/>
      <w:r w:rsidR="002667F5" w:rsidRPr="00402E9C">
        <w:t>Corpporativas</w:t>
      </w:r>
      <w:proofErr w:type="spellEnd"/>
      <w:r w:rsidR="002667F5" w:rsidRPr="00402E9C">
        <w:t xml:space="preserve"> no Brasil</w:t>
      </w:r>
      <w:r w:rsidR="00FF3084" w:rsidRPr="00402E9C">
        <w:t xml:space="preserve">, </w:t>
      </w:r>
      <w:r w:rsidR="0034017B" w:rsidRPr="00402E9C">
        <w:t xml:space="preserve"> </w:t>
      </w:r>
      <w:r w:rsidR="00A7647E" w:rsidRPr="00402E9C">
        <w:t>Silva, Machado Neto, &amp; Guerra (2020) em Instituições de Ensino Superior.</w:t>
      </w:r>
    </w:p>
    <w:p w14:paraId="15240E80" w14:textId="3E64C420" w:rsidR="008B4165" w:rsidRPr="00402E9C" w:rsidRDefault="008B4165" w:rsidP="00CB000E">
      <w:pPr>
        <w:jc w:val="both"/>
      </w:pPr>
    </w:p>
    <w:p w14:paraId="234CF6B4" w14:textId="476D5D12" w:rsidR="00334B3E" w:rsidRDefault="008C7CB9" w:rsidP="00CB000E">
      <w:pPr>
        <w:jc w:val="both"/>
        <w:rPr>
          <w:b/>
          <w:bCs/>
        </w:rPr>
      </w:pPr>
      <w:bookmarkStart w:id="14" w:name="_Toc532850562"/>
      <w:r w:rsidRPr="008C7CB9">
        <w:rPr>
          <w:b/>
          <w:bCs/>
        </w:rPr>
        <w:t>3 METODOLOGIA DE PESQUISA</w:t>
      </w:r>
      <w:bookmarkEnd w:id="14"/>
    </w:p>
    <w:p w14:paraId="028A4A44" w14:textId="03530E92" w:rsidR="000F4CB5" w:rsidRPr="00696E74" w:rsidRDefault="00E559D5" w:rsidP="00696E74">
      <w:pPr>
        <w:pStyle w:val="Ttulo1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15" w:name="_Toc532850563"/>
      <w:r w:rsidRPr="00402E9C">
        <w:rPr>
          <w:rFonts w:ascii="Times New Roman" w:hAnsi="Times New Roman"/>
          <w:sz w:val="24"/>
          <w:szCs w:val="24"/>
        </w:rPr>
        <w:t xml:space="preserve">3.1 TIPOLOGIA </w:t>
      </w:r>
      <w:bookmarkEnd w:id="15"/>
      <w:r w:rsidRPr="00402E9C">
        <w:rPr>
          <w:rFonts w:ascii="Times New Roman" w:hAnsi="Times New Roman"/>
          <w:sz w:val="24"/>
          <w:szCs w:val="24"/>
        </w:rPr>
        <w:t>DA PESQUISA</w:t>
      </w:r>
    </w:p>
    <w:p w14:paraId="65820A99" w14:textId="5D3351E8" w:rsidR="00334B3E" w:rsidRPr="00402E9C" w:rsidRDefault="00334B3E" w:rsidP="008C7CB9">
      <w:pPr>
        <w:ind w:firstLine="567"/>
        <w:jc w:val="both"/>
      </w:pPr>
      <w:r w:rsidRPr="00402E9C">
        <w:lastRenderedPageBreak/>
        <w:t xml:space="preserve">Adotou-se para essa investigação </w:t>
      </w:r>
      <w:r w:rsidR="00BF21E1" w:rsidRPr="00402E9C">
        <w:t>a epistemologia positivista</w:t>
      </w:r>
      <w:r w:rsidR="00696E74">
        <w:t xml:space="preserve"> </w:t>
      </w:r>
      <w:r w:rsidR="00696E74" w:rsidRPr="00402E9C">
        <w:t xml:space="preserve">(Thomas, Nelson, &amp; </w:t>
      </w:r>
      <w:proofErr w:type="spellStart"/>
      <w:r w:rsidR="00696E74" w:rsidRPr="00402E9C">
        <w:t>Silverman</w:t>
      </w:r>
      <w:proofErr w:type="spellEnd"/>
      <w:r w:rsidR="00696E74" w:rsidRPr="00402E9C">
        <w:t>, 2007</w:t>
      </w:r>
      <w:proofErr w:type="gramStart"/>
      <w:r w:rsidR="00696E74" w:rsidRPr="00402E9C">
        <w:t>)</w:t>
      </w:r>
      <w:r w:rsidR="00E308A9">
        <w:t>,</w:t>
      </w:r>
      <w:r w:rsidR="00696E74" w:rsidRPr="00402E9C">
        <w:t xml:space="preserve"> </w:t>
      </w:r>
      <w:r w:rsidR="00BF21E1" w:rsidRPr="00402E9C">
        <w:t xml:space="preserve"> por</w:t>
      </w:r>
      <w:proofErr w:type="gramEnd"/>
      <w:r w:rsidR="00BF21E1" w:rsidRPr="00402E9C">
        <w:t xml:space="preserve"> meio de um estudo </w:t>
      </w:r>
      <w:r w:rsidR="007734A7" w:rsidRPr="00402E9C">
        <w:t>teórico-empírico</w:t>
      </w:r>
      <w:r w:rsidR="00BF21E1" w:rsidRPr="00402E9C">
        <w:t xml:space="preserve">, com uso de técnicas </w:t>
      </w:r>
      <w:r w:rsidRPr="00402E9C">
        <w:t>descritiva</w:t>
      </w:r>
      <w:r w:rsidR="00BF21E1" w:rsidRPr="00402E9C">
        <w:t>s</w:t>
      </w:r>
      <w:r w:rsidR="00696E74">
        <w:t xml:space="preserve"> </w:t>
      </w:r>
      <w:r w:rsidR="00696E74" w:rsidRPr="00402E9C">
        <w:t>(</w:t>
      </w:r>
      <w:proofErr w:type="spellStart"/>
      <w:r w:rsidR="00696E74" w:rsidRPr="00402E9C">
        <w:t>Malhotra</w:t>
      </w:r>
      <w:proofErr w:type="spellEnd"/>
      <w:r w:rsidR="00696E74" w:rsidRPr="00402E9C">
        <w:t>, 2005)</w:t>
      </w:r>
      <w:r w:rsidR="00E308A9">
        <w:t>.</w:t>
      </w:r>
    </w:p>
    <w:p w14:paraId="02EEAD6F" w14:textId="4FF15689" w:rsidR="008C7CB9" w:rsidRPr="00402E9C" w:rsidRDefault="00E308A9" w:rsidP="00696E74">
      <w:pPr>
        <w:ind w:firstLine="567"/>
        <w:jc w:val="both"/>
      </w:pPr>
      <w:proofErr w:type="spellStart"/>
      <w:r>
        <w:t>E</w:t>
      </w:r>
      <w:r w:rsidR="00334B3E" w:rsidRPr="00402E9C">
        <w:t xml:space="preserve">sta </w:t>
      </w:r>
      <w:proofErr w:type="spellEnd"/>
      <w:r w:rsidR="00334B3E" w:rsidRPr="00402E9C">
        <w:t xml:space="preserve">pesquisa explorou a opinião de executivos, mestres, doutores e especialistas, a fim de identificar sua percepção do futuro para as transações de F&amp;A. O trabalho foi efetuado com a utilização da metodologia sugerida por </w:t>
      </w:r>
      <w:proofErr w:type="spellStart"/>
      <w:r w:rsidR="00334B3E" w:rsidRPr="00402E9C">
        <w:t>Blanning</w:t>
      </w:r>
      <w:proofErr w:type="spellEnd"/>
      <w:r w:rsidR="00334B3E" w:rsidRPr="00402E9C">
        <w:t xml:space="preserve"> e </w:t>
      </w:r>
      <w:proofErr w:type="spellStart"/>
      <w:r w:rsidR="00334B3E" w:rsidRPr="00402E9C">
        <w:t>Reinig</w:t>
      </w:r>
      <w:proofErr w:type="spellEnd"/>
      <w:r w:rsidR="00334B3E" w:rsidRPr="00402E9C">
        <w:t xml:space="preserve"> (1998), apoiada pelos Métodos </w:t>
      </w:r>
      <w:r w:rsidR="00FF1C7E" w:rsidRPr="00402E9C">
        <w:t xml:space="preserve">de </w:t>
      </w:r>
      <w:proofErr w:type="spellStart"/>
      <w:r w:rsidR="00334B3E" w:rsidRPr="00402E9C">
        <w:t>Godet</w:t>
      </w:r>
      <w:proofErr w:type="spellEnd"/>
      <w:r w:rsidR="00334B3E" w:rsidRPr="00402E9C">
        <w:t xml:space="preserve"> </w:t>
      </w:r>
      <w:r w:rsidR="00FF1C7E" w:rsidRPr="00402E9C">
        <w:t>(</w:t>
      </w:r>
      <w:r w:rsidR="00334B3E" w:rsidRPr="00402E9C">
        <w:t>2000</w:t>
      </w:r>
      <w:r w:rsidR="00FF1C7E" w:rsidRPr="00402E9C">
        <w:t>)</w:t>
      </w:r>
      <w:r w:rsidR="00334B3E" w:rsidRPr="00402E9C">
        <w:t xml:space="preserve"> e Marcial </w:t>
      </w:r>
      <w:r w:rsidR="00CC5071" w:rsidRPr="00402E9C">
        <w:t>e</w:t>
      </w:r>
      <w:r w:rsidR="00334B3E" w:rsidRPr="00402E9C">
        <w:t xml:space="preserve"> </w:t>
      </w:r>
      <w:proofErr w:type="spellStart"/>
      <w:r w:rsidR="00334B3E" w:rsidRPr="00402E9C">
        <w:t>Grumbach</w:t>
      </w:r>
      <w:proofErr w:type="spellEnd"/>
      <w:r w:rsidR="00334B3E" w:rsidRPr="00402E9C">
        <w:t xml:space="preserve"> </w:t>
      </w:r>
      <w:r w:rsidR="00FF1C7E" w:rsidRPr="00402E9C">
        <w:t>(</w:t>
      </w:r>
      <w:r w:rsidR="00334B3E" w:rsidRPr="00402E9C">
        <w:t>2002</w:t>
      </w:r>
      <w:r w:rsidR="00FF1C7E" w:rsidRPr="00402E9C">
        <w:t>)</w:t>
      </w:r>
      <w:r w:rsidR="00334B3E" w:rsidRPr="00402E9C">
        <w:t xml:space="preserve">, </w:t>
      </w:r>
      <w:r w:rsidR="00166F15" w:rsidRPr="00402E9C">
        <w:t>estando dividido em cinco fases</w:t>
      </w:r>
      <w:r w:rsidR="008C7CB9">
        <w:t>.</w:t>
      </w:r>
    </w:p>
    <w:p w14:paraId="635F4FAC" w14:textId="787F1843" w:rsidR="000F4CB5" w:rsidRPr="00696E74" w:rsidRDefault="00081393" w:rsidP="00696E74">
      <w:pPr>
        <w:pStyle w:val="Ttulo1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16" w:name="_Toc532850564"/>
      <w:r w:rsidRPr="00402E9C">
        <w:rPr>
          <w:rFonts w:ascii="Times New Roman" w:hAnsi="Times New Roman"/>
          <w:sz w:val="24"/>
          <w:szCs w:val="24"/>
        </w:rPr>
        <w:t>3.2 PROCESSO DE APLICAÇÃO DA METODOLOGIA</w:t>
      </w:r>
      <w:bookmarkEnd w:id="16"/>
    </w:p>
    <w:p w14:paraId="0E087F6D" w14:textId="77777777" w:rsidR="00DE37FC" w:rsidRPr="00402E9C" w:rsidRDefault="00DE37FC" w:rsidP="008C7CB9">
      <w:pPr>
        <w:ind w:firstLine="567"/>
        <w:jc w:val="both"/>
        <w:rPr>
          <w:u w:color="000000"/>
          <w:bdr w:val="nil"/>
        </w:rPr>
      </w:pPr>
      <w:r w:rsidRPr="00402E9C">
        <w:rPr>
          <w:u w:color="000000"/>
          <w:bdr w:val="nil"/>
        </w:rPr>
        <w:t xml:space="preserve">As variáveis podem originar-se do ambiente interno e externo composto pelas dimensões política, econômica, social e tecnológica (Martins, 2009). A identificação das variáveis depende dos atores, decisões, políticas, práticas ou objetivos da organização. Os atores podem ser indivíduos e grupos, </w:t>
      </w:r>
      <w:proofErr w:type="spellStart"/>
      <w:r w:rsidRPr="00402E9C">
        <w:rPr>
          <w:u w:color="000000"/>
          <w:bdr w:val="nil"/>
        </w:rPr>
        <w:t>decisores</w:t>
      </w:r>
      <w:proofErr w:type="spellEnd"/>
      <w:r w:rsidRPr="00402E9C">
        <w:rPr>
          <w:u w:color="000000"/>
          <w:bdr w:val="nil"/>
        </w:rPr>
        <w:t xml:space="preserve">, organizações ou associações de classes que influenciam ou recebem influência significativa do sistema (Marcial &amp; </w:t>
      </w:r>
      <w:proofErr w:type="spellStart"/>
      <w:r w:rsidRPr="00402E9C">
        <w:rPr>
          <w:u w:color="000000"/>
          <w:bdr w:val="nil"/>
        </w:rPr>
        <w:t>Grumbach</w:t>
      </w:r>
      <w:proofErr w:type="spellEnd"/>
      <w:r w:rsidRPr="00402E9C">
        <w:rPr>
          <w:u w:color="000000"/>
          <w:bdr w:val="nil"/>
        </w:rPr>
        <w:t>, 2002) e os eventos são situações que podem ocorrer.</w:t>
      </w:r>
    </w:p>
    <w:p w14:paraId="770D3D74" w14:textId="713678AF" w:rsidR="00D617D6" w:rsidRPr="00402E9C" w:rsidRDefault="00526B35" w:rsidP="008C7CB9">
      <w:pPr>
        <w:ind w:firstLine="567"/>
        <w:jc w:val="both"/>
      </w:pPr>
      <w:r w:rsidRPr="00402E9C">
        <w:t xml:space="preserve">A </w:t>
      </w:r>
      <w:r w:rsidR="00DE37FC" w:rsidRPr="00402E9C">
        <w:t>f</w:t>
      </w:r>
      <w:r w:rsidRPr="00402E9C">
        <w:t xml:space="preserve">ase 1 iniciou-se com o </w:t>
      </w:r>
      <w:r w:rsidR="008A0D5A" w:rsidRPr="00402E9C">
        <w:t>levantamento do referencial teórico</w:t>
      </w:r>
      <w:r w:rsidRPr="00402E9C">
        <w:t>. Nesta fase</w:t>
      </w:r>
      <w:r w:rsidR="008A0D5A" w:rsidRPr="00402E9C">
        <w:t xml:space="preserve"> as variáveis foram transformadas em eventos e por meio de entrevista com três professores doutores em administração</w:t>
      </w:r>
      <w:r w:rsidR="00F42B25" w:rsidRPr="00402E9C">
        <w:t xml:space="preserve"> elas foram adaptadas</w:t>
      </w:r>
      <w:r w:rsidR="008A0D5A" w:rsidRPr="00402E9C">
        <w:t xml:space="preserve"> definitivamente em eventos. De um total de 40 variáveis, 25 eventos foram elencados, </w:t>
      </w:r>
      <w:r w:rsidR="00860264" w:rsidRPr="00402E9C">
        <w:t>filtrados</w:t>
      </w:r>
      <w:r w:rsidR="008A0D5A" w:rsidRPr="00402E9C">
        <w:t xml:space="preserve"> por mei</w:t>
      </w:r>
      <w:r w:rsidR="002C24C5" w:rsidRPr="00402E9C">
        <w:t>o de análise de conteúdo (</w:t>
      </w:r>
      <w:proofErr w:type="spellStart"/>
      <w:r w:rsidR="002C24C5" w:rsidRPr="00402E9C">
        <w:t>Bardin</w:t>
      </w:r>
      <w:proofErr w:type="spellEnd"/>
      <w:r w:rsidR="008A0D5A" w:rsidRPr="00402E9C">
        <w:t xml:space="preserve">, </w:t>
      </w:r>
      <w:r w:rsidR="00BF21E1" w:rsidRPr="00402E9C">
        <w:t>2016</w:t>
      </w:r>
      <w:r w:rsidR="008A0D5A" w:rsidRPr="00402E9C">
        <w:t>), excluindo similaridades e inclusões</w:t>
      </w:r>
      <w:r w:rsidR="006A381F" w:rsidRPr="00402E9C">
        <w:t xml:space="preserve"> de uma em outra</w:t>
      </w:r>
      <w:r w:rsidR="008A0D5A" w:rsidRPr="00402E9C">
        <w:t>.</w:t>
      </w:r>
      <w:r w:rsidR="00E038CB" w:rsidRPr="00402E9C">
        <w:t xml:space="preserve"> </w:t>
      </w:r>
    </w:p>
    <w:p w14:paraId="39B32594" w14:textId="35504DE6" w:rsidR="00E56C6F" w:rsidRPr="00402E9C" w:rsidRDefault="00E56C6F" w:rsidP="008C7CB9">
      <w:pPr>
        <w:ind w:firstLine="567"/>
        <w:jc w:val="both"/>
        <w:rPr>
          <w:color w:val="FF0000"/>
          <w:u w:color="000000"/>
          <w:bdr w:val="nil"/>
        </w:rPr>
      </w:pPr>
      <w:r w:rsidRPr="00402E9C">
        <w:rPr>
          <w:u w:color="000000"/>
          <w:bdr w:val="nil"/>
        </w:rPr>
        <w:t xml:space="preserve">A Figura </w:t>
      </w:r>
      <w:r w:rsidR="00696E74">
        <w:rPr>
          <w:u w:color="000000"/>
          <w:bdr w:val="nil"/>
        </w:rPr>
        <w:t>2</w:t>
      </w:r>
      <w:r w:rsidRPr="00402E9C">
        <w:rPr>
          <w:u w:color="000000"/>
          <w:bdr w:val="nil"/>
        </w:rPr>
        <w:t xml:space="preserve"> apresenta eventos</w:t>
      </w:r>
      <w:r w:rsidR="00BF21E1" w:rsidRPr="00402E9C">
        <w:rPr>
          <w:u w:color="000000"/>
          <w:bdr w:val="nil"/>
        </w:rPr>
        <w:t xml:space="preserve"> </w:t>
      </w:r>
      <w:r w:rsidRPr="00402E9C">
        <w:rPr>
          <w:u w:color="000000"/>
          <w:bdr w:val="nil"/>
        </w:rPr>
        <w:t>que foram considerados importantes e foram agrupados conforme mencionadas na literatura pelos autores.</w:t>
      </w:r>
    </w:p>
    <w:tbl>
      <w:tblPr>
        <w:tblW w:w="9164" w:type="dxa"/>
        <w:jc w:val="center"/>
        <w:tblBorders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2"/>
        <w:gridCol w:w="2942"/>
      </w:tblGrid>
      <w:tr w:rsidR="00E56C6F" w:rsidRPr="00402E9C" w14:paraId="2C1AF94C" w14:textId="77777777" w:rsidTr="00751057">
        <w:trPr>
          <w:trHeight w:val="21"/>
          <w:tblHeader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8B55EC2" w14:textId="77777777" w:rsidR="00E56C6F" w:rsidRPr="00402E9C" w:rsidRDefault="00E56C6F" w:rsidP="00F16EBD">
            <w:pPr>
              <w:jc w:val="center"/>
              <w:rPr>
                <w:rStyle w:val="Forte"/>
                <w:b/>
              </w:rPr>
            </w:pPr>
            <w:r w:rsidRPr="00402E9C">
              <w:rPr>
                <w:rStyle w:val="Forte"/>
                <w:b/>
              </w:rPr>
              <w:t>Eventos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00F099" w14:textId="77777777" w:rsidR="00E56C6F" w:rsidRPr="00402E9C" w:rsidRDefault="00E56C6F" w:rsidP="00F16EBD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  <w:b/>
              </w:rPr>
              <w:t>Base teórica</w:t>
            </w:r>
          </w:p>
        </w:tc>
      </w:tr>
      <w:tr w:rsidR="00E56C6F" w:rsidRPr="007452E7" w14:paraId="039FB5A8" w14:textId="77777777" w:rsidTr="00751057">
        <w:trPr>
          <w:trHeight w:val="21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hideMark/>
          </w:tcPr>
          <w:p w14:paraId="21DA98AD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Maximização de ativos ou evitar sua perda</w:t>
            </w:r>
          </w:p>
          <w:p w14:paraId="5A1FE3F0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Aumento da produtividade</w:t>
            </w:r>
          </w:p>
          <w:p w14:paraId="147845C8" w14:textId="7FCD5060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</w:t>
            </w:r>
            <w:r w:rsidR="00751057" w:rsidRPr="00402E9C">
              <w:rPr>
                <w:rStyle w:val="Forte"/>
              </w:rPr>
              <w:t xml:space="preserve"> </w:t>
            </w:r>
            <w:r w:rsidRPr="00402E9C">
              <w:rPr>
                <w:rStyle w:val="Forte"/>
              </w:rPr>
              <w:t>Maior diversificação de produtos</w:t>
            </w:r>
          </w:p>
        </w:tc>
        <w:tc>
          <w:tcPr>
            <w:tcW w:w="29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19CA18" w14:textId="0E1566C2" w:rsidR="00E56C6F" w:rsidRPr="00402E9C" w:rsidRDefault="00E56C6F" w:rsidP="00F16EBD">
            <w:pPr>
              <w:rPr>
                <w:rStyle w:val="Forte"/>
                <w:lang w:val="en-US"/>
              </w:rPr>
            </w:pPr>
            <w:r w:rsidRPr="00402E9C">
              <w:rPr>
                <w:rStyle w:val="Forte"/>
                <w:lang w:val="en-US"/>
              </w:rPr>
              <w:t>Galpin &amp; Herndon (</w:t>
            </w:r>
            <w:r w:rsidR="000E6E88" w:rsidRPr="00402E9C">
              <w:rPr>
                <w:rStyle w:val="Forte"/>
                <w:lang w:val="en-US"/>
              </w:rPr>
              <w:t>2007</w:t>
            </w:r>
            <w:r w:rsidRPr="00402E9C">
              <w:rPr>
                <w:rStyle w:val="Forte"/>
                <w:lang w:val="en-US"/>
              </w:rPr>
              <w:t>)</w:t>
            </w:r>
          </w:p>
          <w:p w14:paraId="296ADCA7" w14:textId="1C7606EB" w:rsidR="00E56C6F" w:rsidRPr="00402E9C" w:rsidRDefault="00E56C6F" w:rsidP="00F16EBD">
            <w:pPr>
              <w:autoSpaceDE w:val="0"/>
              <w:autoSpaceDN w:val="0"/>
              <w:adjustRightInd w:val="0"/>
              <w:rPr>
                <w:rStyle w:val="Forte"/>
                <w:lang w:val="en-US"/>
              </w:rPr>
            </w:pPr>
            <w:r w:rsidRPr="00402E9C">
              <w:rPr>
                <w:rStyle w:val="Forte"/>
                <w:lang w:val="en-US"/>
              </w:rPr>
              <w:t xml:space="preserve">Rocha, </w:t>
            </w:r>
            <w:proofErr w:type="spellStart"/>
            <w:r w:rsidRPr="00402E9C">
              <w:rPr>
                <w:rStyle w:val="Forte"/>
                <w:lang w:val="en-US"/>
              </w:rPr>
              <w:t>Iootty</w:t>
            </w:r>
            <w:proofErr w:type="spellEnd"/>
            <w:r w:rsidRPr="00402E9C">
              <w:rPr>
                <w:rStyle w:val="Forte"/>
                <w:lang w:val="en-US"/>
              </w:rPr>
              <w:t xml:space="preserve">, </w:t>
            </w:r>
            <w:r w:rsidR="00BF21E1" w:rsidRPr="00402E9C">
              <w:rPr>
                <w:rStyle w:val="Forte"/>
                <w:lang w:val="en-US"/>
              </w:rPr>
              <w:t xml:space="preserve">&amp; </w:t>
            </w:r>
            <w:proofErr w:type="spellStart"/>
            <w:r w:rsidRPr="00402E9C">
              <w:rPr>
                <w:rStyle w:val="Forte"/>
                <w:lang w:val="en-US"/>
              </w:rPr>
              <w:t>Ferraz</w:t>
            </w:r>
            <w:proofErr w:type="spellEnd"/>
            <w:r w:rsidRPr="00402E9C">
              <w:rPr>
                <w:rStyle w:val="Forte"/>
                <w:lang w:val="en-US"/>
              </w:rPr>
              <w:t xml:space="preserve"> (2001)</w:t>
            </w:r>
          </w:p>
        </w:tc>
      </w:tr>
      <w:tr w:rsidR="00E56C6F" w:rsidRPr="007452E7" w14:paraId="3998536F" w14:textId="77777777" w:rsidTr="00751057">
        <w:trPr>
          <w:trHeight w:val="21"/>
          <w:jc w:val="center"/>
        </w:trPr>
        <w:tc>
          <w:tcPr>
            <w:tcW w:w="6222" w:type="dxa"/>
            <w:tcBorders>
              <w:left w:val="single" w:sz="12" w:space="0" w:color="auto"/>
            </w:tcBorders>
            <w:shd w:val="clear" w:color="auto" w:fill="FFFFFF"/>
            <w:hideMark/>
          </w:tcPr>
          <w:p w14:paraId="2108B058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Ganho de escala</w:t>
            </w:r>
          </w:p>
          <w:p w14:paraId="6561F04A" w14:textId="3325BDBB" w:rsidR="00E56C6F" w:rsidRPr="00402E9C" w:rsidRDefault="00E56C6F" w:rsidP="00751057">
            <w:pPr>
              <w:ind w:left="204" w:hanging="204"/>
              <w:rPr>
                <w:rStyle w:val="Forte"/>
              </w:rPr>
            </w:pPr>
            <w:r w:rsidRPr="00402E9C">
              <w:rPr>
                <w:rStyle w:val="Forte"/>
              </w:rPr>
              <w:t>-</w:t>
            </w:r>
            <w:r w:rsidR="00751057" w:rsidRPr="00402E9C">
              <w:rPr>
                <w:rStyle w:val="Forte"/>
              </w:rPr>
              <w:t xml:space="preserve"> </w:t>
            </w:r>
            <w:r w:rsidRPr="00402E9C">
              <w:rPr>
                <w:rStyle w:val="Forte"/>
              </w:rPr>
              <w:t xml:space="preserve">Obtenção da </w:t>
            </w:r>
            <w:r w:rsidRPr="00402E9C">
              <w:rPr>
                <w:rStyle w:val="Forte"/>
                <w:i/>
              </w:rPr>
              <w:t>know-how</w:t>
            </w:r>
            <w:r w:rsidRPr="00402E9C">
              <w:rPr>
                <w:rStyle w:val="Forte"/>
              </w:rPr>
              <w:t xml:space="preserve"> -coorporativo (tecnologia, práticas gerenciais e de mercado)</w:t>
            </w:r>
          </w:p>
          <w:p w14:paraId="794C3C4B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Crescimento do negócio</w:t>
            </w:r>
          </w:p>
          <w:p w14:paraId="7CB1FB49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Estabelecimento de parcerias com os fornecedores</w:t>
            </w:r>
          </w:p>
          <w:p w14:paraId="53020B0A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Redução de custo</w:t>
            </w:r>
          </w:p>
          <w:p w14:paraId="106E71A7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Aumento da lucratividade</w:t>
            </w:r>
          </w:p>
        </w:tc>
        <w:tc>
          <w:tcPr>
            <w:tcW w:w="294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019E6C1" w14:textId="77777777" w:rsidR="00980384" w:rsidRPr="00402E9C" w:rsidRDefault="00980384" w:rsidP="00980384">
            <w:pPr>
              <w:rPr>
                <w:rStyle w:val="Forte"/>
              </w:rPr>
            </w:pPr>
            <w:r w:rsidRPr="00402E9C">
              <w:rPr>
                <w:rStyle w:val="Forte"/>
              </w:rPr>
              <w:t>Cano (2002)</w:t>
            </w:r>
          </w:p>
          <w:p w14:paraId="34A4BB2B" w14:textId="77777777" w:rsidR="00980384" w:rsidRPr="00402E9C" w:rsidRDefault="00980384" w:rsidP="00980384">
            <w:pPr>
              <w:rPr>
                <w:rStyle w:val="Forte"/>
              </w:rPr>
            </w:pPr>
            <w:proofErr w:type="spellStart"/>
            <w:r w:rsidRPr="00402E9C">
              <w:rPr>
                <w:rStyle w:val="Forte"/>
              </w:rPr>
              <w:t>Galpin</w:t>
            </w:r>
            <w:proofErr w:type="spellEnd"/>
            <w:r w:rsidRPr="00402E9C">
              <w:rPr>
                <w:rStyle w:val="Forte"/>
              </w:rPr>
              <w:t xml:space="preserve"> &amp; </w:t>
            </w:r>
            <w:proofErr w:type="spellStart"/>
            <w:r w:rsidRPr="00402E9C">
              <w:rPr>
                <w:rStyle w:val="Forte"/>
              </w:rPr>
              <w:t>Herndon</w:t>
            </w:r>
            <w:proofErr w:type="spellEnd"/>
            <w:r w:rsidRPr="00402E9C">
              <w:rPr>
                <w:rStyle w:val="Forte"/>
              </w:rPr>
              <w:t xml:space="preserve"> (2007)</w:t>
            </w:r>
          </w:p>
          <w:p w14:paraId="33229320" w14:textId="51C0C497" w:rsidR="00980384" w:rsidRPr="00402E9C" w:rsidRDefault="00980384" w:rsidP="00CB000E">
            <w:pPr>
              <w:autoSpaceDE w:val="0"/>
              <w:autoSpaceDN w:val="0"/>
              <w:adjustRightInd w:val="0"/>
              <w:rPr>
                <w:rStyle w:val="Forte"/>
              </w:rPr>
            </w:pPr>
            <w:r w:rsidRPr="00402E9C">
              <w:rPr>
                <w:rStyle w:val="Forte"/>
              </w:rPr>
              <w:t>Gomes, Aidar, &amp; Videira (2006)</w:t>
            </w:r>
          </w:p>
          <w:p w14:paraId="780AC02C" w14:textId="6B42A7CC" w:rsidR="00E56C6F" w:rsidRPr="00402E9C" w:rsidRDefault="00E56C6F" w:rsidP="00F16EBD">
            <w:pPr>
              <w:rPr>
                <w:rStyle w:val="Forte"/>
                <w:lang w:val="en-US"/>
              </w:rPr>
            </w:pPr>
            <w:r w:rsidRPr="00402E9C">
              <w:rPr>
                <w:rStyle w:val="Forte"/>
                <w:lang w:val="en-US"/>
              </w:rPr>
              <w:t xml:space="preserve">Healy, Palepu, </w:t>
            </w:r>
            <w:r w:rsidR="00BF21E1" w:rsidRPr="00402E9C">
              <w:rPr>
                <w:rStyle w:val="Forte"/>
                <w:lang w:val="en-US"/>
              </w:rPr>
              <w:t xml:space="preserve">&amp; </w:t>
            </w:r>
            <w:proofErr w:type="spellStart"/>
            <w:r w:rsidRPr="00402E9C">
              <w:rPr>
                <w:rStyle w:val="Forte"/>
                <w:lang w:val="en-US"/>
              </w:rPr>
              <w:t>Ruback</w:t>
            </w:r>
            <w:proofErr w:type="spellEnd"/>
            <w:r w:rsidRPr="00402E9C">
              <w:rPr>
                <w:rStyle w:val="Forte"/>
                <w:lang w:val="en-US"/>
              </w:rPr>
              <w:t xml:space="preserve"> (1992)</w:t>
            </w:r>
          </w:p>
          <w:p w14:paraId="68FE9403" w14:textId="77777777" w:rsidR="00E56C6F" w:rsidRPr="00402E9C" w:rsidRDefault="00E56C6F" w:rsidP="00F16EBD">
            <w:pPr>
              <w:autoSpaceDE w:val="0"/>
              <w:autoSpaceDN w:val="0"/>
              <w:adjustRightInd w:val="0"/>
              <w:rPr>
                <w:rStyle w:val="Forte"/>
                <w:lang w:val="en-US"/>
              </w:rPr>
            </w:pPr>
            <w:r w:rsidRPr="00402E9C">
              <w:rPr>
                <w:rStyle w:val="Forte"/>
                <w:lang w:val="en-US"/>
              </w:rPr>
              <w:t xml:space="preserve">Matias &amp; </w:t>
            </w:r>
            <w:proofErr w:type="spellStart"/>
            <w:r w:rsidRPr="00402E9C">
              <w:rPr>
                <w:rStyle w:val="Forte"/>
                <w:lang w:val="en-US"/>
              </w:rPr>
              <w:t>Pasin</w:t>
            </w:r>
            <w:proofErr w:type="spellEnd"/>
            <w:r w:rsidRPr="00402E9C">
              <w:rPr>
                <w:rStyle w:val="Forte"/>
                <w:lang w:val="en-US"/>
              </w:rPr>
              <w:t xml:space="preserve"> (2001)</w:t>
            </w:r>
          </w:p>
          <w:p w14:paraId="09811F3E" w14:textId="77777777" w:rsidR="00E56C6F" w:rsidRPr="00402E9C" w:rsidRDefault="00E56C6F" w:rsidP="00F16EBD">
            <w:pPr>
              <w:rPr>
                <w:rStyle w:val="Forte"/>
                <w:lang w:val="en-US"/>
              </w:rPr>
            </w:pPr>
          </w:p>
        </w:tc>
      </w:tr>
      <w:tr w:rsidR="00E56C6F" w:rsidRPr="00402E9C" w14:paraId="3B49FBA8" w14:textId="77777777" w:rsidTr="00751057">
        <w:trPr>
          <w:trHeight w:val="21"/>
          <w:jc w:val="center"/>
        </w:trPr>
        <w:tc>
          <w:tcPr>
            <w:tcW w:w="6222" w:type="dxa"/>
            <w:tcBorders>
              <w:left w:val="single" w:sz="12" w:space="0" w:color="auto"/>
            </w:tcBorders>
            <w:shd w:val="clear" w:color="auto" w:fill="FFFFFF"/>
          </w:tcPr>
          <w:p w14:paraId="23C58EDC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Estratégia para entrada em novos mercados</w:t>
            </w:r>
          </w:p>
          <w:p w14:paraId="6D0656F9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Crescimento do negócio</w:t>
            </w:r>
          </w:p>
          <w:p w14:paraId="2743927C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Maior participação de mercado</w:t>
            </w:r>
          </w:p>
          <w:p w14:paraId="6657549E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Potencial do mercado</w:t>
            </w:r>
          </w:p>
          <w:p w14:paraId="3F562CBB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Aumento da taxa de juros</w:t>
            </w:r>
          </w:p>
          <w:p w14:paraId="67FEDB05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Mudanças radicais na conjuntura política nacional</w:t>
            </w:r>
          </w:p>
          <w:p w14:paraId="37254DE5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Mudanças radicais na conjuntura política internacional</w:t>
            </w:r>
          </w:p>
        </w:tc>
        <w:tc>
          <w:tcPr>
            <w:tcW w:w="294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33C7A4D" w14:textId="77777777" w:rsidR="00980384" w:rsidRPr="00402E9C" w:rsidRDefault="00980384" w:rsidP="00980384">
            <w:pPr>
              <w:autoSpaceDE w:val="0"/>
              <w:autoSpaceDN w:val="0"/>
              <w:adjustRightInd w:val="0"/>
              <w:rPr>
                <w:rStyle w:val="Forte"/>
              </w:rPr>
            </w:pPr>
            <w:r w:rsidRPr="00402E9C">
              <w:rPr>
                <w:rStyle w:val="Forte"/>
              </w:rPr>
              <w:t xml:space="preserve">Matias &amp; </w:t>
            </w:r>
            <w:proofErr w:type="spellStart"/>
            <w:r w:rsidRPr="00402E9C">
              <w:rPr>
                <w:rStyle w:val="Forte"/>
              </w:rPr>
              <w:t>Pasin</w:t>
            </w:r>
            <w:proofErr w:type="spellEnd"/>
            <w:r w:rsidRPr="00402E9C">
              <w:rPr>
                <w:rStyle w:val="Forte"/>
              </w:rPr>
              <w:t xml:space="preserve"> (2001)</w:t>
            </w:r>
          </w:p>
          <w:p w14:paraId="23C9F3F1" w14:textId="77777777" w:rsidR="00980384" w:rsidRPr="00402E9C" w:rsidRDefault="00980384" w:rsidP="00F16EBD">
            <w:pPr>
              <w:rPr>
                <w:rStyle w:val="Forte"/>
              </w:rPr>
            </w:pPr>
          </w:p>
          <w:p w14:paraId="2D2A266E" w14:textId="4B735D2A" w:rsidR="00E56C6F" w:rsidRPr="00402E9C" w:rsidRDefault="00E56C6F" w:rsidP="00F16EBD">
            <w:pPr>
              <w:rPr>
                <w:rStyle w:val="Forte"/>
              </w:rPr>
            </w:pPr>
            <w:proofErr w:type="spellStart"/>
            <w:r w:rsidRPr="00402E9C">
              <w:rPr>
                <w:rStyle w:val="Forte"/>
              </w:rPr>
              <w:t>Tanura</w:t>
            </w:r>
            <w:proofErr w:type="spellEnd"/>
            <w:r w:rsidRPr="00402E9C">
              <w:rPr>
                <w:rStyle w:val="Forte"/>
              </w:rPr>
              <w:t xml:space="preserve"> (2005)</w:t>
            </w:r>
          </w:p>
          <w:p w14:paraId="45111471" w14:textId="19629E14" w:rsidR="00E56C6F" w:rsidRPr="00402E9C" w:rsidRDefault="00E56C6F" w:rsidP="00980384">
            <w:pPr>
              <w:autoSpaceDE w:val="0"/>
              <w:autoSpaceDN w:val="0"/>
              <w:adjustRightInd w:val="0"/>
              <w:rPr>
                <w:rStyle w:val="Forte"/>
              </w:rPr>
            </w:pPr>
          </w:p>
        </w:tc>
      </w:tr>
      <w:tr w:rsidR="00E56C6F" w:rsidRPr="00402E9C" w14:paraId="4CF711F8" w14:textId="77777777" w:rsidTr="00E308A9">
        <w:trPr>
          <w:trHeight w:val="476"/>
          <w:jc w:val="center"/>
        </w:trPr>
        <w:tc>
          <w:tcPr>
            <w:tcW w:w="6222" w:type="dxa"/>
            <w:tcBorders>
              <w:left w:val="single" w:sz="12" w:space="0" w:color="auto"/>
            </w:tcBorders>
            <w:shd w:val="clear" w:color="auto" w:fill="FFFFFF"/>
            <w:hideMark/>
          </w:tcPr>
          <w:p w14:paraId="2048363F" w14:textId="77777777" w:rsidR="00E56C6F" w:rsidRPr="00402E9C" w:rsidRDefault="00E56C6F" w:rsidP="00E308A9">
            <w:pPr>
              <w:rPr>
                <w:rStyle w:val="Forte"/>
              </w:rPr>
            </w:pPr>
            <w:r w:rsidRPr="00402E9C">
              <w:rPr>
                <w:rStyle w:val="Forte"/>
              </w:rPr>
              <w:t>- Ampliação da rede de distribuição e logística</w:t>
            </w:r>
          </w:p>
          <w:p w14:paraId="0D55DD0A" w14:textId="77777777" w:rsidR="00E56C6F" w:rsidRPr="00402E9C" w:rsidRDefault="00E56C6F" w:rsidP="00E308A9">
            <w:pPr>
              <w:rPr>
                <w:rStyle w:val="Forte"/>
              </w:rPr>
            </w:pPr>
            <w:r w:rsidRPr="00402E9C">
              <w:rPr>
                <w:rStyle w:val="Forte"/>
              </w:rPr>
              <w:t>- Integração da cadeia produtiva</w:t>
            </w:r>
          </w:p>
        </w:tc>
        <w:tc>
          <w:tcPr>
            <w:tcW w:w="294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20D8D6B" w14:textId="77777777" w:rsidR="00E56C6F" w:rsidRPr="00402E9C" w:rsidRDefault="00E56C6F" w:rsidP="00E308A9">
            <w:pPr>
              <w:rPr>
                <w:rStyle w:val="Forte"/>
              </w:rPr>
            </w:pPr>
            <w:proofErr w:type="spellStart"/>
            <w:r w:rsidRPr="00402E9C">
              <w:rPr>
                <w:rStyle w:val="Forte"/>
              </w:rPr>
              <w:t>Slusky</w:t>
            </w:r>
            <w:proofErr w:type="spellEnd"/>
            <w:r w:rsidRPr="00402E9C">
              <w:rPr>
                <w:rStyle w:val="Forte"/>
              </w:rPr>
              <w:t xml:space="preserve"> &amp; Caves (1991)</w:t>
            </w:r>
          </w:p>
        </w:tc>
      </w:tr>
      <w:tr w:rsidR="00E56C6F" w:rsidRPr="00402E9C" w14:paraId="3AAC8542" w14:textId="77777777" w:rsidTr="00751057">
        <w:trPr>
          <w:trHeight w:val="21"/>
          <w:jc w:val="center"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hideMark/>
          </w:tcPr>
          <w:p w14:paraId="3D79379A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Aumento da inflação no país</w:t>
            </w:r>
          </w:p>
          <w:p w14:paraId="6E56E6FC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Aumento dos níveis de corrupção no Brasil</w:t>
            </w:r>
          </w:p>
          <w:p w14:paraId="16E83BCC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Aumento significativo dos investimentos no país</w:t>
            </w:r>
          </w:p>
          <w:p w14:paraId="664ACA76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Desvalorização da moeda nacional</w:t>
            </w:r>
          </w:p>
          <w:p w14:paraId="5E460A66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Maior abertura do BNDES para a liberação de crédito</w:t>
            </w:r>
          </w:p>
          <w:p w14:paraId="4009DCB9" w14:textId="77777777" w:rsidR="00E56C6F" w:rsidRPr="00402E9C" w:rsidRDefault="00E56C6F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>- Valorização do dólar</w:t>
            </w:r>
          </w:p>
          <w:p w14:paraId="55656DBD" w14:textId="1E1151BF" w:rsidR="00E56C6F" w:rsidRPr="00402E9C" w:rsidRDefault="00751057" w:rsidP="00F16EBD">
            <w:pPr>
              <w:rPr>
                <w:rStyle w:val="Forte"/>
              </w:rPr>
            </w:pPr>
            <w:r w:rsidRPr="00402E9C">
              <w:rPr>
                <w:rStyle w:val="Forte"/>
              </w:rPr>
              <w:t xml:space="preserve">- </w:t>
            </w:r>
            <w:r w:rsidR="00E56C6F" w:rsidRPr="00402E9C">
              <w:rPr>
                <w:rStyle w:val="Forte"/>
              </w:rPr>
              <w:t>Aumento expressivo do investimento em obras de infraestrutura</w:t>
            </w: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6AD35E" w14:textId="55FBBF5D" w:rsidR="00980384" w:rsidRPr="00402E9C" w:rsidRDefault="00980384" w:rsidP="00F16EBD">
            <w:pPr>
              <w:rPr>
                <w:rStyle w:val="Forte"/>
              </w:rPr>
            </w:pPr>
            <w:proofErr w:type="spellStart"/>
            <w:r w:rsidRPr="00402E9C">
              <w:rPr>
                <w:rStyle w:val="Forte"/>
              </w:rPr>
              <w:t>Camargos</w:t>
            </w:r>
            <w:proofErr w:type="spellEnd"/>
            <w:r w:rsidRPr="00402E9C">
              <w:rPr>
                <w:rStyle w:val="Forte"/>
              </w:rPr>
              <w:t xml:space="preserve"> &amp; Barbosa, 2013</w:t>
            </w:r>
          </w:p>
          <w:p w14:paraId="55BB9C8D" w14:textId="4E782686" w:rsidR="00E56C6F" w:rsidRPr="00402E9C" w:rsidRDefault="00751057" w:rsidP="00F16EBD">
            <w:pPr>
              <w:rPr>
                <w:rStyle w:val="Forte"/>
              </w:rPr>
            </w:pPr>
            <w:proofErr w:type="spellStart"/>
            <w:proofErr w:type="gramStart"/>
            <w:r w:rsidRPr="00402E9C">
              <w:rPr>
                <w:rStyle w:val="Forte"/>
              </w:rPr>
              <w:t>Viglioni</w:t>
            </w:r>
            <w:proofErr w:type="spellEnd"/>
            <w:r w:rsidRPr="00402E9C">
              <w:rPr>
                <w:rStyle w:val="Forte"/>
              </w:rPr>
              <w:t xml:space="preserve">, </w:t>
            </w:r>
            <w:r w:rsidR="00E56C6F" w:rsidRPr="00402E9C">
              <w:rPr>
                <w:rStyle w:val="Forte"/>
              </w:rPr>
              <w:t xml:space="preserve"> Carvalho</w:t>
            </w:r>
            <w:proofErr w:type="gramEnd"/>
            <w:r w:rsidR="00E56C6F" w:rsidRPr="00402E9C">
              <w:rPr>
                <w:rStyle w:val="Forte"/>
              </w:rPr>
              <w:t xml:space="preserve">,  </w:t>
            </w:r>
            <w:proofErr w:type="spellStart"/>
            <w:r w:rsidR="00E56C6F" w:rsidRPr="00402E9C">
              <w:rPr>
                <w:rStyle w:val="Forte"/>
              </w:rPr>
              <w:t>Benedicto</w:t>
            </w:r>
            <w:proofErr w:type="spellEnd"/>
            <w:r w:rsidR="00E56C6F" w:rsidRPr="00402E9C">
              <w:rPr>
                <w:rStyle w:val="Forte"/>
              </w:rPr>
              <w:t>, &amp; Prado, (2018)</w:t>
            </w:r>
          </w:p>
          <w:p w14:paraId="1971B800" w14:textId="31E6BD85" w:rsidR="00E56C6F" w:rsidRPr="00402E9C" w:rsidRDefault="00E56C6F" w:rsidP="00F16EBD">
            <w:pPr>
              <w:rPr>
                <w:rStyle w:val="Forte"/>
              </w:rPr>
            </w:pPr>
          </w:p>
        </w:tc>
      </w:tr>
    </w:tbl>
    <w:p w14:paraId="64534427" w14:textId="17188ECF" w:rsidR="00E56C6F" w:rsidRPr="000F4CB5" w:rsidRDefault="00E56C6F" w:rsidP="0037019D">
      <w:pPr>
        <w:rPr>
          <w:b/>
          <w:iCs/>
          <w:sz w:val="20"/>
          <w:szCs w:val="20"/>
        </w:rPr>
      </w:pPr>
      <w:r w:rsidRPr="008C7CB9">
        <w:rPr>
          <w:rStyle w:val="nfaseSutil"/>
          <w:sz w:val="20"/>
          <w:szCs w:val="20"/>
        </w:rPr>
        <w:t xml:space="preserve">Figura </w:t>
      </w:r>
      <w:r w:rsidR="00696E74">
        <w:rPr>
          <w:rStyle w:val="nfaseSutil"/>
          <w:sz w:val="20"/>
          <w:szCs w:val="20"/>
        </w:rPr>
        <w:t>2</w:t>
      </w:r>
      <w:r w:rsidRPr="008C7CB9">
        <w:rPr>
          <w:rStyle w:val="nfaseSutil"/>
          <w:sz w:val="20"/>
          <w:szCs w:val="20"/>
        </w:rPr>
        <w:t xml:space="preserve"> - </w:t>
      </w:r>
      <w:r w:rsidRPr="008C7CB9">
        <w:rPr>
          <w:rStyle w:val="nfaseSutil"/>
          <w:color w:val="auto"/>
          <w:sz w:val="20"/>
          <w:szCs w:val="20"/>
        </w:rPr>
        <w:t>Eventos para F&amp;A identificados na literatura</w:t>
      </w:r>
      <w:r w:rsidR="000F4CB5">
        <w:rPr>
          <w:rStyle w:val="nfaseSutil"/>
          <w:color w:val="auto"/>
          <w:sz w:val="20"/>
          <w:szCs w:val="20"/>
        </w:rPr>
        <w:t xml:space="preserve">. </w:t>
      </w:r>
      <w:r w:rsidRPr="00402E9C">
        <w:rPr>
          <w:rStyle w:val="nfase"/>
        </w:rPr>
        <w:t>Fonte: Dados da Pesquisa (2018)</w:t>
      </w:r>
    </w:p>
    <w:p w14:paraId="696A6FBF" w14:textId="26E12B87" w:rsidR="00BE4062" w:rsidRPr="00402E9C" w:rsidRDefault="00526B35" w:rsidP="008C7CB9">
      <w:pPr>
        <w:ind w:firstLine="567"/>
        <w:jc w:val="both"/>
      </w:pPr>
      <w:r w:rsidRPr="00402E9C">
        <w:t xml:space="preserve">A fase 2 </w:t>
      </w:r>
      <w:r w:rsidR="00334B3E" w:rsidRPr="00402E9C">
        <w:t xml:space="preserve">iniciou com a classificação e análise das características necessárias para os peritos que forneceram os dados para </w:t>
      </w:r>
      <w:r w:rsidR="00DF2082" w:rsidRPr="00402E9C">
        <w:t xml:space="preserve">o </w:t>
      </w:r>
      <w:r w:rsidR="00334B3E" w:rsidRPr="00402E9C">
        <w:t>desenvolvimento da pesquisa</w:t>
      </w:r>
      <w:r w:rsidR="00DE37FC" w:rsidRPr="00402E9C">
        <w:t xml:space="preserve">. </w:t>
      </w:r>
      <w:r w:rsidR="00282960" w:rsidRPr="00402E9C">
        <w:t xml:space="preserve"> </w:t>
      </w:r>
    </w:p>
    <w:p w14:paraId="330FD6B2" w14:textId="2E226140" w:rsidR="00093FC3" w:rsidRPr="00402E9C" w:rsidRDefault="00BF21E1" w:rsidP="000F4CB5">
      <w:pPr>
        <w:ind w:firstLine="708"/>
        <w:jc w:val="both"/>
      </w:pPr>
      <w:r w:rsidRPr="00402E9C">
        <w:t xml:space="preserve">A Figura </w:t>
      </w:r>
      <w:r w:rsidR="00696E74">
        <w:t>3</w:t>
      </w:r>
      <w:r w:rsidR="00282960" w:rsidRPr="00402E9C">
        <w:t xml:space="preserve"> apresenta </w:t>
      </w:r>
      <w:r w:rsidR="00093FC3" w:rsidRPr="00402E9C">
        <w:t xml:space="preserve">a classificação dos peritos, bem como os critérios e categorias aplicados </w:t>
      </w:r>
      <w:r w:rsidR="00282960" w:rsidRPr="00402E9C">
        <w:t>nesta pesquisa</w:t>
      </w:r>
      <w:r w:rsidR="00093FC3" w:rsidRPr="00402E9C">
        <w:t>.</w:t>
      </w:r>
    </w:p>
    <w:tbl>
      <w:tblPr>
        <w:tblW w:w="90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449"/>
        <w:gridCol w:w="1512"/>
        <w:gridCol w:w="2370"/>
        <w:gridCol w:w="2544"/>
      </w:tblGrid>
      <w:tr w:rsidR="00093FC3" w:rsidRPr="00402E9C" w14:paraId="23E5DABB" w14:textId="77777777" w:rsidTr="000F4CB5">
        <w:trPr>
          <w:trHeight w:val="57"/>
          <w:tblHeader/>
          <w:jc w:val="center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13E54D68" w14:textId="77777777" w:rsidR="00334B3E" w:rsidRPr="00402E9C" w:rsidRDefault="00334B3E" w:rsidP="000F4CB5">
            <w:pPr>
              <w:pStyle w:val="Subttulo"/>
              <w:spacing w:after="0"/>
              <w:rPr>
                <w:rFonts w:ascii="Times New Roman" w:hAnsi="Times New Roman"/>
                <w:b/>
              </w:rPr>
            </w:pPr>
            <w:r w:rsidRPr="00402E9C">
              <w:rPr>
                <w:rFonts w:ascii="Times New Roman" w:hAnsi="Times New Roman"/>
                <w:b/>
              </w:rPr>
              <w:t>Categorias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ED74075" w14:textId="77777777" w:rsidR="00334B3E" w:rsidRPr="00402E9C" w:rsidRDefault="00334B3E" w:rsidP="000F4CB5">
            <w:pPr>
              <w:pStyle w:val="Subttulo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402E9C">
              <w:rPr>
                <w:rFonts w:ascii="Times New Roman" w:hAnsi="Times New Roman"/>
                <w:b/>
              </w:rPr>
              <w:t>Sub</w:t>
            </w:r>
            <w:r w:rsidR="00980AC4" w:rsidRPr="00402E9C">
              <w:rPr>
                <w:rFonts w:ascii="Times New Roman" w:hAnsi="Times New Roman"/>
                <w:b/>
              </w:rPr>
              <w:t>-Categorias</w:t>
            </w:r>
            <w:proofErr w:type="spellEnd"/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2D0B2C2" w14:textId="77777777" w:rsidR="00334B3E" w:rsidRPr="00402E9C" w:rsidRDefault="00334B3E" w:rsidP="000F4CB5">
            <w:pPr>
              <w:pStyle w:val="Subttulo"/>
              <w:spacing w:after="0"/>
              <w:rPr>
                <w:rFonts w:ascii="Times New Roman" w:hAnsi="Times New Roman"/>
                <w:b/>
              </w:rPr>
            </w:pPr>
            <w:r w:rsidRPr="00402E9C">
              <w:rPr>
                <w:rFonts w:ascii="Times New Roman" w:hAnsi="Times New Roman"/>
                <w:b/>
              </w:rPr>
              <w:t>Critérios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B665F52" w14:textId="77777777" w:rsidR="00334B3E" w:rsidRPr="00402E9C" w:rsidRDefault="00334B3E" w:rsidP="000F4CB5">
            <w:pPr>
              <w:pStyle w:val="Subttulo"/>
              <w:spacing w:after="0"/>
              <w:rPr>
                <w:rFonts w:ascii="Times New Roman" w:hAnsi="Times New Roman"/>
                <w:b/>
                <w:szCs w:val="18"/>
              </w:rPr>
            </w:pPr>
            <w:r w:rsidRPr="00402E9C">
              <w:rPr>
                <w:rFonts w:ascii="Times New Roman" w:hAnsi="Times New Roman"/>
                <w:b/>
                <w:szCs w:val="18"/>
              </w:rPr>
              <w:t>Características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1639206" w14:textId="77777777" w:rsidR="00334B3E" w:rsidRPr="00402E9C" w:rsidRDefault="00AC4564" w:rsidP="000F4CB5">
            <w:pPr>
              <w:rPr>
                <w:b/>
                <w:sz w:val="18"/>
                <w:szCs w:val="18"/>
              </w:rPr>
            </w:pPr>
            <w:r w:rsidRPr="00402E9C">
              <w:rPr>
                <w:b/>
                <w:sz w:val="18"/>
                <w:szCs w:val="18"/>
              </w:rPr>
              <w:t>Participantes</w:t>
            </w:r>
          </w:p>
        </w:tc>
      </w:tr>
      <w:tr w:rsidR="00093FC3" w:rsidRPr="00402E9C" w14:paraId="6748ECAA" w14:textId="77777777" w:rsidTr="000F4CB5">
        <w:trPr>
          <w:trHeight w:val="57"/>
          <w:jc w:val="center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404F6A6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Academia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D77196C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Univers</w:t>
            </w:r>
            <w:r w:rsidR="000F2142" w:rsidRPr="00402E9C">
              <w:rPr>
                <w:rFonts w:ascii="Times New Roman" w:hAnsi="Times New Roman"/>
                <w:szCs w:val="18"/>
              </w:rPr>
              <w:t>idades e Institutos de Pesquisa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D16F2EB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Conhecimento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471DB10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Titulação acadêmica</w:t>
            </w: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EDEFC4" w14:textId="63C0B0CE" w:rsidR="00DF04AA" w:rsidRPr="00402E9C" w:rsidRDefault="00AC4564" w:rsidP="00DF04AA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Doutores</w:t>
            </w:r>
            <w:r w:rsidR="005E3124" w:rsidRPr="00402E9C">
              <w:rPr>
                <w:rFonts w:ascii="Times New Roman" w:hAnsi="Times New Roman"/>
              </w:rPr>
              <w:t>,</w:t>
            </w:r>
            <w:r w:rsidR="00BF21E1" w:rsidRPr="00402E9C">
              <w:rPr>
                <w:rFonts w:ascii="Times New Roman" w:hAnsi="Times New Roman"/>
              </w:rPr>
              <w:t xml:space="preserve"> </w:t>
            </w:r>
            <w:r w:rsidR="005E3124" w:rsidRPr="00402E9C">
              <w:rPr>
                <w:rFonts w:ascii="Times New Roman" w:hAnsi="Times New Roman"/>
              </w:rPr>
              <w:t>Mestres,</w:t>
            </w:r>
          </w:p>
          <w:p w14:paraId="0914352E" w14:textId="77777777" w:rsidR="00334B3E" w:rsidRPr="00402E9C" w:rsidRDefault="00980AC4" w:rsidP="00DF04AA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Especialistas</w:t>
            </w:r>
          </w:p>
        </w:tc>
      </w:tr>
      <w:tr w:rsidR="00093FC3" w:rsidRPr="00402E9C" w14:paraId="587C45B8" w14:textId="77777777" w:rsidTr="000F4CB5">
        <w:trPr>
          <w:trHeight w:val="57"/>
          <w:jc w:val="center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3AC367B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lastRenderedPageBreak/>
              <w:t>Entidades de classe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30B30F23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Assoc</w:t>
            </w:r>
            <w:r w:rsidR="000F2142" w:rsidRPr="00402E9C">
              <w:rPr>
                <w:rFonts w:ascii="Times New Roman" w:hAnsi="Times New Roman"/>
                <w:szCs w:val="18"/>
              </w:rPr>
              <w:t>iações, Federações e Sindicatos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586E55" w14:textId="77777777" w:rsidR="00093FC3" w:rsidRPr="00402E9C" w:rsidRDefault="00980AC4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Conhecimento</w:t>
            </w:r>
            <w:r w:rsidR="00334B3E" w:rsidRPr="00402E9C">
              <w:rPr>
                <w:rFonts w:ascii="Times New Roman" w:hAnsi="Times New Roman"/>
                <w:szCs w:val="18"/>
              </w:rPr>
              <w:t>/</w:t>
            </w:r>
          </w:p>
          <w:p w14:paraId="3B8D8AB2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Tempo de atuação</w:t>
            </w:r>
          </w:p>
        </w:tc>
        <w:tc>
          <w:tcPr>
            <w:tcW w:w="2370" w:type="dxa"/>
            <w:shd w:val="clear" w:color="auto" w:fill="auto"/>
            <w:hideMark/>
          </w:tcPr>
          <w:p w14:paraId="400EA402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Federações de Indústria ou Comércio, Sindi</w:t>
            </w:r>
            <w:r w:rsidR="00350E7A" w:rsidRPr="00402E9C">
              <w:rPr>
                <w:rFonts w:ascii="Times New Roman" w:hAnsi="Times New Roman"/>
                <w:szCs w:val="18"/>
              </w:rPr>
              <w:t>catos ou Associações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0CB6B64C" w14:textId="77777777" w:rsidR="00334B3E" w:rsidRPr="00402E9C" w:rsidRDefault="00AC4564" w:rsidP="00DF04AA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E</w:t>
            </w:r>
            <w:r w:rsidR="00334B3E" w:rsidRPr="00402E9C">
              <w:rPr>
                <w:rFonts w:ascii="Times New Roman" w:hAnsi="Times New Roman"/>
              </w:rPr>
              <w:t>specialistas conforme a área</w:t>
            </w:r>
            <w:r w:rsidR="000F2142" w:rsidRPr="00402E9C">
              <w:rPr>
                <w:rFonts w:ascii="Times New Roman" w:hAnsi="Times New Roman"/>
              </w:rPr>
              <w:t xml:space="preserve"> de atuação</w:t>
            </w:r>
          </w:p>
        </w:tc>
      </w:tr>
      <w:tr w:rsidR="00093FC3" w:rsidRPr="00402E9C" w14:paraId="191A4738" w14:textId="77777777" w:rsidTr="000F4CB5">
        <w:trPr>
          <w:trHeight w:val="57"/>
          <w:jc w:val="center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8B81F4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Mercado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2D054CE0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Em</w:t>
            </w:r>
            <w:r w:rsidR="000F2142" w:rsidRPr="00402E9C">
              <w:rPr>
                <w:rFonts w:ascii="Times New Roman" w:hAnsi="Times New Roman"/>
                <w:szCs w:val="18"/>
              </w:rPr>
              <w:t>presas e profissionais liberais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63020B" w14:textId="77777777" w:rsidR="00093FC3" w:rsidRPr="00402E9C" w:rsidRDefault="00980AC4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Conhecimento</w:t>
            </w:r>
            <w:r w:rsidR="00334B3E" w:rsidRPr="00402E9C">
              <w:rPr>
                <w:rFonts w:ascii="Times New Roman" w:hAnsi="Times New Roman"/>
                <w:szCs w:val="18"/>
              </w:rPr>
              <w:t>/</w:t>
            </w:r>
          </w:p>
          <w:p w14:paraId="54524393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Tempo de atuação</w:t>
            </w:r>
          </w:p>
        </w:tc>
        <w:tc>
          <w:tcPr>
            <w:tcW w:w="2370" w:type="dxa"/>
            <w:shd w:val="clear" w:color="auto" w:fill="auto"/>
            <w:hideMark/>
          </w:tcPr>
          <w:p w14:paraId="72F74799" w14:textId="77777777" w:rsidR="00334B3E" w:rsidRPr="00402E9C" w:rsidRDefault="00A77B3B" w:rsidP="00081393">
            <w:pPr>
              <w:pStyle w:val="Subttulo"/>
              <w:rPr>
                <w:rFonts w:ascii="Times New Roman" w:hAnsi="Times New Roman"/>
                <w:szCs w:val="18"/>
              </w:rPr>
            </w:pPr>
            <w:r w:rsidRPr="00402E9C">
              <w:rPr>
                <w:rFonts w:ascii="Times New Roman" w:hAnsi="Times New Roman"/>
                <w:szCs w:val="18"/>
              </w:rPr>
              <w:t>P</w:t>
            </w:r>
            <w:r w:rsidR="00334B3E" w:rsidRPr="00402E9C">
              <w:rPr>
                <w:rFonts w:ascii="Times New Roman" w:hAnsi="Times New Roman"/>
                <w:szCs w:val="18"/>
              </w:rPr>
              <w:t>articipar como especialistas utilizando como critério o tempo de</w:t>
            </w:r>
            <w:r w:rsidR="000F2142" w:rsidRPr="00402E9C">
              <w:rPr>
                <w:rFonts w:ascii="Times New Roman" w:hAnsi="Times New Roman"/>
                <w:szCs w:val="18"/>
              </w:rPr>
              <w:t xml:space="preserve"> atuaçã</w:t>
            </w:r>
            <w:r w:rsidR="00DF04AA" w:rsidRPr="00402E9C">
              <w:rPr>
                <w:rFonts w:ascii="Times New Roman" w:hAnsi="Times New Roman"/>
                <w:szCs w:val="18"/>
              </w:rPr>
              <w:t>o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1382B9B0" w14:textId="77777777" w:rsidR="00334B3E" w:rsidRPr="00402E9C" w:rsidRDefault="00334B3E" w:rsidP="00DF04AA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Diretores, Superintendentes, Gerentes, Su</w:t>
            </w:r>
            <w:r w:rsidR="00152815" w:rsidRPr="00402E9C">
              <w:rPr>
                <w:rFonts w:ascii="Times New Roman" w:hAnsi="Times New Roman"/>
              </w:rPr>
              <w:t>pervisores, Analistas, Técnicos</w:t>
            </w:r>
          </w:p>
        </w:tc>
      </w:tr>
      <w:tr w:rsidR="00093FC3" w:rsidRPr="00402E9C" w14:paraId="60003846" w14:textId="77777777" w:rsidTr="000F4CB5">
        <w:trPr>
          <w:trHeight w:val="57"/>
          <w:jc w:val="center"/>
        </w:trPr>
        <w:tc>
          <w:tcPr>
            <w:tcW w:w="11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2ADE40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Instituições Financeiras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79D0BDA" w14:textId="77777777" w:rsidR="00334B3E" w:rsidRPr="00402E9C" w:rsidRDefault="00DF04AA" w:rsidP="00081393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Pú</w:t>
            </w:r>
            <w:r w:rsidR="00334B3E" w:rsidRPr="00402E9C">
              <w:rPr>
                <w:rFonts w:ascii="Times New Roman" w:hAnsi="Times New Roman"/>
              </w:rPr>
              <w:t>blica e Privada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DC726D" w14:textId="77777777" w:rsidR="00334B3E" w:rsidRPr="00402E9C" w:rsidRDefault="00334B3E" w:rsidP="00081393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Tempo de atuação</w:t>
            </w:r>
          </w:p>
        </w:tc>
        <w:tc>
          <w:tcPr>
            <w:tcW w:w="2370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A1E9D54" w14:textId="77777777" w:rsidR="00334B3E" w:rsidRPr="00402E9C" w:rsidRDefault="00A77B3B" w:rsidP="00081393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P</w:t>
            </w:r>
            <w:r w:rsidR="00334B3E" w:rsidRPr="00402E9C">
              <w:rPr>
                <w:rFonts w:ascii="Times New Roman" w:hAnsi="Times New Roman"/>
              </w:rPr>
              <w:t>articipar como especialistas utilizando como critério o tempo de</w:t>
            </w:r>
            <w:r w:rsidR="000F2142" w:rsidRPr="00402E9C">
              <w:rPr>
                <w:rFonts w:ascii="Times New Roman" w:hAnsi="Times New Roman"/>
              </w:rPr>
              <w:t xml:space="preserve"> atuação</w:t>
            </w:r>
          </w:p>
        </w:tc>
        <w:tc>
          <w:tcPr>
            <w:tcW w:w="2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86A8A3" w14:textId="77777777" w:rsidR="00334B3E" w:rsidRPr="00402E9C" w:rsidRDefault="00334B3E" w:rsidP="00DF04AA">
            <w:pPr>
              <w:pStyle w:val="Subttulo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Especialistas da área, Su</w:t>
            </w:r>
            <w:r w:rsidR="00DF04AA" w:rsidRPr="00402E9C">
              <w:rPr>
                <w:rFonts w:ascii="Times New Roman" w:hAnsi="Times New Roman"/>
              </w:rPr>
              <w:t>pervisores, Analistas</w:t>
            </w:r>
          </w:p>
        </w:tc>
      </w:tr>
    </w:tbl>
    <w:p w14:paraId="59DC793B" w14:textId="407E9B31" w:rsidR="00980AC4" w:rsidRPr="000F4CB5" w:rsidRDefault="00BF21E1" w:rsidP="0037019D">
      <w:pPr>
        <w:rPr>
          <w:b/>
          <w:iCs/>
          <w:color w:val="404040"/>
          <w:sz w:val="20"/>
          <w:szCs w:val="20"/>
        </w:rPr>
      </w:pPr>
      <w:bookmarkStart w:id="17" w:name="_Toc532849449"/>
      <w:r w:rsidRPr="008C7CB9">
        <w:rPr>
          <w:rStyle w:val="nfaseSutil"/>
          <w:sz w:val="20"/>
          <w:szCs w:val="20"/>
        </w:rPr>
        <w:t xml:space="preserve">Figura </w:t>
      </w:r>
      <w:r w:rsidR="00696E74">
        <w:rPr>
          <w:rStyle w:val="nfaseSutil"/>
          <w:sz w:val="20"/>
          <w:szCs w:val="20"/>
        </w:rPr>
        <w:t>3</w:t>
      </w:r>
      <w:r w:rsidR="00093FC3" w:rsidRPr="008C7CB9">
        <w:rPr>
          <w:rStyle w:val="nfaseSutil"/>
          <w:sz w:val="20"/>
          <w:szCs w:val="20"/>
        </w:rPr>
        <w:t>: Critérios de escolha de peritos</w:t>
      </w:r>
      <w:bookmarkEnd w:id="17"/>
      <w:r w:rsidR="000F4CB5">
        <w:rPr>
          <w:rStyle w:val="nfaseSutil"/>
          <w:sz w:val="20"/>
          <w:szCs w:val="20"/>
        </w:rPr>
        <w:t xml:space="preserve">. </w:t>
      </w:r>
      <w:r w:rsidR="00980AC4" w:rsidRPr="00402E9C">
        <w:rPr>
          <w:rStyle w:val="nfase"/>
        </w:rPr>
        <w:t xml:space="preserve">Fonte: </w:t>
      </w:r>
      <w:r w:rsidR="00282960" w:rsidRPr="00402E9C">
        <w:rPr>
          <w:rStyle w:val="nfase"/>
        </w:rPr>
        <w:t>Dados da pesq</w:t>
      </w:r>
      <w:r w:rsidR="00035E66" w:rsidRPr="00402E9C">
        <w:rPr>
          <w:rStyle w:val="nfase"/>
        </w:rPr>
        <w:t>u</w:t>
      </w:r>
      <w:r w:rsidR="00282960" w:rsidRPr="00402E9C">
        <w:rPr>
          <w:rStyle w:val="nfase"/>
        </w:rPr>
        <w:t>isa</w:t>
      </w:r>
      <w:r w:rsidR="00A77B3B" w:rsidRPr="00402E9C">
        <w:rPr>
          <w:rStyle w:val="nfase"/>
        </w:rPr>
        <w:t xml:space="preserve"> (2018).</w:t>
      </w:r>
    </w:p>
    <w:p w14:paraId="7A23BAF3" w14:textId="331FEB8A" w:rsidR="00334B3E" w:rsidRPr="00402E9C" w:rsidRDefault="00AF73B2" w:rsidP="008C7CB9">
      <w:pPr>
        <w:ind w:firstLine="567"/>
        <w:jc w:val="both"/>
        <w:rPr>
          <w:u w:color="000000"/>
          <w:bdr w:val="nil"/>
        </w:rPr>
      </w:pPr>
      <w:r w:rsidRPr="00402E9C">
        <w:rPr>
          <w:u w:color="000000"/>
          <w:bdr w:val="nil"/>
        </w:rPr>
        <w:t>A coleta de dados se deu no primeiro semestre de 2018</w:t>
      </w:r>
      <w:r w:rsidR="00863C54" w:rsidRPr="00402E9C">
        <w:rPr>
          <w:u w:color="000000"/>
          <w:bdr w:val="nil"/>
        </w:rPr>
        <w:t>,</w:t>
      </w:r>
      <w:r w:rsidR="00A0426E" w:rsidRPr="00402E9C">
        <w:rPr>
          <w:u w:color="000000"/>
          <w:bdr w:val="nil"/>
        </w:rPr>
        <w:t xml:space="preserve"> por </w:t>
      </w:r>
      <w:r w:rsidR="00334B3E" w:rsidRPr="00402E9C">
        <w:rPr>
          <w:u w:color="000000"/>
          <w:bdr w:val="nil"/>
        </w:rPr>
        <w:t xml:space="preserve">e-mail e telefone. </w:t>
      </w:r>
      <w:r w:rsidR="00EE3F39" w:rsidRPr="00402E9C">
        <w:rPr>
          <w:u w:color="000000"/>
          <w:bdr w:val="nil"/>
        </w:rPr>
        <w:t xml:space="preserve">Foram consulados 66 especialistas, tendo </w:t>
      </w:r>
      <w:r w:rsidR="00526A0D" w:rsidRPr="00402E9C">
        <w:rPr>
          <w:u w:color="000000"/>
          <w:bdr w:val="nil"/>
        </w:rPr>
        <w:t>se obtido</w:t>
      </w:r>
      <w:r w:rsidR="00EE3F39" w:rsidRPr="00402E9C">
        <w:rPr>
          <w:u w:color="000000"/>
          <w:bdr w:val="nil"/>
        </w:rPr>
        <w:t xml:space="preserve"> </w:t>
      </w:r>
      <w:r w:rsidR="00BF21E1" w:rsidRPr="00402E9C">
        <w:rPr>
          <w:u w:color="000000"/>
          <w:bdr w:val="nil"/>
        </w:rPr>
        <w:t xml:space="preserve">21 </w:t>
      </w:r>
      <w:r w:rsidR="00EE3F39" w:rsidRPr="00402E9C">
        <w:rPr>
          <w:u w:color="000000"/>
          <w:bdr w:val="nil"/>
        </w:rPr>
        <w:t>respostas.</w:t>
      </w:r>
      <w:r w:rsidR="00526A0D" w:rsidRPr="00402E9C">
        <w:rPr>
          <w:u w:color="000000"/>
          <w:bdr w:val="nil"/>
        </w:rPr>
        <w:t xml:space="preserve"> </w:t>
      </w:r>
    </w:p>
    <w:p w14:paraId="0FD62FE6" w14:textId="6A9BDFED" w:rsidR="00F878BF" w:rsidRPr="008C7CB9" w:rsidRDefault="00E56C6F" w:rsidP="008C7CB9">
      <w:pPr>
        <w:ind w:firstLine="567"/>
        <w:jc w:val="both"/>
        <w:rPr>
          <w:u w:color="000000"/>
          <w:bdr w:val="nil"/>
        </w:rPr>
      </w:pPr>
      <w:r w:rsidRPr="00402E9C">
        <w:rPr>
          <w:u w:color="000000"/>
          <w:bdr w:val="nil"/>
        </w:rPr>
        <w:t xml:space="preserve">Esta fase 3 contou com uma </w:t>
      </w:r>
      <w:proofErr w:type="spellStart"/>
      <w:r w:rsidR="00334B3E" w:rsidRPr="00402E9C">
        <w:rPr>
          <w:u w:color="000000"/>
          <w:bdr w:val="nil"/>
        </w:rPr>
        <w:t>uma</w:t>
      </w:r>
      <w:proofErr w:type="spellEnd"/>
      <w:r w:rsidR="00334B3E" w:rsidRPr="00402E9C">
        <w:rPr>
          <w:u w:color="000000"/>
          <w:bdr w:val="nil"/>
        </w:rPr>
        <w:t xml:space="preserve"> pesquisa para desenvolvimento de uma Matriz de Probabilidade e </w:t>
      </w:r>
      <w:proofErr w:type="spellStart"/>
      <w:r w:rsidR="00334B3E" w:rsidRPr="00402E9C">
        <w:rPr>
          <w:u w:color="000000"/>
          <w:bdr w:val="nil"/>
        </w:rPr>
        <w:t>Favorabilidade</w:t>
      </w:r>
      <w:proofErr w:type="spellEnd"/>
      <w:r w:rsidR="00334B3E" w:rsidRPr="00402E9C">
        <w:rPr>
          <w:u w:color="000000"/>
          <w:bdr w:val="nil"/>
        </w:rPr>
        <w:t xml:space="preserve"> ou lista de eventos, que, na ótica dos especialistas, geram impacto para as transações de fusão e aquisição, especificamente para Brasil. </w:t>
      </w:r>
    </w:p>
    <w:p w14:paraId="3582EDAF" w14:textId="4D135F4E" w:rsidR="00751057" w:rsidRPr="00402E9C" w:rsidRDefault="008D1DA5" w:rsidP="000F4CB5">
      <w:pPr>
        <w:ind w:firstLine="567"/>
        <w:jc w:val="both"/>
      </w:pPr>
      <w:r w:rsidRPr="00402E9C">
        <w:t>A l</w:t>
      </w:r>
      <w:r w:rsidR="0060043A" w:rsidRPr="00402E9C">
        <w:t>ista de eventos</w:t>
      </w:r>
      <w:r w:rsidR="00334B3E" w:rsidRPr="00402E9C">
        <w:t xml:space="preserve"> foi submetida a</w:t>
      </w:r>
      <w:r w:rsidR="00BF21E1" w:rsidRPr="00402E9C">
        <w:t>os</w:t>
      </w:r>
      <w:r w:rsidR="00334B3E" w:rsidRPr="00402E9C">
        <w:t xml:space="preserve"> </w:t>
      </w:r>
      <w:r w:rsidR="0060043A" w:rsidRPr="00402E9C">
        <w:t xml:space="preserve">peritos </w:t>
      </w:r>
      <w:r w:rsidR="00334B3E" w:rsidRPr="00402E9C">
        <w:t xml:space="preserve">para que indicassem a </w:t>
      </w:r>
      <w:r w:rsidR="00006F53" w:rsidRPr="00402E9C">
        <w:t xml:space="preserve">pertinência, a </w:t>
      </w:r>
      <w:r w:rsidR="00334B3E" w:rsidRPr="00402E9C">
        <w:t xml:space="preserve">probabilidade de ocorrência e a </w:t>
      </w:r>
      <w:proofErr w:type="spellStart"/>
      <w:r w:rsidR="00334B3E" w:rsidRPr="00402E9C">
        <w:t>favorabilidade</w:t>
      </w:r>
      <w:proofErr w:type="spellEnd"/>
      <w:r w:rsidR="00334B3E" w:rsidRPr="00402E9C">
        <w:t xml:space="preserve"> dos eventos, de acord</w:t>
      </w:r>
      <w:r w:rsidR="00062620" w:rsidRPr="00402E9C">
        <w:t xml:space="preserve">o escala demonstrada na </w:t>
      </w:r>
      <w:r w:rsidR="00696E74">
        <w:t>Figura</w:t>
      </w:r>
      <w:r w:rsidR="005033B5" w:rsidRPr="00402E9C">
        <w:t xml:space="preserve"> </w:t>
      </w:r>
      <w:r w:rsidR="00F63E7F" w:rsidRPr="00402E9C">
        <w:t>4</w:t>
      </w:r>
      <w:r w:rsidR="00334B3E" w:rsidRPr="00402E9C">
        <w:t>.</w:t>
      </w:r>
      <w:r w:rsidR="00693963" w:rsidRPr="00402E9C">
        <w:t xml:space="preserve"> Escala classificatória de Pertinência </w:t>
      </w:r>
      <w:r w:rsidR="0060043A" w:rsidRPr="00402E9C">
        <w:t xml:space="preserve">é </w:t>
      </w:r>
      <w:r w:rsidR="00693963" w:rsidRPr="00402E9C">
        <w:t xml:space="preserve">baseada no método </w:t>
      </w:r>
      <w:proofErr w:type="gramStart"/>
      <w:r w:rsidR="0060043A" w:rsidRPr="00402E9C">
        <w:t>de Quartis</w:t>
      </w:r>
      <w:proofErr w:type="gramEnd"/>
      <w:r w:rsidR="0060043A" w:rsidRPr="00402E9C">
        <w:t xml:space="preserve"> (</w:t>
      </w:r>
      <w:r w:rsidRPr="00402E9C">
        <w:t xml:space="preserve">Marcial e </w:t>
      </w:r>
      <w:proofErr w:type="spellStart"/>
      <w:r w:rsidRPr="00402E9C">
        <w:t>Grumbach</w:t>
      </w:r>
      <w:proofErr w:type="spellEnd"/>
      <w:r w:rsidRPr="00402E9C">
        <w:t xml:space="preserve">, </w:t>
      </w:r>
      <w:r w:rsidR="00693963" w:rsidRPr="00402E9C">
        <w:t xml:space="preserve">2002), a escala de Probabilidade e </w:t>
      </w:r>
      <w:proofErr w:type="spellStart"/>
      <w:r w:rsidR="00693963" w:rsidRPr="00402E9C">
        <w:t>Favorabilidade</w:t>
      </w:r>
      <w:proofErr w:type="spellEnd"/>
      <w:r w:rsidR="00693963" w:rsidRPr="00402E9C">
        <w:t xml:space="preserve"> de acordo com </w:t>
      </w:r>
      <w:proofErr w:type="spellStart"/>
      <w:r w:rsidR="00693963" w:rsidRPr="00402E9C">
        <w:t>Blanning</w:t>
      </w:r>
      <w:proofErr w:type="spellEnd"/>
      <w:r w:rsidR="00693963" w:rsidRPr="00402E9C">
        <w:t xml:space="preserve"> e </w:t>
      </w:r>
      <w:proofErr w:type="spellStart"/>
      <w:r w:rsidR="00693963" w:rsidRPr="00402E9C">
        <w:t>Reinig</w:t>
      </w:r>
      <w:proofErr w:type="spellEnd"/>
      <w:r w:rsidR="00693963" w:rsidRPr="00402E9C">
        <w:t xml:space="preserve"> (1998).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2872"/>
        <w:gridCol w:w="3097"/>
      </w:tblGrid>
      <w:tr w:rsidR="00334B3E" w:rsidRPr="00402E9C" w14:paraId="7C386820" w14:textId="77777777" w:rsidTr="008C7CB9">
        <w:trPr>
          <w:trHeight w:val="5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C11AED9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  <w:b/>
              </w:rPr>
            </w:pPr>
            <w:r w:rsidRPr="00402E9C">
              <w:rPr>
                <w:rFonts w:ascii="Times New Roman" w:hAnsi="Times New Roman"/>
                <w:b/>
              </w:rPr>
              <w:t>Pertinência:</w:t>
            </w:r>
            <w:r w:rsidR="00980AC4" w:rsidRPr="00402E9C">
              <w:rPr>
                <w:rFonts w:ascii="Times New Roman" w:hAnsi="Times New Roman"/>
                <w:b/>
              </w:rPr>
              <w:t xml:space="preserve"> </w:t>
            </w:r>
            <w:r w:rsidRPr="00402E9C">
              <w:rPr>
                <w:rFonts w:ascii="Times New Roman" w:hAnsi="Times New Roman"/>
                <w:b/>
              </w:rPr>
              <w:t>Escala 1 a 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D6D82C3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  <w:b/>
              </w:rPr>
            </w:pPr>
            <w:r w:rsidRPr="00402E9C">
              <w:rPr>
                <w:rFonts w:ascii="Times New Roman" w:hAnsi="Times New Roman"/>
                <w:b/>
              </w:rPr>
              <w:t>Probabilidade:</w:t>
            </w:r>
            <w:r w:rsidR="00980AC4" w:rsidRPr="00402E9C">
              <w:rPr>
                <w:rFonts w:ascii="Times New Roman" w:hAnsi="Times New Roman"/>
                <w:b/>
              </w:rPr>
              <w:t xml:space="preserve"> </w:t>
            </w:r>
            <w:r w:rsidRPr="00402E9C">
              <w:rPr>
                <w:rFonts w:ascii="Times New Roman" w:hAnsi="Times New Roman"/>
                <w:b/>
              </w:rPr>
              <w:t>Escala 0% a 100%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3E5B11" w14:textId="77777777" w:rsidR="00334B3E" w:rsidRPr="00402E9C" w:rsidRDefault="00980AC4" w:rsidP="00121D79">
            <w:pPr>
              <w:pStyle w:val="Subttulo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402E9C">
              <w:rPr>
                <w:rFonts w:ascii="Times New Roman" w:hAnsi="Times New Roman"/>
                <w:b/>
              </w:rPr>
              <w:t>Favorabilidade</w:t>
            </w:r>
            <w:proofErr w:type="spellEnd"/>
            <w:r w:rsidRPr="00402E9C">
              <w:rPr>
                <w:rFonts w:ascii="Times New Roman" w:hAnsi="Times New Roman"/>
                <w:b/>
              </w:rPr>
              <w:t xml:space="preserve">: </w:t>
            </w:r>
            <w:r w:rsidR="00334B3E" w:rsidRPr="00402E9C">
              <w:rPr>
                <w:rFonts w:ascii="Times New Roman" w:hAnsi="Times New Roman"/>
                <w:b/>
              </w:rPr>
              <w:t>Escala 0% a 100%</w:t>
            </w:r>
          </w:p>
        </w:tc>
      </w:tr>
      <w:tr w:rsidR="00334B3E" w:rsidRPr="00402E9C" w14:paraId="2C7C9347" w14:textId="77777777" w:rsidTr="00121D79">
        <w:trPr>
          <w:trHeight w:val="33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FF825F" w14:textId="77777777" w:rsidR="00334B3E" w:rsidRPr="00402E9C" w:rsidRDefault="00152815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 xml:space="preserve">Pertinência 1 = Sem </w:t>
            </w:r>
            <w:r w:rsidR="00FE1CD0" w:rsidRPr="00402E9C">
              <w:rPr>
                <w:rFonts w:ascii="Times New Roman" w:hAnsi="Times New Roman"/>
              </w:rPr>
              <w:t>pertinência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7393BF8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Pro</w:t>
            </w:r>
            <w:r w:rsidR="00152815" w:rsidRPr="00402E9C">
              <w:rPr>
                <w:rFonts w:ascii="Times New Roman" w:hAnsi="Times New Roman"/>
              </w:rPr>
              <w:t>babilidade zero = não acontecer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9BE818B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proofErr w:type="spellStart"/>
            <w:r w:rsidRPr="00402E9C">
              <w:rPr>
                <w:rFonts w:ascii="Times New Roman" w:hAnsi="Times New Roman"/>
              </w:rPr>
              <w:t>F</w:t>
            </w:r>
            <w:r w:rsidR="00152815" w:rsidRPr="00402E9C">
              <w:rPr>
                <w:rFonts w:ascii="Times New Roman" w:hAnsi="Times New Roman"/>
              </w:rPr>
              <w:t>avorabilidade</w:t>
            </w:r>
            <w:proofErr w:type="spellEnd"/>
            <w:r w:rsidR="00152815" w:rsidRPr="00402E9C">
              <w:rPr>
                <w:rFonts w:ascii="Times New Roman" w:hAnsi="Times New Roman"/>
              </w:rPr>
              <w:t xml:space="preserve"> 0 = não favorável</w:t>
            </w:r>
          </w:p>
        </w:tc>
      </w:tr>
      <w:tr w:rsidR="00334B3E" w:rsidRPr="00402E9C" w14:paraId="726AD706" w14:textId="77777777" w:rsidTr="00121D79">
        <w:trPr>
          <w:trHeight w:val="296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22AE635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Pert</w:t>
            </w:r>
            <w:r w:rsidR="00152815" w:rsidRPr="00402E9C">
              <w:rPr>
                <w:rFonts w:ascii="Times New Roman" w:hAnsi="Times New Roman"/>
              </w:rPr>
              <w:t>inência 5 = Razoável influência</w:t>
            </w:r>
            <w:r w:rsidR="00980AC4" w:rsidRPr="00402E9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2CE49D0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Pr</w:t>
            </w:r>
            <w:r w:rsidR="00152815" w:rsidRPr="00402E9C">
              <w:rPr>
                <w:rFonts w:ascii="Times New Roman" w:hAnsi="Times New Roman"/>
              </w:rPr>
              <w:t>obabilidade 50% = 50% de chance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EF259C6" w14:textId="77777777" w:rsidR="00334B3E" w:rsidRPr="00402E9C" w:rsidRDefault="00152815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proofErr w:type="spellStart"/>
            <w:r w:rsidRPr="00402E9C">
              <w:rPr>
                <w:rFonts w:ascii="Times New Roman" w:hAnsi="Times New Roman"/>
              </w:rPr>
              <w:t>Favorabilidade</w:t>
            </w:r>
            <w:proofErr w:type="spellEnd"/>
            <w:r w:rsidRPr="00402E9C">
              <w:rPr>
                <w:rFonts w:ascii="Times New Roman" w:hAnsi="Times New Roman"/>
              </w:rPr>
              <w:t xml:space="preserve"> 50%= neutra</w:t>
            </w:r>
          </w:p>
        </w:tc>
      </w:tr>
      <w:tr w:rsidR="00334B3E" w:rsidRPr="00402E9C" w14:paraId="5216B438" w14:textId="77777777" w:rsidTr="00121D79">
        <w:trPr>
          <w:trHeight w:val="71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C7E6B6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Per</w:t>
            </w:r>
            <w:r w:rsidR="00152815" w:rsidRPr="00402E9C">
              <w:rPr>
                <w:rFonts w:ascii="Times New Roman" w:hAnsi="Times New Roman"/>
              </w:rPr>
              <w:t>tinência 9 = Extrema influência</w:t>
            </w:r>
            <w:r w:rsidR="00980AC4" w:rsidRPr="00402E9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AEA8C64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 xml:space="preserve">Probabilidade </w:t>
            </w:r>
            <w:r w:rsidR="00152815" w:rsidRPr="00402E9C">
              <w:rPr>
                <w:rFonts w:ascii="Times New Roman" w:hAnsi="Times New Roman"/>
              </w:rPr>
              <w:t>100% = vai acontecer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89B9D" w14:textId="77777777" w:rsidR="00334B3E" w:rsidRPr="00402E9C" w:rsidRDefault="00334B3E" w:rsidP="00121D79">
            <w:pPr>
              <w:pStyle w:val="Subttulo"/>
              <w:spacing w:after="0"/>
              <w:rPr>
                <w:rFonts w:ascii="Times New Roman" w:hAnsi="Times New Roman"/>
              </w:rPr>
            </w:pPr>
            <w:proofErr w:type="spellStart"/>
            <w:r w:rsidRPr="00402E9C">
              <w:rPr>
                <w:rFonts w:ascii="Times New Roman" w:hAnsi="Times New Roman"/>
              </w:rPr>
              <w:t>Favora</w:t>
            </w:r>
            <w:r w:rsidR="00152815" w:rsidRPr="00402E9C">
              <w:rPr>
                <w:rFonts w:ascii="Times New Roman" w:hAnsi="Times New Roman"/>
              </w:rPr>
              <w:t>bilidade</w:t>
            </w:r>
            <w:proofErr w:type="spellEnd"/>
            <w:r w:rsidR="00152815" w:rsidRPr="00402E9C">
              <w:rPr>
                <w:rFonts w:ascii="Times New Roman" w:hAnsi="Times New Roman"/>
              </w:rPr>
              <w:t xml:space="preserve"> 100% = muito favorável</w:t>
            </w:r>
          </w:p>
        </w:tc>
      </w:tr>
    </w:tbl>
    <w:p w14:paraId="5EEFD6BC" w14:textId="4BC0B2C6" w:rsidR="007140FE" w:rsidRPr="000F4CB5" w:rsidRDefault="00BF21E1" w:rsidP="005033B5">
      <w:pPr>
        <w:rPr>
          <w:rStyle w:val="nfase"/>
          <w:b/>
          <w:iCs/>
          <w:color w:val="404040"/>
        </w:rPr>
      </w:pPr>
      <w:bookmarkStart w:id="18" w:name="_Toc532849450"/>
      <w:r w:rsidRPr="008C7CB9">
        <w:rPr>
          <w:rStyle w:val="nfaseSutil"/>
          <w:sz w:val="20"/>
          <w:szCs w:val="20"/>
        </w:rPr>
        <w:t xml:space="preserve">Figura </w:t>
      </w:r>
      <w:r w:rsidR="00696E74">
        <w:rPr>
          <w:rStyle w:val="nfaseSutil"/>
          <w:sz w:val="20"/>
          <w:szCs w:val="20"/>
        </w:rPr>
        <w:t>4</w:t>
      </w:r>
      <w:r w:rsidR="005033B5" w:rsidRPr="008C7CB9">
        <w:rPr>
          <w:rStyle w:val="nfaseSutil"/>
          <w:sz w:val="20"/>
          <w:szCs w:val="20"/>
        </w:rPr>
        <w:t>: Escala classificatória de pertinência, probabilidade</w:t>
      </w:r>
      <w:bookmarkEnd w:id="18"/>
      <w:r w:rsidR="000F4CB5">
        <w:rPr>
          <w:rStyle w:val="nfaseSutil"/>
          <w:sz w:val="20"/>
          <w:szCs w:val="20"/>
        </w:rPr>
        <w:t xml:space="preserve">. </w:t>
      </w:r>
      <w:r w:rsidR="00980AC4" w:rsidRPr="00402E9C">
        <w:rPr>
          <w:rStyle w:val="nfase"/>
        </w:rPr>
        <w:t xml:space="preserve">Fonte: </w:t>
      </w:r>
      <w:r w:rsidR="00F579FB" w:rsidRPr="00402E9C">
        <w:rPr>
          <w:rStyle w:val="nfase"/>
        </w:rPr>
        <w:t>Adaptado</w:t>
      </w:r>
      <w:r w:rsidR="004277CE" w:rsidRPr="00402E9C">
        <w:rPr>
          <w:rStyle w:val="nfase"/>
        </w:rPr>
        <w:t xml:space="preserve"> de Marcial e </w:t>
      </w:r>
      <w:proofErr w:type="spellStart"/>
      <w:r w:rsidR="004277CE" w:rsidRPr="00402E9C">
        <w:rPr>
          <w:rStyle w:val="nfase"/>
        </w:rPr>
        <w:t>Grumbach</w:t>
      </w:r>
      <w:proofErr w:type="spellEnd"/>
      <w:r w:rsidR="004277CE" w:rsidRPr="00402E9C">
        <w:rPr>
          <w:rStyle w:val="nfase"/>
        </w:rPr>
        <w:t xml:space="preserve"> (2002) e </w:t>
      </w:r>
      <w:proofErr w:type="spellStart"/>
      <w:r w:rsidR="00A77B3B" w:rsidRPr="00402E9C">
        <w:rPr>
          <w:rStyle w:val="nfase"/>
        </w:rPr>
        <w:t>Blanning</w:t>
      </w:r>
      <w:proofErr w:type="spellEnd"/>
      <w:r w:rsidR="00A77B3B" w:rsidRPr="00402E9C">
        <w:rPr>
          <w:rStyle w:val="nfase"/>
        </w:rPr>
        <w:t xml:space="preserve"> e </w:t>
      </w:r>
      <w:proofErr w:type="spellStart"/>
      <w:r w:rsidR="00A77B3B" w:rsidRPr="00402E9C">
        <w:rPr>
          <w:rStyle w:val="nfase"/>
        </w:rPr>
        <w:t>Reinig</w:t>
      </w:r>
      <w:proofErr w:type="spellEnd"/>
      <w:r w:rsidR="00A77B3B" w:rsidRPr="00402E9C">
        <w:rPr>
          <w:rStyle w:val="nfase"/>
        </w:rPr>
        <w:t xml:space="preserve"> (1998)</w:t>
      </w:r>
      <w:r w:rsidR="00343DA4" w:rsidRPr="00402E9C">
        <w:rPr>
          <w:rStyle w:val="nfase"/>
        </w:rPr>
        <w:t>.</w:t>
      </w:r>
    </w:p>
    <w:p w14:paraId="320DCFFA" w14:textId="5EF4F64B" w:rsidR="00334B3E" w:rsidRPr="00402E9C" w:rsidRDefault="0060043A" w:rsidP="008C7CB9">
      <w:pPr>
        <w:ind w:firstLine="567"/>
        <w:jc w:val="both"/>
      </w:pPr>
      <w:r w:rsidRPr="00402E9C">
        <w:t>A f</w:t>
      </w:r>
      <w:r w:rsidR="00334B3E" w:rsidRPr="00402E9C">
        <w:t>ase 4</w:t>
      </w:r>
      <w:r w:rsidRPr="00402E9C">
        <w:t xml:space="preserve"> foi </w:t>
      </w:r>
      <w:r w:rsidR="00AD1940" w:rsidRPr="00402E9C">
        <w:t>utilizado um processo de redução</w:t>
      </w:r>
      <w:r w:rsidRPr="00402E9C">
        <w:t xml:space="preserve"> dos eventos. Para a </w:t>
      </w:r>
      <w:r w:rsidR="00464097" w:rsidRPr="00402E9C">
        <w:t>aplicação da</w:t>
      </w:r>
      <w:r w:rsidRPr="00402E9C">
        <w:t xml:space="preserve"> pertinência</w:t>
      </w:r>
      <w:r w:rsidR="00997A12" w:rsidRPr="00402E9C">
        <w:t xml:space="preserve"> foi utilizada a técn</w:t>
      </w:r>
      <w:r w:rsidR="00AD1940" w:rsidRPr="00402E9C">
        <w:t>ica de Quartis (</w:t>
      </w:r>
      <w:proofErr w:type="spellStart"/>
      <w:r w:rsidR="00AD1940" w:rsidRPr="00402E9C">
        <w:t>Malhotra</w:t>
      </w:r>
      <w:proofErr w:type="spellEnd"/>
      <w:r w:rsidR="00AD1940" w:rsidRPr="00402E9C">
        <w:t>, 2005)</w:t>
      </w:r>
      <w:r w:rsidR="00464097" w:rsidRPr="00402E9C">
        <w:t xml:space="preserve"> selecionando-se os eventos pertencentes ao </w:t>
      </w:r>
      <w:r w:rsidR="002B0CDD" w:rsidRPr="00402E9C">
        <w:t xml:space="preserve">terceiro e </w:t>
      </w:r>
      <w:r w:rsidR="00464097" w:rsidRPr="00402E9C">
        <w:t>quarto quartil</w:t>
      </w:r>
      <w:r w:rsidR="00AD1940" w:rsidRPr="00402E9C">
        <w:t xml:space="preserve"> e em seguida </w:t>
      </w:r>
      <w:r w:rsidR="00334B3E" w:rsidRPr="00402E9C">
        <w:t xml:space="preserve">o método de consenso de </w:t>
      </w:r>
      <w:proofErr w:type="spellStart"/>
      <w:r w:rsidR="00334B3E" w:rsidRPr="00402E9C">
        <w:t>Godet</w:t>
      </w:r>
      <w:proofErr w:type="spellEnd"/>
      <w:r w:rsidR="00334B3E" w:rsidRPr="00402E9C">
        <w:t xml:space="preserve"> (2000)</w:t>
      </w:r>
      <w:r w:rsidR="00464097" w:rsidRPr="00402E9C">
        <w:t>,</w:t>
      </w:r>
      <w:r w:rsidR="00334B3E" w:rsidRPr="00402E9C">
        <w:t xml:space="preserve"> que exclui </w:t>
      </w:r>
      <w:r w:rsidR="00FE1CD0" w:rsidRPr="00402E9C">
        <w:t>os eventos</w:t>
      </w:r>
      <w:r w:rsidR="00334B3E" w:rsidRPr="00402E9C">
        <w:t xml:space="preserve"> que obtiverem o coeficiente de variação (se refere ao valor do desvio padrão dividido pela média de cada variável) CV (&gt;) maior ou (=) igual a 20%. </w:t>
      </w:r>
    </w:p>
    <w:p w14:paraId="56F06FF4" w14:textId="77777777" w:rsidR="00334B3E" w:rsidRPr="00402E9C" w:rsidRDefault="00BE1375" w:rsidP="005033B5">
      <m:oMath>
        <m:r>
          <w:rPr>
            <w:rFonts w:ascii="Cambria Math" w:hAnsi="Cambria Math"/>
          </w:rPr>
          <m:t xml:space="preserve">CV=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i/>
          </w:rPr>
          <w:sym w:font="Symbol" w:char="F0B3"/>
        </m:r>
        <m:r>
          <w:rPr>
            <w:rFonts w:ascii="Cambria Math" w:hAnsi="Cambria Math"/>
          </w:rPr>
          <m:t xml:space="preserve"> 0,2 </m:t>
        </m:r>
        <m:r>
          <w:rPr>
            <w:rFonts w:ascii="Cambria Math" w:hAnsi="Cambria Math"/>
            <w:i/>
          </w:rPr>
          <w:sym w:font="Symbol" w:char="F05C"/>
        </m:r>
        <m:r>
          <w:rPr>
            <w:rFonts w:ascii="Cambria Math" w:hAnsi="Cambria Math"/>
          </w:rPr>
          <m:t xml:space="preserve">Variável excluída.    </m:t>
        </m:r>
      </m:oMath>
      <w:r w:rsidR="00833013" w:rsidRPr="00402E9C">
        <w:t xml:space="preserve"> </w:t>
      </w:r>
      <w:r w:rsidR="00B47475" w:rsidRPr="00402E9C">
        <w:t xml:space="preserve">      </w:t>
      </w:r>
      <w:r w:rsidR="005033B5" w:rsidRPr="00402E9C">
        <w:t xml:space="preserve">                       </w:t>
      </w:r>
      <w:r w:rsidR="00833013" w:rsidRPr="00402E9C">
        <w:t xml:space="preserve">                    </w:t>
      </w:r>
      <w:r w:rsidR="005033B5" w:rsidRPr="00402E9C">
        <w:t>Equação (1)</w:t>
      </w:r>
    </w:p>
    <w:p w14:paraId="3ECFBE7B" w14:textId="77777777" w:rsidR="00121D79" w:rsidRDefault="00B37873" w:rsidP="00121D79">
      <w:r w:rsidRPr="00402E9C">
        <w:t>σ</w:t>
      </w:r>
      <w:r w:rsidR="00FA2E54" w:rsidRPr="00402E9C">
        <w:t>: Desvio padrão</w:t>
      </w:r>
      <w:r w:rsidRPr="00402E9C">
        <w:t>;</w:t>
      </w:r>
      <w:r w:rsidR="00121D79">
        <w:t xml:space="preserve"> </w:t>
      </w:r>
      <w:r w:rsidR="00FA2E54" w:rsidRPr="00402E9C">
        <w:t>X</w:t>
      </w:r>
      <w:r w:rsidR="00226437" w:rsidRPr="00402E9C">
        <w:t>: É a média dos dados</w:t>
      </w:r>
      <w:r w:rsidRPr="00402E9C">
        <w:t>;</w:t>
      </w:r>
      <w:r w:rsidR="00121D79">
        <w:t xml:space="preserve"> </w:t>
      </w:r>
      <w:r w:rsidR="00226437" w:rsidRPr="00402E9C">
        <w:t>CV: é o coeficiente de variação</w:t>
      </w:r>
      <w:r w:rsidRPr="00402E9C">
        <w:t>.</w:t>
      </w:r>
    </w:p>
    <w:p w14:paraId="4CBE33AD" w14:textId="44B3BFBE" w:rsidR="000F4CB5" w:rsidRDefault="00AD1940" w:rsidP="00121D79">
      <w:r w:rsidRPr="00402E9C">
        <w:t>Na f</w:t>
      </w:r>
      <w:r w:rsidR="00334B3E" w:rsidRPr="00402E9C">
        <w:t xml:space="preserve">ase 5 </w:t>
      </w:r>
      <w:r w:rsidRPr="00402E9C">
        <w:t>foi r</w:t>
      </w:r>
      <w:r w:rsidR="00334B3E" w:rsidRPr="00402E9C">
        <w:t>ealizada a análise de cenários baseada nos fatores e na lista de eventos</w:t>
      </w:r>
      <w:r w:rsidR="00927361" w:rsidRPr="00402E9C">
        <w:t>.</w:t>
      </w:r>
      <w:bookmarkStart w:id="19" w:name="_Toc532850565"/>
    </w:p>
    <w:p w14:paraId="51CC9E70" w14:textId="3A97438D" w:rsidR="000F4CB5" w:rsidRPr="00696E74" w:rsidRDefault="00B47475" w:rsidP="00696E74">
      <w:pPr>
        <w:pStyle w:val="Ttulo2"/>
        <w:spacing w:before="0" w:after="0" w:line="240" w:lineRule="auto"/>
        <w:ind w:left="0" w:firstLine="0"/>
        <w:rPr>
          <w:rFonts w:ascii="Times New Roman" w:hAnsi="Times New Roman"/>
        </w:rPr>
      </w:pPr>
      <w:r w:rsidRPr="00402E9C">
        <w:rPr>
          <w:rFonts w:ascii="Times New Roman" w:hAnsi="Times New Roman"/>
        </w:rPr>
        <w:t xml:space="preserve">4 </w:t>
      </w:r>
      <w:bookmarkEnd w:id="19"/>
      <w:r w:rsidR="00CB000E" w:rsidRPr="00402E9C">
        <w:rPr>
          <w:rFonts w:ascii="Times New Roman" w:hAnsi="Times New Roman"/>
        </w:rPr>
        <w:t>resultados e discussão</w:t>
      </w:r>
      <w:bookmarkStart w:id="20" w:name="_Toc532850566"/>
    </w:p>
    <w:p w14:paraId="3BA143B5" w14:textId="67ABEDCC" w:rsidR="005F2C8D" w:rsidRPr="005F2C8D" w:rsidRDefault="005F2C8D" w:rsidP="005F2C8D">
      <w:pPr>
        <w:ind w:firstLine="567"/>
        <w:jc w:val="both"/>
      </w:pPr>
      <w:r>
        <w:t>A seguir, apresenta-se os achados da pesquisa, culminando nos produtos perseguidos, ou seja, os três cenários prospectados.</w:t>
      </w:r>
    </w:p>
    <w:p w14:paraId="34C4CB21" w14:textId="7AADE8F2" w:rsidR="006D7944" w:rsidRPr="00402E9C" w:rsidRDefault="006C7012" w:rsidP="005F2C8D">
      <w:pPr>
        <w:pStyle w:val="Ttulo1"/>
        <w:spacing w:before="0" w:after="0" w:line="240" w:lineRule="auto"/>
        <w:ind w:left="0" w:firstLine="0"/>
        <w:rPr>
          <w:rFonts w:ascii="Times New Roman" w:hAnsi="Times New Roman"/>
        </w:rPr>
      </w:pPr>
      <w:r w:rsidRPr="00402E9C">
        <w:rPr>
          <w:rFonts w:ascii="Times New Roman" w:hAnsi="Times New Roman"/>
        </w:rPr>
        <w:t xml:space="preserve">4.1 PERFIL DOS </w:t>
      </w:r>
      <w:r w:rsidR="00F16EBD" w:rsidRPr="00402E9C">
        <w:rPr>
          <w:rFonts w:ascii="Times New Roman" w:hAnsi="Times New Roman"/>
        </w:rPr>
        <w:t>PERITOS</w:t>
      </w:r>
      <w:bookmarkEnd w:id="20"/>
    </w:p>
    <w:p w14:paraId="3B94CAA7" w14:textId="77777777" w:rsidR="00121D79" w:rsidRDefault="00732BAE" w:rsidP="008C7CB9">
      <w:pPr>
        <w:ind w:firstLine="567"/>
        <w:jc w:val="both"/>
      </w:pPr>
      <w:r w:rsidRPr="00402E9C">
        <w:t xml:space="preserve">A pesquisa foi enviada para 66 especialistas por meio de questionário </w:t>
      </w:r>
      <w:proofErr w:type="spellStart"/>
      <w:r w:rsidRPr="00402E9C">
        <w:rPr>
          <w:i/>
        </w:rPr>
        <w:t>survey</w:t>
      </w:r>
      <w:proofErr w:type="spellEnd"/>
      <w:r w:rsidRPr="00402E9C">
        <w:t xml:space="preserve">, a aplicação do método contou com a participação efetiva de </w:t>
      </w:r>
      <w:r w:rsidR="00BF21E1" w:rsidRPr="00402E9C">
        <w:t>21 respondentes</w:t>
      </w:r>
      <w:r w:rsidR="00121D79">
        <w:t xml:space="preserve"> (oito da </w:t>
      </w:r>
      <w:proofErr w:type="spellStart"/>
      <w:r w:rsidR="00121D79">
        <w:t>Acadeia</w:t>
      </w:r>
      <w:proofErr w:type="spellEnd"/>
      <w:r w:rsidR="00121D79">
        <w:t xml:space="preserve"> três de entidades de classe, sete de mercado e três de instituições financeiras)</w:t>
      </w:r>
    </w:p>
    <w:p w14:paraId="1A866511" w14:textId="562F328C" w:rsidR="00AD1DBD" w:rsidRDefault="00300981" w:rsidP="00696E74">
      <w:pPr>
        <w:ind w:firstLine="567"/>
        <w:jc w:val="both"/>
      </w:pPr>
      <w:r w:rsidRPr="00402E9C">
        <w:t xml:space="preserve">Segundo </w:t>
      </w:r>
      <w:proofErr w:type="spellStart"/>
      <w:r w:rsidRPr="00402E9C">
        <w:t>Godet</w:t>
      </w:r>
      <w:proofErr w:type="spellEnd"/>
      <w:r w:rsidRPr="00402E9C">
        <w:t xml:space="preserve"> (2000), para a prospecção de cenários são sugeridos de 15 a 30 peritos.</w:t>
      </w:r>
      <w:bookmarkStart w:id="21" w:name="_Toc532850567"/>
    </w:p>
    <w:p w14:paraId="395D9828" w14:textId="2A65B2B0" w:rsidR="000F4CB5" w:rsidRPr="00696E74" w:rsidRDefault="00EE036D" w:rsidP="00696E74">
      <w:pPr>
        <w:pStyle w:val="Ttulo1"/>
        <w:spacing w:before="0" w:after="0" w:line="240" w:lineRule="auto"/>
        <w:ind w:left="0" w:firstLine="0"/>
        <w:rPr>
          <w:rFonts w:ascii="Times New Roman" w:hAnsi="Times New Roman"/>
        </w:rPr>
      </w:pPr>
      <w:r w:rsidRPr="00402E9C">
        <w:rPr>
          <w:rFonts w:ascii="Times New Roman" w:hAnsi="Times New Roman"/>
        </w:rPr>
        <w:t xml:space="preserve">4.2 </w:t>
      </w:r>
      <w:r w:rsidR="006506BE" w:rsidRPr="00402E9C">
        <w:rPr>
          <w:rFonts w:ascii="Times New Roman" w:hAnsi="Times New Roman"/>
        </w:rPr>
        <w:t>PERTINÊNCIA, FAVORABILIDADE E PROBABILIDADE DOS EVENTOS</w:t>
      </w:r>
    </w:p>
    <w:bookmarkEnd w:id="21"/>
    <w:p w14:paraId="589F7802" w14:textId="4D71A43B" w:rsidR="00151058" w:rsidRPr="00402E9C" w:rsidRDefault="009D0A54" w:rsidP="00AD1DBD">
      <w:pPr>
        <w:ind w:firstLine="567"/>
      </w:pPr>
      <w:r w:rsidRPr="00402E9C">
        <w:t xml:space="preserve">A Tabela </w:t>
      </w:r>
      <w:r w:rsidR="00121D79">
        <w:t>1</w:t>
      </w:r>
      <w:r w:rsidR="006F55E9" w:rsidRPr="00402E9C">
        <w:t xml:space="preserve"> apresenta </w:t>
      </w:r>
      <w:r w:rsidR="003271A5" w:rsidRPr="00402E9C">
        <w:t>os eventos</w:t>
      </w:r>
      <w:r w:rsidR="006F55E9" w:rsidRPr="00402E9C">
        <w:t xml:space="preserve"> que foram </w:t>
      </w:r>
      <w:r w:rsidR="009E067D" w:rsidRPr="00402E9C">
        <w:t>agrupado</w:t>
      </w:r>
      <w:r w:rsidRPr="00402E9C">
        <w:t>s</w:t>
      </w:r>
      <w:r w:rsidR="009E067D" w:rsidRPr="00402E9C">
        <w:t xml:space="preserve"> e o resultado da votação realizada pelos dos </w:t>
      </w:r>
      <w:r w:rsidR="00575294" w:rsidRPr="00402E9C">
        <w:t>peritos</w:t>
      </w:r>
      <w:r w:rsidRPr="00402E9C">
        <w:t>.</w:t>
      </w:r>
    </w:p>
    <w:p w14:paraId="6D6D3836" w14:textId="3E18B73C" w:rsidR="000325D3" w:rsidRPr="00402E9C" w:rsidRDefault="000325D3" w:rsidP="00AD1DBD">
      <w:pPr>
        <w:pStyle w:val="Citao"/>
        <w:spacing w:before="0" w:after="0" w:line="240" w:lineRule="auto"/>
        <w:rPr>
          <w:rFonts w:ascii="Times New Roman" w:hAnsi="Times New Roman"/>
        </w:rPr>
      </w:pPr>
      <w:bookmarkStart w:id="22" w:name="_Toc532850163"/>
      <w:bookmarkStart w:id="23" w:name="_Toc532850570"/>
      <w:r w:rsidRPr="00402E9C">
        <w:rPr>
          <w:rFonts w:ascii="Times New Roman" w:hAnsi="Times New Roman"/>
        </w:rPr>
        <w:t xml:space="preserve">Tabela </w:t>
      </w:r>
      <w:r w:rsidR="00121D79">
        <w:rPr>
          <w:rFonts w:ascii="Times New Roman" w:hAnsi="Times New Roman"/>
        </w:rPr>
        <w:t>1</w:t>
      </w:r>
      <w:r w:rsidRPr="00402E9C">
        <w:rPr>
          <w:rFonts w:ascii="Times New Roman" w:hAnsi="Times New Roman"/>
        </w:rPr>
        <w:t xml:space="preserve">: Matriz de </w:t>
      </w:r>
      <w:r w:rsidR="006506BE" w:rsidRPr="00402E9C">
        <w:rPr>
          <w:rFonts w:ascii="Times New Roman" w:hAnsi="Times New Roman"/>
        </w:rPr>
        <w:t xml:space="preserve">pertinência, </w:t>
      </w:r>
      <w:r w:rsidRPr="00402E9C">
        <w:rPr>
          <w:rFonts w:ascii="Times New Roman" w:hAnsi="Times New Roman"/>
        </w:rPr>
        <w:t xml:space="preserve">probabilidade e </w:t>
      </w:r>
      <w:proofErr w:type="spellStart"/>
      <w:r w:rsidRPr="00402E9C">
        <w:rPr>
          <w:rFonts w:ascii="Times New Roman" w:hAnsi="Times New Roman"/>
        </w:rPr>
        <w:t>favorabilidade</w:t>
      </w:r>
      <w:proofErr w:type="spellEnd"/>
      <w:r w:rsidRPr="00402E9C">
        <w:rPr>
          <w:rFonts w:ascii="Times New Roman" w:hAnsi="Times New Roman"/>
        </w:rPr>
        <w:t xml:space="preserve"> dos eventos: cenários de F&amp;A</w:t>
      </w:r>
      <w:bookmarkEnd w:id="22"/>
      <w:bookmarkEnd w:id="23"/>
    </w:p>
    <w:tbl>
      <w:tblPr>
        <w:tblW w:w="9074" w:type="dxa"/>
        <w:jc w:val="center"/>
        <w:tblBorders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332"/>
        <w:gridCol w:w="1418"/>
        <w:gridCol w:w="1559"/>
        <w:gridCol w:w="1701"/>
      </w:tblGrid>
      <w:tr w:rsidR="00C24DC3" w:rsidRPr="00402E9C" w14:paraId="1C14E9B4" w14:textId="77777777" w:rsidTr="00AC0385">
        <w:trPr>
          <w:trHeight w:val="57"/>
          <w:tblHeader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2126F99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  <w:r w:rsidRPr="00402E9C">
              <w:rPr>
                <w:rStyle w:val="Forte"/>
                <w:b/>
              </w:rPr>
              <w:t>Nº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4FFD59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  <w:r w:rsidRPr="00402E9C">
              <w:rPr>
                <w:rStyle w:val="Forte"/>
                <w:b/>
              </w:rPr>
              <w:t>Descrição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2515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  <w:r w:rsidRPr="00402E9C">
              <w:rPr>
                <w:rStyle w:val="Forte"/>
                <w:b/>
              </w:rPr>
              <w:t>Pertinência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168A19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  <w:r w:rsidRPr="00402E9C">
              <w:rPr>
                <w:rStyle w:val="Forte"/>
                <w:b/>
              </w:rPr>
              <w:t>Probabilidade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BBC9109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  <w:proofErr w:type="spellStart"/>
            <w:r w:rsidRPr="00402E9C">
              <w:rPr>
                <w:rStyle w:val="Forte"/>
                <w:b/>
              </w:rPr>
              <w:t>Favorabilidade</w:t>
            </w:r>
            <w:proofErr w:type="spellEnd"/>
          </w:p>
        </w:tc>
      </w:tr>
      <w:tr w:rsidR="00C24DC3" w:rsidRPr="00402E9C" w14:paraId="28DFBEE7" w14:textId="77777777" w:rsidTr="00AC0385">
        <w:trPr>
          <w:trHeight w:val="57"/>
          <w:tblHeader/>
          <w:jc w:val="center"/>
        </w:trPr>
        <w:tc>
          <w:tcPr>
            <w:tcW w:w="10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956534A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FC620DD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E79619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  <w:r w:rsidRPr="00402E9C">
              <w:rPr>
                <w:rStyle w:val="Forte"/>
                <w:b/>
              </w:rPr>
              <w:t>Média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7638C9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  <w:r w:rsidRPr="00402E9C">
              <w:rPr>
                <w:rStyle w:val="Forte"/>
                <w:b/>
              </w:rPr>
              <w:t>Média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6D72F3" w14:textId="77777777" w:rsidR="00C24DC3" w:rsidRPr="00402E9C" w:rsidRDefault="00C24DC3" w:rsidP="00C24DC3">
            <w:pPr>
              <w:jc w:val="center"/>
              <w:rPr>
                <w:rStyle w:val="Forte"/>
                <w:b/>
              </w:rPr>
            </w:pPr>
            <w:r w:rsidRPr="00402E9C">
              <w:rPr>
                <w:rStyle w:val="Forte"/>
                <w:b/>
              </w:rPr>
              <w:t>Média</w:t>
            </w:r>
          </w:p>
        </w:tc>
      </w:tr>
      <w:tr w:rsidR="00C24DC3" w:rsidRPr="00402E9C" w14:paraId="76E18BEC" w14:textId="77777777" w:rsidTr="00AC0385">
        <w:trPr>
          <w:trHeight w:val="57"/>
          <w:jc w:val="center"/>
        </w:trPr>
        <w:tc>
          <w:tcPr>
            <w:tcW w:w="1064" w:type="dxa"/>
            <w:tcBorders>
              <w:top w:val="single" w:sz="12" w:space="0" w:color="auto"/>
            </w:tcBorders>
            <w:shd w:val="clear" w:color="auto" w:fill="FFFFFF"/>
            <w:hideMark/>
          </w:tcPr>
          <w:p w14:paraId="2AAB699A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FFFFFF"/>
            <w:hideMark/>
          </w:tcPr>
          <w:p w14:paraId="0CFF0FF1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Maximização de ativos ou evitar sua perda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0133F9B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8,20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</w:tcPr>
          <w:p w14:paraId="6D7BF9D8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</w:tcPr>
          <w:p w14:paraId="482CB9D2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0,74</w:t>
            </w:r>
          </w:p>
        </w:tc>
      </w:tr>
      <w:tr w:rsidR="00C24DC3" w:rsidRPr="00402E9C" w14:paraId="583AC317" w14:textId="77777777" w:rsidTr="00AC0385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45C1C662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2</w:t>
            </w:r>
          </w:p>
        </w:tc>
        <w:tc>
          <w:tcPr>
            <w:tcW w:w="3332" w:type="dxa"/>
            <w:shd w:val="clear" w:color="auto" w:fill="FFFFFF"/>
            <w:hideMark/>
          </w:tcPr>
          <w:p w14:paraId="35E47BF0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Ganho de escala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7373F7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7,80</w:t>
            </w:r>
          </w:p>
        </w:tc>
        <w:tc>
          <w:tcPr>
            <w:tcW w:w="1559" w:type="dxa"/>
            <w:shd w:val="clear" w:color="auto" w:fill="FFFFFF"/>
          </w:tcPr>
          <w:p w14:paraId="7D349308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0,75</w:t>
            </w:r>
          </w:p>
        </w:tc>
        <w:tc>
          <w:tcPr>
            <w:tcW w:w="1701" w:type="dxa"/>
            <w:shd w:val="clear" w:color="auto" w:fill="FFFFFF"/>
          </w:tcPr>
          <w:p w14:paraId="64F9A4F9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0,72</w:t>
            </w:r>
          </w:p>
        </w:tc>
      </w:tr>
      <w:tr w:rsidR="00C24DC3" w:rsidRPr="00402E9C" w14:paraId="3A4BDFDA" w14:textId="77777777" w:rsidTr="00AC0385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615B3301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3</w:t>
            </w:r>
          </w:p>
        </w:tc>
        <w:tc>
          <w:tcPr>
            <w:tcW w:w="3332" w:type="dxa"/>
            <w:shd w:val="clear" w:color="auto" w:fill="FFFFFF"/>
            <w:hideMark/>
          </w:tcPr>
          <w:p w14:paraId="02C08B8D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Redução de custo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B66010" w14:textId="389779AB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7,20</w:t>
            </w:r>
          </w:p>
        </w:tc>
        <w:tc>
          <w:tcPr>
            <w:tcW w:w="1559" w:type="dxa"/>
            <w:shd w:val="clear" w:color="auto" w:fill="FFFFFF"/>
          </w:tcPr>
          <w:p w14:paraId="0290165E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0,74</w:t>
            </w:r>
          </w:p>
        </w:tc>
        <w:tc>
          <w:tcPr>
            <w:tcW w:w="1701" w:type="dxa"/>
            <w:shd w:val="clear" w:color="auto" w:fill="FFFFFF"/>
          </w:tcPr>
          <w:p w14:paraId="6CB6C260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0,75</w:t>
            </w:r>
          </w:p>
        </w:tc>
      </w:tr>
      <w:tr w:rsidR="00C24DC3" w:rsidRPr="00402E9C" w14:paraId="31482419" w14:textId="77777777" w:rsidTr="00AC0385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0BD78C3C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4</w:t>
            </w:r>
          </w:p>
        </w:tc>
        <w:tc>
          <w:tcPr>
            <w:tcW w:w="3332" w:type="dxa"/>
            <w:shd w:val="clear" w:color="auto" w:fill="FFFFFF"/>
            <w:hideMark/>
          </w:tcPr>
          <w:p w14:paraId="672B8BB2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Crescimento do negócio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9B2AD2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8,27</w:t>
            </w:r>
          </w:p>
        </w:tc>
        <w:tc>
          <w:tcPr>
            <w:tcW w:w="1559" w:type="dxa"/>
            <w:shd w:val="clear" w:color="auto" w:fill="FFFFFF"/>
          </w:tcPr>
          <w:p w14:paraId="37C67722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0,84</w:t>
            </w:r>
          </w:p>
        </w:tc>
        <w:tc>
          <w:tcPr>
            <w:tcW w:w="1701" w:type="dxa"/>
            <w:shd w:val="clear" w:color="auto" w:fill="FFFFFF"/>
          </w:tcPr>
          <w:p w14:paraId="53D519B5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0,82</w:t>
            </w:r>
          </w:p>
        </w:tc>
      </w:tr>
      <w:tr w:rsidR="00C24DC3" w:rsidRPr="00402E9C" w14:paraId="4879F896" w14:textId="77777777" w:rsidTr="00121D79">
        <w:trPr>
          <w:trHeight w:val="177"/>
          <w:jc w:val="center"/>
        </w:trPr>
        <w:tc>
          <w:tcPr>
            <w:tcW w:w="1064" w:type="dxa"/>
            <w:shd w:val="clear" w:color="auto" w:fill="FFFFFF"/>
            <w:hideMark/>
          </w:tcPr>
          <w:p w14:paraId="379DA9C6" w14:textId="77777777" w:rsidR="00C24DC3" w:rsidRPr="00402E9C" w:rsidRDefault="00C24DC3" w:rsidP="00121D79">
            <w:pPr>
              <w:rPr>
                <w:rStyle w:val="Forte"/>
              </w:rPr>
            </w:pPr>
            <w:r w:rsidRPr="00402E9C">
              <w:rPr>
                <w:rStyle w:val="Forte"/>
              </w:rPr>
              <w:lastRenderedPageBreak/>
              <w:t>Evento 5</w:t>
            </w:r>
          </w:p>
        </w:tc>
        <w:tc>
          <w:tcPr>
            <w:tcW w:w="3332" w:type="dxa"/>
            <w:shd w:val="clear" w:color="auto" w:fill="FFFFFF"/>
            <w:hideMark/>
          </w:tcPr>
          <w:p w14:paraId="3686F0D7" w14:textId="77777777" w:rsidR="00C24DC3" w:rsidRPr="00402E9C" w:rsidRDefault="00C24DC3" w:rsidP="00121D79">
            <w:pPr>
              <w:rPr>
                <w:rStyle w:val="Forte"/>
              </w:rPr>
            </w:pPr>
            <w:r w:rsidRPr="00402E9C">
              <w:rPr>
                <w:rStyle w:val="Forte"/>
              </w:rPr>
              <w:t>Estratégia para entrada em novos mercados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58D3B2" w14:textId="2C7246FF" w:rsidR="00C24DC3" w:rsidRPr="00121D79" w:rsidRDefault="00C24DC3" w:rsidP="00121D79">
            <w:pPr>
              <w:jc w:val="center"/>
              <w:rPr>
                <w:bCs/>
                <w:sz w:val="18"/>
                <w:szCs w:val="18"/>
              </w:rPr>
            </w:pPr>
            <w:r w:rsidRPr="00402E9C">
              <w:rPr>
                <w:rStyle w:val="Forte"/>
              </w:rPr>
              <w:t>7,47</w:t>
            </w:r>
          </w:p>
        </w:tc>
        <w:tc>
          <w:tcPr>
            <w:tcW w:w="1559" w:type="dxa"/>
            <w:shd w:val="clear" w:color="auto" w:fill="FFFFFF"/>
          </w:tcPr>
          <w:p w14:paraId="15BE1A06" w14:textId="77777777" w:rsidR="00C24DC3" w:rsidRPr="00402E9C" w:rsidRDefault="00C24DC3" w:rsidP="00121D79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0,73</w:t>
            </w:r>
          </w:p>
        </w:tc>
        <w:tc>
          <w:tcPr>
            <w:tcW w:w="1701" w:type="dxa"/>
            <w:shd w:val="clear" w:color="auto" w:fill="FFFFFF"/>
          </w:tcPr>
          <w:p w14:paraId="38F92129" w14:textId="77777777" w:rsidR="00C24DC3" w:rsidRPr="00402E9C" w:rsidRDefault="00C24DC3" w:rsidP="00121D79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0,67</w:t>
            </w:r>
          </w:p>
        </w:tc>
      </w:tr>
      <w:tr w:rsidR="00C24DC3" w:rsidRPr="00402E9C" w14:paraId="4389D71E" w14:textId="77777777" w:rsidTr="00AC0385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0A427267" w14:textId="77777777" w:rsidR="00C24DC3" w:rsidRPr="00402E9C" w:rsidRDefault="00C24DC3" w:rsidP="00121D79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6</w:t>
            </w:r>
          </w:p>
        </w:tc>
        <w:tc>
          <w:tcPr>
            <w:tcW w:w="3332" w:type="dxa"/>
            <w:shd w:val="clear" w:color="auto" w:fill="FFFFFF"/>
            <w:hideMark/>
          </w:tcPr>
          <w:p w14:paraId="322BA014" w14:textId="77777777" w:rsidR="00C24DC3" w:rsidRPr="00402E9C" w:rsidRDefault="00C24DC3" w:rsidP="00121D79">
            <w:pPr>
              <w:rPr>
                <w:rStyle w:val="Forte"/>
              </w:rPr>
            </w:pPr>
            <w:r w:rsidRPr="00402E9C">
              <w:rPr>
                <w:rStyle w:val="Forte"/>
              </w:rPr>
              <w:t>Maior participação de mercado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A8DDC1" w14:textId="77777777" w:rsidR="00C24DC3" w:rsidRPr="00402E9C" w:rsidRDefault="00C24DC3" w:rsidP="00121D79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7,73</w:t>
            </w:r>
          </w:p>
        </w:tc>
        <w:tc>
          <w:tcPr>
            <w:tcW w:w="1559" w:type="dxa"/>
            <w:shd w:val="clear" w:color="auto" w:fill="FFFFFF"/>
          </w:tcPr>
          <w:p w14:paraId="3F5021AF" w14:textId="77777777" w:rsidR="00C24DC3" w:rsidRPr="00402E9C" w:rsidRDefault="00C24DC3" w:rsidP="00121D79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0,84</w:t>
            </w:r>
          </w:p>
        </w:tc>
        <w:tc>
          <w:tcPr>
            <w:tcW w:w="1701" w:type="dxa"/>
            <w:shd w:val="clear" w:color="auto" w:fill="FFFFFF"/>
          </w:tcPr>
          <w:p w14:paraId="002917FC" w14:textId="77777777" w:rsidR="00C24DC3" w:rsidRPr="00402E9C" w:rsidRDefault="00C24DC3" w:rsidP="00121D79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0,74</w:t>
            </w:r>
          </w:p>
        </w:tc>
      </w:tr>
      <w:tr w:rsidR="00C24DC3" w:rsidRPr="00402E9C" w14:paraId="4E2FFC2F" w14:textId="77777777" w:rsidTr="00AC0385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1A0E7910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7</w:t>
            </w:r>
          </w:p>
        </w:tc>
        <w:tc>
          <w:tcPr>
            <w:tcW w:w="3332" w:type="dxa"/>
            <w:shd w:val="clear" w:color="auto" w:fill="FFFFFF"/>
            <w:hideMark/>
          </w:tcPr>
          <w:p w14:paraId="38471089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Aumento da lucratividade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523AAD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7,60</w:t>
            </w:r>
          </w:p>
        </w:tc>
        <w:tc>
          <w:tcPr>
            <w:tcW w:w="1559" w:type="dxa"/>
            <w:shd w:val="clear" w:color="auto" w:fill="FFFFFF"/>
          </w:tcPr>
          <w:p w14:paraId="02A1CFB3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0,80</w:t>
            </w:r>
          </w:p>
        </w:tc>
        <w:tc>
          <w:tcPr>
            <w:tcW w:w="1701" w:type="dxa"/>
            <w:shd w:val="clear" w:color="auto" w:fill="FFFFFF"/>
          </w:tcPr>
          <w:p w14:paraId="14A9B922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0,76</w:t>
            </w:r>
          </w:p>
        </w:tc>
      </w:tr>
      <w:tr w:rsidR="00C24DC3" w:rsidRPr="00402E9C" w14:paraId="30EF0FA7" w14:textId="77777777" w:rsidTr="00AC0385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21EA75B6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8</w:t>
            </w:r>
          </w:p>
        </w:tc>
        <w:tc>
          <w:tcPr>
            <w:tcW w:w="3332" w:type="dxa"/>
            <w:shd w:val="clear" w:color="auto" w:fill="FFFFFF"/>
            <w:hideMark/>
          </w:tcPr>
          <w:p w14:paraId="3AB28A67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Aumento da produtividade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746F9A" w14:textId="4D10344F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7,20</w:t>
            </w:r>
          </w:p>
        </w:tc>
        <w:tc>
          <w:tcPr>
            <w:tcW w:w="1559" w:type="dxa"/>
            <w:shd w:val="clear" w:color="auto" w:fill="FFFFFF"/>
          </w:tcPr>
          <w:p w14:paraId="03EA4D27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0,75</w:t>
            </w:r>
          </w:p>
        </w:tc>
        <w:tc>
          <w:tcPr>
            <w:tcW w:w="1701" w:type="dxa"/>
            <w:shd w:val="clear" w:color="auto" w:fill="FFFFFF"/>
          </w:tcPr>
          <w:p w14:paraId="4E9E7B5A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0,78</w:t>
            </w:r>
          </w:p>
        </w:tc>
      </w:tr>
      <w:tr w:rsidR="00C24DC3" w:rsidRPr="00402E9C" w14:paraId="1BC8377B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5E3838FB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9</w:t>
            </w:r>
          </w:p>
        </w:tc>
        <w:tc>
          <w:tcPr>
            <w:tcW w:w="3332" w:type="dxa"/>
            <w:shd w:val="clear" w:color="auto" w:fill="FFFFFF"/>
            <w:hideMark/>
          </w:tcPr>
          <w:p w14:paraId="2DEEE1AE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Ampliação da rede de distribuição e logística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54AAA6" w14:textId="774C4402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6,40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23855D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BFF934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0,73</w:t>
            </w:r>
          </w:p>
        </w:tc>
      </w:tr>
      <w:tr w:rsidR="00C24DC3" w:rsidRPr="00402E9C" w14:paraId="3F33193C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6B051943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10</w:t>
            </w:r>
          </w:p>
        </w:tc>
        <w:tc>
          <w:tcPr>
            <w:tcW w:w="3332" w:type="dxa"/>
            <w:shd w:val="clear" w:color="auto" w:fill="FFFFFF"/>
            <w:hideMark/>
          </w:tcPr>
          <w:p w14:paraId="3DA7064B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Obtenção da know-how coorporativo (tecnologia, práticas gerenciais e de mercado)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A934E6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5F4A99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3BDB0C4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0,70</w:t>
            </w:r>
          </w:p>
        </w:tc>
      </w:tr>
      <w:tr w:rsidR="00C24DC3" w:rsidRPr="00402E9C" w14:paraId="0DC799BC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265BD7F5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11</w:t>
            </w:r>
          </w:p>
        </w:tc>
        <w:tc>
          <w:tcPr>
            <w:tcW w:w="3332" w:type="dxa"/>
            <w:shd w:val="clear" w:color="auto" w:fill="FFFFFF"/>
            <w:hideMark/>
          </w:tcPr>
          <w:p w14:paraId="2C789E95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Mudanças radicais na conjuntura política nacional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688608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EABAD3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0DE2ED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0,44</w:t>
            </w:r>
          </w:p>
        </w:tc>
      </w:tr>
      <w:tr w:rsidR="00C24DC3" w:rsidRPr="00402E9C" w14:paraId="0BCBCA29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3D6169AF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12</w:t>
            </w:r>
          </w:p>
        </w:tc>
        <w:tc>
          <w:tcPr>
            <w:tcW w:w="3332" w:type="dxa"/>
            <w:shd w:val="clear" w:color="auto" w:fill="FFFFFF"/>
            <w:hideMark/>
          </w:tcPr>
          <w:p w14:paraId="5D2034BE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Mudanças radicais na conjuntura política internacional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943284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62D575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A3CBBD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0,48</w:t>
            </w:r>
          </w:p>
        </w:tc>
      </w:tr>
      <w:tr w:rsidR="00C24DC3" w:rsidRPr="00402E9C" w14:paraId="68830316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241738B9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13</w:t>
            </w:r>
          </w:p>
        </w:tc>
        <w:tc>
          <w:tcPr>
            <w:tcW w:w="3332" w:type="dxa"/>
            <w:shd w:val="clear" w:color="auto" w:fill="FFFFFF"/>
            <w:hideMark/>
          </w:tcPr>
          <w:p w14:paraId="29E7E308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Aumento significativo dos investimentos no país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FD6ADF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6,67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F9B2FE" w14:textId="2C03AFB4" w:rsidR="00C24DC3" w:rsidRPr="00402E9C" w:rsidRDefault="006B1FF1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*</w:t>
            </w:r>
            <w:r w:rsidR="00C24DC3" w:rsidRPr="00402E9C">
              <w:rPr>
                <w:rStyle w:val="Forte"/>
              </w:rPr>
              <w:t>0,64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154AD24" w14:textId="44422763" w:rsidR="00C24DC3" w:rsidRPr="00402E9C" w:rsidRDefault="006B1FF1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*</w:t>
            </w:r>
            <w:r w:rsidR="00C24DC3" w:rsidRPr="00402E9C">
              <w:rPr>
                <w:rStyle w:val="Forte"/>
              </w:rPr>
              <w:t>0,64</w:t>
            </w:r>
          </w:p>
        </w:tc>
      </w:tr>
      <w:tr w:rsidR="00C24DC3" w:rsidRPr="00402E9C" w14:paraId="6CA08333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051A4800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14</w:t>
            </w:r>
          </w:p>
        </w:tc>
        <w:tc>
          <w:tcPr>
            <w:tcW w:w="3332" w:type="dxa"/>
            <w:shd w:val="clear" w:color="auto" w:fill="FFFFFF"/>
            <w:hideMark/>
          </w:tcPr>
          <w:p w14:paraId="5C48D5C8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Aumento da inflação no país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3E32D1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6,40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3081F8" w14:textId="2FE239FD" w:rsidR="00C24DC3" w:rsidRPr="00402E9C" w:rsidRDefault="006B1FF1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*</w:t>
            </w:r>
            <w:r w:rsidR="00C24DC3" w:rsidRPr="00402E9C">
              <w:rPr>
                <w:rStyle w:val="Forte"/>
              </w:rPr>
              <w:t>0,51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F705A6" w14:textId="32B0D77A" w:rsidR="00C24DC3" w:rsidRPr="00402E9C" w:rsidRDefault="006B1FF1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*</w:t>
            </w:r>
            <w:r w:rsidR="00C24DC3" w:rsidRPr="00402E9C">
              <w:rPr>
                <w:rStyle w:val="Forte"/>
              </w:rPr>
              <w:t>0,30</w:t>
            </w:r>
          </w:p>
        </w:tc>
      </w:tr>
      <w:tr w:rsidR="00C24DC3" w:rsidRPr="00402E9C" w14:paraId="0832FE5C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64D629D2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15</w:t>
            </w:r>
          </w:p>
        </w:tc>
        <w:tc>
          <w:tcPr>
            <w:tcW w:w="3332" w:type="dxa"/>
            <w:shd w:val="clear" w:color="auto" w:fill="FFFFFF"/>
            <w:hideMark/>
          </w:tcPr>
          <w:p w14:paraId="070F4585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Aumento da taxa de juros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EAA5D4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6,67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E89DCB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FA3E40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0,36</w:t>
            </w:r>
          </w:p>
        </w:tc>
      </w:tr>
      <w:tr w:rsidR="00C24DC3" w:rsidRPr="00402E9C" w14:paraId="25A6125E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2754D27C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16</w:t>
            </w:r>
          </w:p>
        </w:tc>
        <w:tc>
          <w:tcPr>
            <w:tcW w:w="3332" w:type="dxa"/>
            <w:shd w:val="clear" w:color="auto" w:fill="FFFFFF"/>
            <w:hideMark/>
          </w:tcPr>
          <w:p w14:paraId="7C1BA853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Aumento dos níveis de corrupção no Brasil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C156AB8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ABE457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963D319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0,27</w:t>
            </w:r>
          </w:p>
        </w:tc>
      </w:tr>
      <w:tr w:rsidR="00C24DC3" w:rsidRPr="00402E9C" w14:paraId="649EF895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6F1B6109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17</w:t>
            </w:r>
          </w:p>
        </w:tc>
        <w:tc>
          <w:tcPr>
            <w:tcW w:w="3332" w:type="dxa"/>
            <w:shd w:val="clear" w:color="auto" w:fill="FFFFFF"/>
            <w:hideMark/>
          </w:tcPr>
          <w:p w14:paraId="08667BA7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Desvalorização da moeda nacional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A26000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6,80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49D1E5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05F544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0,42</w:t>
            </w:r>
          </w:p>
        </w:tc>
      </w:tr>
      <w:tr w:rsidR="00C24DC3" w:rsidRPr="00402E9C" w14:paraId="587131D1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41B365E3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18</w:t>
            </w:r>
          </w:p>
        </w:tc>
        <w:tc>
          <w:tcPr>
            <w:tcW w:w="3332" w:type="dxa"/>
            <w:shd w:val="clear" w:color="auto" w:fill="FFFFFF"/>
            <w:hideMark/>
          </w:tcPr>
          <w:p w14:paraId="1A5895AD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Maior abertura do BNDES para a liberação de crédito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72CA04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6,47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BCCFD2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7D995B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0,58</w:t>
            </w:r>
          </w:p>
        </w:tc>
      </w:tr>
      <w:tr w:rsidR="00C24DC3" w:rsidRPr="00402E9C" w14:paraId="12714961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0990FF23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19</w:t>
            </w:r>
          </w:p>
        </w:tc>
        <w:tc>
          <w:tcPr>
            <w:tcW w:w="3332" w:type="dxa"/>
            <w:shd w:val="clear" w:color="auto" w:fill="FFFFFF"/>
            <w:hideMark/>
          </w:tcPr>
          <w:p w14:paraId="1A989DE3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 xml:space="preserve">Potencial do mercado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EDBB78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3DD8AB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ADC527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0,63</w:t>
            </w:r>
          </w:p>
        </w:tc>
      </w:tr>
      <w:tr w:rsidR="00C24DC3" w:rsidRPr="00402E9C" w14:paraId="45420092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1F18CA68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20</w:t>
            </w:r>
          </w:p>
        </w:tc>
        <w:tc>
          <w:tcPr>
            <w:tcW w:w="3332" w:type="dxa"/>
            <w:shd w:val="clear" w:color="auto" w:fill="FFFFFF"/>
            <w:hideMark/>
          </w:tcPr>
          <w:p w14:paraId="1519CC27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Equilíbrio da balança comercial Brasileira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B9BBE1" w14:textId="28CC9B34" w:rsidR="00C24DC3" w:rsidRPr="00402E9C" w:rsidRDefault="00721D3F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*</w:t>
            </w:r>
            <w:r w:rsidR="00C24DC3" w:rsidRPr="00402E9C">
              <w:rPr>
                <w:rStyle w:val="Forte"/>
              </w:rPr>
              <w:t>5,93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6953B3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0,59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4BCACE8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0,49</w:t>
            </w:r>
          </w:p>
        </w:tc>
      </w:tr>
      <w:tr w:rsidR="00C24DC3" w:rsidRPr="00402E9C" w14:paraId="77FD9057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101CB509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21</w:t>
            </w:r>
          </w:p>
        </w:tc>
        <w:tc>
          <w:tcPr>
            <w:tcW w:w="3332" w:type="dxa"/>
            <w:shd w:val="clear" w:color="auto" w:fill="FFFFFF"/>
            <w:hideMark/>
          </w:tcPr>
          <w:p w14:paraId="3859E580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Valorização do dólar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C6210F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EF3A2E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697C8C2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0,67</w:t>
            </w:r>
          </w:p>
        </w:tc>
      </w:tr>
      <w:tr w:rsidR="00C24DC3" w:rsidRPr="00402E9C" w14:paraId="1182637E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55975FF3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22</w:t>
            </w:r>
          </w:p>
        </w:tc>
        <w:tc>
          <w:tcPr>
            <w:tcW w:w="3332" w:type="dxa"/>
            <w:shd w:val="clear" w:color="auto" w:fill="FFFFFF"/>
            <w:hideMark/>
          </w:tcPr>
          <w:p w14:paraId="2B48E158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Maior diversificação de produtos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F9AE4F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8,07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A0CF28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383628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0,74</w:t>
            </w:r>
          </w:p>
        </w:tc>
      </w:tr>
      <w:tr w:rsidR="00C24DC3" w:rsidRPr="00402E9C" w14:paraId="6CABA099" w14:textId="77777777" w:rsidTr="00271160">
        <w:trPr>
          <w:trHeight w:val="57"/>
          <w:jc w:val="center"/>
        </w:trPr>
        <w:tc>
          <w:tcPr>
            <w:tcW w:w="1064" w:type="dxa"/>
            <w:shd w:val="clear" w:color="auto" w:fill="FFFFFF"/>
            <w:hideMark/>
          </w:tcPr>
          <w:p w14:paraId="522F8CC6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23</w:t>
            </w:r>
          </w:p>
        </w:tc>
        <w:tc>
          <w:tcPr>
            <w:tcW w:w="3332" w:type="dxa"/>
            <w:shd w:val="clear" w:color="auto" w:fill="FFFFFF"/>
            <w:hideMark/>
          </w:tcPr>
          <w:p w14:paraId="05386405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Integração da cadeia produtiva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F61D05B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7,43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832A45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0,77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F97288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0,67</w:t>
            </w:r>
          </w:p>
        </w:tc>
      </w:tr>
      <w:tr w:rsidR="00C24DC3" w:rsidRPr="00402E9C" w14:paraId="7D8DD1D1" w14:textId="77777777" w:rsidTr="00271160">
        <w:trPr>
          <w:trHeight w:val="430"/>
          <w:jc w:val="center"/>
        </w:trPr>
        <w:tc>
          <w:tcPr>
            <w:tcW w:w="1064" w:type="dxa"/>
            <w:tcBorders>
              <w:bottom w:val="single" w:sz="2" w:space="0" w:color="auto"/>
            </w:tcBorders>
            <w:shd w:val="clear" w:color="auto" w:fill="FFFFFF"/>
            <w:hideMark/>
          </w:tcPr>
          <w:p w14:paraId="0F3CFB94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24</w:t>
            </w:r>
          </w:p>
        </w:tc>
        <w:tc>
          <w:tcPr>
            <w:tcW w:w="3332" w:type="dxa"/>
            <w:tcBorders>
              <w:bottom w:val="single" w:sz="2" w:space="0" w:color="auto"/>
            </w:tcBorders>
            <w:shd w:val="clear" w:color="auto" w:fill="FFFFFF"/>
            <w:hideMark/>
          </w:tcPr>
          <w:p w14:paraId="318C291E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Aumento expressivo do investimento em obras de infraestrutura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69124142" w14:textId="77777777" w:rsidR="00C24DC3" w:rsidRPr="00402E9C" w:rsidRDefault="00C24DC3" w:rsidP="00C24DC3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6,73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7C5E6740" w14:textId="47866219" w:rsidR="00C24DC3" w:rsidRPr="00402E9C" w:rsidRDefault="006B1FF1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*</w:t>
            </w:r>
            <w:r w:rsidR="00C24DC3" w:rsidRPr="00402E9C">
              <w:rPr>
                <w:rStyle w:val="Forte"/>
              </w:rPr>
              <w:t>0,68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4CAC0021" w14:textId="7A2BE3FD" w:rsidR="00C24DC3" w:rsidRPr="00402E9C" w:rsidRDefault="006B1FF1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*</w:t>
            </w:r>
            <w:r w:rsidR="00C24DC3" w:rsidRPr="00402E9C">
              <w:rPr>
                <w:rStyle w:val="Forte"/>
              </w:rPr>
              <w:t>0,68</w:t>
            </w:r>
          </w:p>
        </w:tc>
      </w:tr>
      <w:tr w:rsidR="00C24DC3" w:rsidRPr="00402E9C" w14:paraId="7D29EB0A" w14:textId="77777777" w:rsidTr="00121D79">
        <w:trPr>
          <w:trHeight w:val="434"/>
          <w:jc w:val="center"/>
        </w:trPr>
        <w:tc>
          <w:tcPr>
            <w:tcW w:w="10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hideMark/>
          </w:tcPr>
          <w:p w14:paraId="44B74B57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Evento 25</w:t>
            </w:r>
          </w:p>
        </w:tc>
        <w:tc>
          <w:tcPr>
            <w:tcW w:w="33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hideMark/>
          </w:tcPr>
          <w:p w14:paraId="46D231BB" w14:textId="77777777" w:rsidR="00C24DC3" w:rsidRPr="00402E9C" w:rsidRDefault="00C24DC3" w:rsidP="00C24DC3">
            <w:pPr>
              <w:rPr>
                <w:rStyle w:val="Forte"/>
              </w:rPr>
            </w:pPr>
            <w:r w:rsidRPr="00402E9C">
              <w:rPr>
                <w:rStyle w:val="Forte"/>
              </w:rPr>
              <w:t>Estabelecimento de parcerias com os fornecedores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8CAA6B5" w14:textId="08B2F127" w:rsidR="00C24DC3" w:rsidRPr="00402E9C" w:rsidRDefault="00721D3F" w:rsidP="00C24DC3">
            <w:pPr>
              <w:jc w:val="center"/>
              <w:rPr>
                <w:rStyle w:val="Forte"/>
                <w:color w:val="FF0000"/>
              </w:rPr>
            </w:pPr>
            <w:r w:rsidRPr="00402E9C">
              <w:rPr>
                <w:rStyle w:val="Forte"/>
              </w:rPr>
              <w:t>*</w:t>
            </w:r>
            <w:r w:rsidR="00C24DC3" w:rsidRPr="00402E9C">
              <w:rPr>
                <w:rStyle w:val="Forte"/>
              </w:rPr>
              <w:t>5,53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16A2413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0,59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FF6E131" w14:textId="77777777" w:rsidR="00C24DC3" w:rsidRPr="00402E9C" w:rsidRDefault="00C24DC3" w:rsidP="00271160">
            <w:pPr>
              <w:jc w:val="center"/>
              <w:rPr>
                <w:rStyle w:val="Forte"/>
              </w:rPr>
            </w:pPr>
            <w:r w:rsidRPr="00402E9C">
              <w:rPr>
                <w:rStyle w:val="Forte"/>
              </w:rPr>
              <w:t>0,63</w:t>
            </w:r>
          </w:p>
        </w:tc>
      </w:tr>
    </w:tbl>
    <w:p w14:paraId="2418250A" w14:textId="48C2D9AF" w:rsidR="00917BAD" w:rsidRPr="00696E74" w:rsidRDefault="00132493" w:rsidP="00D235DD">
      <w:pPr>
        <w:rPr>
          <w:sz w:val="20"/>
          <w:szCs w:val="20"/>
        </w:rPr>
      </w:pPr>
      <w:bookmarkStart w:id="24" w:name="_Toc532688606"/>
      <w:bookmarkStart w:id="25" w:name="_Toc532850571"/>
      <w:r w:rsidRPr="00402E9C">
        <w:rPr>
          <w:rStyle w:val="nfase"/>
        </w:rPr>
        <w:t>Fonte: Elaborada pelo</w:t>
      </w:r>
      <w:r w:rsidR="00AD1DBD">
        <w:rPr>
          <w:rStyle w:val="nfase"/>
        </w:rPr>
        <w:t>s</w:t>
      </w:r>
      <w:r w:rsidRPr="00402E9C">
        <w:rPr>
          <w:rStyle w:val="nfase"/>
        </w:rPr>
        <w:t xml:space="preserve"> autor</w:t>
      </w:r>
      <w:r w:rsidR="00C53F77" w:rsidRPr="00402E9C">
        <w:rPr>
          <w:rStyle w:val="nfase"/>
        </w:rPr>
        <w:t xml:space="preserve">es </w:t>
      </w:r>
      <w:r w:rsidRPr="00402E9C">
        <w:rPr>
          <w:rStyle w:val="nfase"/>
        </w:rPr>
        <w:t>(2018)</w:t>
      </w:r>
      <w:r w:rsidR="00C53F77" w:rsidRPr="00402E9C">
        <w:rPr>
          <w:rStyle w:val="nfase"/>
        </w:rPr>
        <w:t>.</w:t>
      </w:r>
      <w:bookmarkStart w:id="26" w:name="_Toc532850574"/>
      <w:bookmarkEnd w:id="24"/>
      <w:bookmarkEnd w:id="25"/>
    </w:p>
    <w:p w14:paraId="50F2BEAA" w14:textId="19C8153F" w:rsidR="00AD1DBD" w:rsidRPr="00121D79" w:rsidRDefault="00D235DD" w:rsidP="00121D79">
      <w:pPr>
        <w:ind w:firstLine="567"/>
        <w:jc w:val="both"/>
        <w:rPr>
          <w:shd w:val="clear" w:color="auto" w:fill="FFFFFF"/>
        </w:rPr>
      </w:pPr>
      <w:r w:rsidRPr="00402E9C">
        <w:rPr>
          <w:shd w:val="clear" w:color="auto" w:fill="FFFFFF"/>
        </w:rPr>
        <w:t xml:space="preserve">Aos participantes foi apresentada tela contendo a lista de eventos na qual eles classificaram cada evento. A ferramenta de votação foi usada para produzir uma lista de médias e desvios padrão das medidas de </w:t>
      </w:r>
      <w:r w:rsidR="00575294" w:rsidRPr="00402E9C">
        <w:rPr>
          <w:shd w:val="clear" w:color="auto" w:fill="FFFFFF"/>
        </w:rPr>
        <w:t xml:space="preserve">pertinência, </w:t>
      </w:r>
      <w:r w:rsidRPr="00402E9C">
        <w:rPr>
          <w:shd w:val="clear" w:color="auto" w:fill="FFFFFF"/>
        </w:rPr>
        <w:t>probabilidade</w:t>
      </w:r>
      <w:r w:rsidR="00575294" w:rsidRPr="00402E9C">
        <w:rPr>
          <w:shd w:val="clear" w:color="auto" w:fill="FFFFFF"/>
        </w:rPr>
        <w:t xml:space="preserve"> e </w:t>
      </w:r>
      <w:proofErr w:type="spellStart"/>
      <w:r w:rsidRPr="00402E9C">
        <w:rPr>
          <w:shd w:val="clear" w:color="auto" w:fill="FFFFFF"/>
        </w:rPr>
        <w:t>favorabilidade</w:t>
      </w:r>
      <w:proofErr w:type="spellEnd"/>
      <w:r w:rsidRPr="00402E9C">
        <w:rPr>
          <w:shd w:val="clear" w:color="auto" w:fill="FFFFFF"/>
        </w:rPr>
        <w:t xml:space="preserve"> para cada evento</w:t>
      </w:r>
      <w:r w:rsidR="00121D79">
        <w:rPr>
          <w:shd w:val="clear" w:color="auto" w:fill="FFFFFF"/>
        </w:rPr>
        <w:t>.</w:t>
      </w:r>
    </w:p>
    <w:p w14:paraId="75199989" w14:textId="27C4F702" w:rsidR="000F4CB5" w:rsidRPr="00696E74" w:rsidRDefault="005C4A62" w:rsidP="00696E74">
      <w:pPr>
        <w:pStyle w:val="Ttulo1"/>
        <w:spacing w:before="0" w:after="0" w:line="240" w:lineRule="auto"/>
        <w:ind w:left="0" w:firstLine="0"/>
        <w:rPr>
          <w:rFonts w:ascii="Times New Roman" w:hAnsi="Times New Roman"/>
        </w:rPr>
      </w:pPr>
      <w:r w:rsidRPr="00402E9C">
        <w:rPr>
          <w:rFonts w:ascii="Times New Roman" w:hAnsi="Times New Roman"/>
        </w:rPr>
        <w:t>4.4 REDUÇÃO D</w:t>
      </w:r>
      <w:bookmarkEnd w:id="26"/>
      <w:r w:rsidRPr="00402E9C">
        <w:rPr>
          <w:rFonts w:ascii="Times New Roman" w:hAnsi="Times New Roman"/>
        </w:rPr>
        <w:t>OS EVENTOS</w:t>
      </w:r>
    </w:p>
    <w:p w14:paraId="2ECC196E" w14:textId="1D015CDA" w:rsidR="00AD1DBD" w:rsidRDefault="00FA2E54" w:rsidP="00AD1DBD">
      <w:pPr>
        <w:ind w:firstLine="567"/>
        <w:jc w:val="both"/>
      </w:pPr>
      <w:r w:rsidRPr="00402E9C">
        <w:t>Como forma de redução da quantidade de variáveis, f</w:t>
      </w:r>
      <w:r w:rsidR="00334B3E" w:rsidRPr="00402E9C">
        <w:t>oi calculad</w:t>
      </w:r>
      <w:r w:rsidR="00A2038A" w:rsidRPr="00402E9C">
        <w:t>a</w:t>
      </w:r>
      <w:r w:rsidR="00334B3E" w:rsidRPr="00402E9C">
        <w:t xml:space="preserve"> a média e o desvio-padrão dos 2</w:t>
      </w:r>
      <w:r w:rsidR="00351B38" w:rsidRPr="00402E9C">
        <w:t>5</w:t>
      </w:r>
      <w:r w:rsidR="003A7300" w:rsidRPr="00402E9C">
        <w:t xml:space="preserve"> eventos</w:t>
      </w:r>
      <w:r w:rsidR="00334B3E" w:rsidRPr="00402E9C">
        <w:t xml:space="preserve"> da classificação pertinência e encont</w:t>
      </w:r>
      <w:r w:rsidR="00CE5D99" w:rsidRPr="00402E9C">
        <w:t xml:space="preserve">rado o coeficiente de variação </w:t>
      </w:r>
      <w:r w:rsidR="00A22989" w:rsidRPr="00402E9C">
        <w:t xml:space="preserve">por </w:t>
      </w:r>
      <w:r w:rsidR="00A2038A" w:rsidRPr="00402E9C">
        <w:t>meio</w:t>
      </w:r>
      <w:r w:rsidR="00CE5D99" w:rsidRPr="00402E9C">
        <w:t xml:space="preserve"> da </w:t>
      </w:r>
      <w:r w:rsidR="00850021" w:rsidRPr="00402E9C">
        <w:t>equação</w:t>
      </w:r>
      <w:r w:rsidR="003A7300" w:rsidRPr="00402E9C">
        <w:t xml:space="preserve"> 1</w:t>
      </w:r>
      <w:r w:rsidR="00CF4EC4" w:rsidRPr="00402E9C">
        <w:t>.</w:t>
      </w:r>
      <w:r w:rsidR="00334B3E" w:rsidRPr="00402E9C">
        <w:t xml:space="preserve"> </w:t>
      </w:r>
    </w:p>
    <w:p w14:paraId="013BC65B" w14:textId="5F9DE9D9" w:rsidR="0073162A" w:rsidRPr="00402E9C" w:rsidRDefault="0073162A" w:rsidP="00AD1DBD">
      <w:pPr>
        <w:ind w:firstLine="567"/>
        <w:jc w:val="both"/>
      </w:pPr>
      <w:r w:rsidRPr="00402E9C">
        <w:t xml:space="preserve">A Tabela </w:t>
      </w:r>
      <w:r w:rsidR="00121D79">
        <w:t>2</w:t>
      </w:r>
      <w:r w:rsidRPr="00402E9C">
        <w:t xml:space="preserve"> apresenta</w:t>
      </w:r>
      <w:r w:rsidR="00151058" w:rsidRPr="00402E9C">
        <w:t xml:space="preserve"> o resultado do</w:t>
      </w:r>
      <w:r w:rsidRPr="00402E9C">
        <w:t xml:space="preserve"> </w:t>
      </w:r>
      <w:r w:rsidR="00151058" w:rsidRPr="00402E9C">
        <w:t>CV calculado para os</w:t>
      </w:r>
      <w:r w:rsidRPr="00402E9C">
        <w:t xml:space="preserve"> eventos que foram agrupados e </w:t>
      </w:r>
      <w:r w:rsidR="00151058" w:rsidRPr="00402E9C">
        <w:t>de acordo com a</w:t>
      </w:r>
      <w:r w:rsidRPr="00402E9C">
        <w:t xml:space="preserve"> votação realizada pelos dos peritos</w:t>
      </w:r>
      <w:r w:rsidR="00151058" w:rsidRPr="00402E9C">
        <w:t>.</w:t>
      </w:r>
    </w:p>
    <w:p w14:paraId="09D5FD27" w14:textId="37121E16" w:rsidR="0073162A" w:rsidRPr="00402E9C" w:rsidRDefault="0073162A" w:rsidP="00AD1DBD">
      <w:pPr>
        <w:pStyle w:val="Citao"/>
        <w:spacing w:before="0" w:after="0" w:line="240" w:lineRule="auto"/>
        <w:rPr>
          <w:rFonts w:ascii="Times New Roman" w:hAnsi="Times New Roman"/>
        </w:rPr>
      </w:pPr>
      <w:r w:rsidRPr="00402E9C">
        <w:rPr>
          <w:rFonts w:ascii="Times New Roman" w:hAnsi="Times New Roman"/>
        </w:rPr>
        <w:t xml:space="preserve">Tabela </w:t>
      </w:r>
      <w:r w:rsidR="00121D79">
        <w:rPr>
          <w:rFonts w:ascii="Times New Roman" w:hAnsi="Times New Roman"/>
        </w:rPr>
        <w:t>2</w:t>
      </w:r>
      <w:r w:rsidRPr="00402E9C">
        <w:rPr>
          <w:rFonts w:ascii="Times New Roman" w:hAnsi="Times New Roman"/>
        </w:rPr>
        <w:t>: Matriz de coeficiente de variação da pertinência</w:t>
      </w:r>
    </w:p>
    <w:tbl>
      <w:tblPr>
        <w:tblW w:w="9072" w:type="dxa"/>
        <w:jc w:val="center"/>
        <w:tblBorders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4863"/>
        <w:gridCol w:w="794"/>
        <w:gridCol w:w="1596"/>
        <w:gridCol w:w="545"/>
      </w:tblGrid>
      <w:tr w:rsidR="000A740E" w:rsidRPr="00402E9C" w14:paraId="5E477DE0" w14:textId="77777777" w:rsidTr="00F74160">
        <w:trPr>
          <w:trHeight w:val="57"/>
          <w:tblHeader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FF39689" w14:textId="77777777" w:rsidR="000A740E" w:rsidRPr="00402E9C" w:rsidRDefault="000A740E" w:rsidP="003E6DD5">
            <w:pPr>
              <w:jc w:val="center"/>
              <w:rPr>
                <w:rStyle w:val="Forte"/>
                <w:bCs w:val="0"/>
              </w:rPr>
            </w:pPr>
            <w:r w:rsidRPr="00402E9C">
              <w:rPr>
                <w:rStyle w:val="Forte"/>
                <w:bCs w:val="0"/>
              </w:rPr>
              <w:t>Nº</w:t>
            </w:r>
          </w:p>
        </w:tc>
        <w:tc>
          <w:tcPr>
            <w:tcW w:w="4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EE308F8" w14:textId="77777777" w:rsidR="000A740E" w:rsidRPr="00402E9C" w:rsidRDefault="000A740E" w:rsidP="00F5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E9C"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hideMark/>
          </w:tcPr>
          <w:p w14:paraId="26DBEE08" w14:textId="77777777" w:rsidR="000A740E" w:rsidRPr="00402E9C" w:rsidRDefault="000A740E" w:rsidP="00F5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E9C">
              <w:rPr>
                <w:b/>
                <w:bCs/>
                <w:sz w:val="20"/>
                <w:szCs w:val="20"/>
              </w:rPr>
              <w:t>Pertinência</w:t>
            </w:r>
          </w:p>
        </w:tc>
      </w:tr>
      <w:tr w:rsidR="000A740E" w:rsidRPr="00402E9C" w14:paraId="4A497C9F" w14:textId="77777777" w:rsidTr="00F74160">
        <w:trPr>
          <w:trHeight w:val="57"/>
          <w:tblHeader/>
          <w:jc w:val="center"/>
        </w:trPr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7B4D376" w14:textId="77777777" w:rsidR="000A740E" w:rsidRPr="00402E9C" w:rsidRDefault="000A740E" w:rsidP="00F52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2154F1" w14:textId="77777777" w:rsidR="000A740E" w:rsidRPr="00402E9C" w:rsidRDefault="000A740E" w:rsidP="00F52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6CC4A426" w14:textId="77777777" w:rsidR="000A740E" w:rsidRPr="00402E9C" w:rsidRDefault="000A740E" w:rsidP="00F5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E9C">
              <w:rPr>
                <w:b/>
                <w:bCs/>
                <w:sz w:val="20"/>
                <w:szCs w:val="20"/>
              </w:rPr>
              <w:t>Média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4EDA36B9" w14:textId="77777777" w:rsidR="000A740E" w:rsidRPr="00402E9C" w:rsidRDefault="000A740E" w:rsidP="00F52A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2E9C">
              <w:rPr>
                <w:b/>
                <w:bCs/>
                <w:sz w:val="20"/>
                <w:szCs w:val="20"/>
              </w:rPr>
              <w:t>Devio</w:t>
            </w:r>
            <w:proofErr w:type="spellEnd"/>
            <w:r w:rsidRPr="00402E9C">
              <w:rPr>
                <w:b/>
                <w:bCs/>
                <w:sz w:val="20"/>
                <w:szCs w:val="20"/>
              </w:rPr>
              <w:t xml:space="preserve"> padrão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247226DC" w14:textId="77777777" w:rsidR="000A740E" w:rsidRPr="00402E9C" w:rsidRDefault="000A740E" w:rsidP="00F5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402E9C">
              <w:rPr>
                <w:b/>
                <w:bCs/>
                <w:sz w:val="20"/>
                <w:szCs w:val="20"/>
              </w:rPr>
              <w:t>CV</w:t>
            </w:r>
          </w:p>
        </w:tc>
      </w:tr>
      <w:tr w:rsidR="000A740E" w:rsidRPr="00402E9C" w14:paraId="4932DEBF" w14:textId="77777777" w:rsidTr="003E6DD5">
        <w:trPr>
          <w:trHeight w:val="57"/>
          <w:jc w:val="center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003EAA2B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</w:t>
            </w:r>
          </w:p>
        </w:tc>
        <w:tc>
          <w:tcPr>
            <w:tcW w:w="487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7F12F541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Maximização de ativos ou evitar sua perda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1557C351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8,20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2ECB04C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1,05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14:paraId="2D344474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0,13</w:t>
            </w:r>
          </w:p>
        </w:tc>
      </w:tr>
      <w:tr w:rsidR="000A740E" w:rsidRPr="00402E9C" w14:paraId="518AC43B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3F981F9A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2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4A012518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Ganho de escala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28F8F4DE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7,80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71D6B8BE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1,33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557A57E5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0,17</w:t>
            </w:r>
          </w:p>
        </w:tc>
      </w:tr>
      <w:tr w:rsidR="000A740E" w:rsidRPr="00402E9C" w14:paraId="1B7CDB79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5396F5AE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3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615C03C7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Redução de custo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2209D4E4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7,20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6E39025F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1,72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1C1CE4A9" w14:textId="1DF1C77A" w:rsidR="000A740E" w:rsidRPr="00402E9C" w:rsidRDefault="00F52ADF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*</w:t>
            </w:r>
            <w:r w:rsidR="000A740E" w:rsidRPr="00402E9C">
              <w:rPr>
                <w:sz w:val="18"/>
                <w:szCs w:val="18"/>
              </w:rPr>
              <w:t>0,24</w:t>
            </w:r>
          </w:p>
        </w:tc>
      </w:tr>
      <w:tr w:rsidR="000A740E" w:rsidRPr="00402E9C" w14:paraId="0F5A9943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1FFC6DA7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4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32075817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Crescimento do negócio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5ECB3B94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8,27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35B972B6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1,24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267270B5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0,15</w:t>
            </w:r>
          </w:p>
        </w:tc>
      </w:tr>
      <w:tr w:rsidR="000A740E" w:rsidRPr="00402E9C" w14:paraId="1E524A34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21B65A16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5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6BAAC10D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Estratégia para entrada em novos mercados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10BCFF5E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7,47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3D9D8580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1,20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5F175CDC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0,16</w:t>
            </w:r>
          </w:p>
        </w:tc>
      </w:tr>
      <w:tr w:rsidR="000A740E" w:rsidRPr="00402E9C" w14:paraId="3DCD19EE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55F55E0B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6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4125ABD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Maior participação de mercado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5D3DCA11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7,73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267DD727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1,18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44B3B900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0,15</w:t>
            </w:r>
          </w:p>
        </w:tc>
      </w:tr>
      <w:tr w:rsidR="000A740E" w:rsidRPr="00402E9C" w14:paraId="376C8CFB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00688CA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7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45E82680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Aumento da lucratividade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7619DBCF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7,60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59127E39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1,25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35812B72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0,17</w:t>
            </w:r>
          </w:p>
        </w:tc>
      </w:tr>
      <w:tr w:rsidR="000A740E" w:rsidRPr="00402E9C" w14:paraId="5065F9F7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5A69477B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8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13E832C5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Aumento da produtividade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4DF0776C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7,20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1D224B7E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1,68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47B6F1C5" w14:textId="2E83840A" w:rsidR="000A740E" w:rsidRPr="00402E9C" w:rsidRDefault="00F52ADF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*</w:t>
            </w:r>
            <w:r w:rsidR="000A740E" w:rsidRPr="00402E9C">
              <w:rPr>
                <w:sz w:val="18"/>
                <w:szCs w:val="18"/>
              </w:rPr>
              <w:t>0,23</w:t>
            </w:r>
          </w:p>
        </w:tc>
      </w:tr>
      <w:tr w:rsidR="000A740E" w:rsidRPr="00402E9C" w14:paraId="14281AD8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73336C0B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9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16C4D0BE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Ampliação da rede de distribuição e logística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1788CE7C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6,40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76662D21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1,62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48DE5322" w14:textId="23AACC9A" w:rsidR="000A740E" w:rsidRPr="00402E9C" w:rsidRDefault="00F52ADF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*</w:t>
            </w:r>
            <w:r w:rsidR="000A740E" w:rsidRPr="00402E9C">
              <w:rPr>
                <w:sz w:val="18"/>
                <w:szCs w:val="18"/>
              </w:rPr>
              <w:t>0,25</w:t>
            </w:r>
          </w:p>
        </w:tc>
      </w:tr>
      <w:tr w:rsidR="000A740E" w:rsidRPr="00402E9C" w14:paraId="4AFFA536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619A7BA0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10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7E859AF0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Obtenção da know-how coorporativo (tecnologia, práticas gerenciais e de mercado)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6695E604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7,47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1FA618F9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1,26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4218C30D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0,17</w:t>
            </w:r>
          </w:p>
        </w:tc>
      </w:tr>
      <w:tr w:rsidR="000A740E" w:rsidRPr="00402E9C" w14:paraId="014784B6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4C71DA2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11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46CA6288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Mudanças radicais na conjuntura política nacional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5D32D1DF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7,20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01AA4962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1,33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7CCDE141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0,18</w:t>
            </w:r>
          </w:p>
        </w:tc>
      </w:tr>
      <w:tr w:rsidR="000A740E" w:rsidRPr="00402E9C" w14:paraId="410C84AB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2FBAF02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12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319B6D7F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Mudanças radicais na conjuntura política internacional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32C46D01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7,27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3496829D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1,39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0D1D888F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0,19</w:t>
            </w:r>
          </w:p>
        </w:tc>
      </w:tr>
      <w:tr w:rsidR="000A740E" w:rsidRPr="00402E9C" w14:paraId="61472FA8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184A647C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13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78FDA86F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Aumento significativo dos investimentos no país.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36339DCA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6,67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753924C6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1,25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2C44AA54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0,19</w:t>
            </w:r>
          </w:p>
        </w:tc>
      </w:tr>
      <w:tr w:rsidR="000A740E" w:rsidRPr="00402E9C" w14:paraId="217DDA02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02FC236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14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1DE66143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 xml:space="preserve">Aumento da inflação no </w:t>
            </w:r>
            <w:proofErr w:type="spellStart"/>
            <w:r w:rsidRPr="00402E9C">
              <w:rPr>
                <w:sz w:val="18"/>
                <w:szCs w:val="18"/>
              </w:rPr>
              <w:t>paí</w:t>
            </w:r>
            <w:proofErr w:type="spellEnd"/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2A2E0815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6,40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42F8D5B6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1,14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5F2B76EA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0,18</w:t>
            </w:r>
          </w:p>
        </w:tc>
      </w:tr>
      <w:tr w:rsidR="000A740E" w:rsidRPr="00402E9C" w14:paraId="093738F5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742140E3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15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3AC32D37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Aumento da taxa de juros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6CAA6E6B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6,67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615AFE19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1,19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7AD2EF67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0,18</w:t>
            </w:r>
          </w:p>
        </w:tc>
      </w:tr>
      <w:tr w:rsidR="000A740E" w:rsidRPr="00402E9C" w14:paraId="544C6BA9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2690D045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16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1C92A290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Aumento dos níveis de corrupção no Brasil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40732A55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7,53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1D2BC550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1,20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333D5E03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0,16</w:t>
            </w:r>
          </w:p>
        </w:tc>
      </w:tr>
      <w:tr w:rsidR="000A740E" w:rsidRPr="00402E9C" w14:paraId="3F74D281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12CB12AE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lastRenderedPageBreak/>
              <w:t>Evento 17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1398605A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Desvalorização da moeda nacional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57B50694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6,80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56CA4A35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1,28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298DC96B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0,19</w:t>
            </w:r>
          </w:p>
        </w:tc>
      </w:tr>
      <w:tr w:rsidR="000A740E" w:rsidRPr="00402E9C" w14:paraId="28FE279B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7FBC8762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18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7EA2C9B6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Maior abertura do BNDES para a liberação de crédito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462148EC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6,47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05F75EAE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1,63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7DF7DD9F" w14:textId="3E1E9EDA" w:rsidR="000A740E" w:rsidRPr="00402E9C" w:rsidRDefault="00F52ADF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*</w:t>
            </w:r>
            <w:r w:rsidR="000A740E" w:rsidRPr="00402E9C">
              <w:rPr>
                <w:sz w:val="18"/>
                <w:szCs w:val="18"/>
              </w:rPr>
              <w:t>0,25</w:t>
            </w:r>
          </w:p>
        </w:tc>
      </w:tr>
      <w:tr w:rsidR="000A740E" w:rsidRPr="00402E9C" w14:paraId="12686536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39422F1D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19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3B164227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 xml:space="preserve">Potencial do mercado 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5FF4AB1B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7,53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48551BF3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0,96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041E1DC3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0,13</w:t>
            </w:r>
          </w:p>
        </w:tc>
      </w:tr>
      <w:tr w:rsidR="000A740E" w:rsidRPr="00402E9C" w14:paraId="77FFEBF2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49FF71E7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20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67C187FA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Equilíbrio da balança comercial Brasileira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068A7297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5,93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085ACC7F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1,57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1E63DC1C" w14:textId="0656F755" w:rsidR="000A740E" w:rsidRPr="00402E9C" w:rsidRDefault="00F52ADF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*</w:t>
            </w:r>
            <w:r w:rsidR="000A740E" w:rsidRPr="00402E9C">
              <w:rPr>
                <w:sz w:val="18"/>
                <w:szCs w:val="18"/>
              </w:rPr>
              <w:t>0,26</w:t>
            </w:r>
          </w:p>
        </w:tc>
      </w:tr>
      <w:tr w:rsidR="000A740E" w:rsidRPr="00402E9C" w14:paraId="3977AF0A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300B9196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21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46DCE5E8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Valorização do dólar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236CDAE3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7,60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2215F5A2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1,25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3F7D000C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0,17</w:t>
            </w:r>
          </w:p>
        </w:tc>
      </w:tr>
      <w:tr w:rsidR="000A740E" w:rsidRPr="00402E9C" w14:paraId="379B4574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3F82F4F0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22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1DFB810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Maior diversificação de produtos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54914A86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8,07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64E4C8E0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1,44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37FB1D2E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0,18</w:t>
            </w:r>
          </w:p>
        </w:tc>
      </w:tr>
      <w:tr w:rsidR="000A740E" w:rsidRPr="00402E9C" w14:paraId="561E708F" w14:textId="77777777" w:rsidTr="003E6DD5">
        <w:trPr>
          <w:trHeight w:val="57"/>
          <w:jc w:val="center"/>
        </w:trPr>
        <w:tc>
          <w:tcPr>
            <w:tcW w:w="1276" w:type="dxa"/>
            <w:shd w:val="clear" w:color="auto" w:fill="FFFFFF"/>
            <w:vAlign w:val="center"/>
            <w:hideMark/>
          </w:tcPr>
          <w:p w14:paraId="5AC4418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23</w:t>
            </w:r>
          </w:p>
        </w:tc>
        <w:tc>
          <w:tcPr>
            <w:tcW w:w="4876" w:type="dxa"/>
            <w:shd w:val="clear" w:color="auto" w:fill="FFFFFF"/>
            <w:vAlign w:val="center"/>
            <w:hideMark/>
          </w:tcPr>
          <w:p w14:paraId="36123EA5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Integração da cadeia produtiva</w:t>
            </w:r>
          </w:p>
        </w:tc>
        <w:tc>
          <w:tcPr>
            <w:tcW w:w="794" w:type="dxa"/>
            <w:shd w:val="clear" w:color="auto" w:fill="FFFFFF"/>
            <w:noWrap/>
            <w:vAlign w:val="center"/>
            <w:hideMark/>
          </w:tcPr>
          <w:p w14:paraId="74FA03AC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7,43</w:t>
            </w:r>
          </w:p>
        </w:tc>
        <w:tc>
          <w:tcPr>
            <w:tcW w:w="1596" w:type="dxa"/>
            <w:shd w:val="clear" w:color="auto" w:fill="FFFFFF"/>
            <w:noWrap/>
            <w:vAlign w:val="center"/>
            <w:hideMark/>
          </w:tcPr>
          <w:p w14:paraId="366BE57B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1,35</w:t>
            </w:r>
          </w:p>
        </w:tc>
        <w:tc>
          <w:tcPr>
            <w:tcW w:w="530" w:type="dxa"/>
            <w:shd w:val="clear" w:color="auto" w:fill="FFFFFF"/>
            <w:noWrap/>
            <w:vAlign w:val="center"/>
          </w:tcPr>
          <w:p w14:paraId="644F6D3C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0,18</w:t>
            </w:r>
          </w:p>
        </w:tc>
      </w:tr>
      <w:tr w:rsidR="000A740E" w:rsidRPr="00402E9C" w14:paraId="3DEAB802" w14:textId="77777777" w:rsidTr="003E6DD5">
        <w:trPr>
          <w:trHeight w:val="57"/>
          <w:jc w:val="center"/>
        </w:trPr>
        <w:tc>
          <w:tcPr>
            <w:tcW w:w="1276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14:paraId="68D10F0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24</w:t>
            </w:r>
          </w:p>
        </w:tc>
        <w:tc>
          <w:tcPr>
            <w:tcW w:w="4876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14:paraId="3739E9F7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Aumento expressivo do investimento em obras de infraestrutura</w:t>
            </w:r>
          </w:p>
        </w:tc>
        <w:tc>
          <w:tcPr>
            <w:tcW w:w="794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43D17695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6,73</w:t>
            </w:r>
          </w:p>
        </w:tc>
        <w:tc>
          <w:tcPr>
            <w:tcW w:w="1596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55BF0167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1,12</w:t>
            </w:r>
          </w:p>
        </w:tc>
        <w:tc>
          <w:tcPr>
            <w:tcW w:w="530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14:paraId="1BA5AD01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0,17</w:t>
            </w:r>
          </w:p>
        </w:tc>
      </w:tr>
      <w:tr w:rsidR="000A740E" w:rsidRPr="00402E9C" w14:paraId="59F09A4E" w14:textId="77777777" w:rsidTr="003E6DD5">
        <w:trPr>
          <w:trHeight w:val="57"/>
          <w:jc w:val="center"/>
        </w:trPr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70A20ADA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Evento 25</w:t>
            </w:r>
          </w:p>
        </w:tc>
        <w:tc>
          <w:tcPr>
            <w:tcW w:w="48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13873D24" w14:textId="77777777" w:rsidR="000A740E" w:rsidRPr="00402E9C" w:rsidRDefault="000A740E" w:rsidP="00F52ADF">
            <w:pPr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Estabelecimento de parcerias com os fornecedores</w:t>
            </w:r>
          </w:p>
        </w:tc>
        <w:tc>
          <w:tcPr>
            <w:tcW w:w="7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6414FF1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5,53</w:t>
            </w:r>
          </w:p>
        </w:tc>
        <w:tc>
          <w:tcPr>
            <w:tcW w:w="1596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2A49D6D" w14:textId="77777777" w:rsidR="000A740E" w:rsidRPr="00402E9C" w:rsidRDefault="000A740E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2,16</w:t>
            </w:r>
          </w:p>
        </w:tc>
        <w:tc>
          <w:tcPr>
            <w:tcW w:w="5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noWrap/>
            <w:vAlign w:val="center"/>
          </w:tcPr>
          <w:p w14:paraId="10384660" w14:textId="6EF69E58" w:rsidR="000A740E" w:rsidRPr="00402E9C" w:rsidRDefault="00F52ADF" w:rsidP="00F52ADF">
            <w:pPr>
              <w:jc w:val="center"/>
              <w:rPr>
                <w:sz w:val="18"/>
                <w:szCs w:val="18"/>
              </w:rPr>
            </w:pPr>
            <w:r w:rsidRPr="00402E9C">
              <w:rPr>
                <w:sz w:val="18"/>
                <w:szCs w:val="18"/>
              </w:rPr>
              <w:t>*</w:t>
            </w:r>
            <w:r w:rsidR="000A740E" w:rsidRPr="00402E9C">
              <w:rPr>
                <w:sz w:val="18"/>
                <w:szCs w:val="18"/>
              </w:rPr>
              <w:t>0,39</w:t>
            </w:r>
          </w:p>
        </w:tc>
      </w:tr>
    </w:tbl>
    <w:p w14:paraId="5B6CA310" w14:textId="77777777" w:rsidR="0073162A" w:rsidRPr="00402E9C" w:rsidRDefault="0073162A" w:rsidP="0073162A">
      <w:pPr>
        <w:rPr>
          <w:rStyle w:val="nfase"/>
        </w:rPr>
      </w:pPr>
      <w:r w:rsidRPr="00402E9C">
        <w:rPr>
          <w:rStyle w:val="nfase"/>
        </w:rPr>
        <w:t xml:space="preserve">Fonte: Elaborada pelo autor (2018) com base em </w:t>
      </w:r>
      <w:proofErr w:type="spellStart"/>
      <w:r w:rsidRPr="00402E9C">
        <w:rPr>
          <w:rStyle w:val="nfase"/>
        </w:rPr>
        <w:t>Survey</w:t>
      </w:r>
      <w:proofErr w:type="spellEnd"/>
      <w:r w:rsidRPr="00402E9C">
        <w:rPr>
          <w:rStyle w:val="nfase"/>
        </w:rPr>
        <w:t xml:space="preserve"> (2017).</w:t>
      </w:r>
    </w:p>
    <w:p w14:paraId="1B623D96" w14:textId="283E2330" w:rsidR="00886A08" w:rsidRPr="00402E9C" w:rsidRDefault="00EB3A67" w:rsidP="00AD1DBD">
      <w:pPr>
        <w:ind w:firstLine="567"/>
        <w:jc w:val="both"/>
      </w:pPr>
      <w:r w:rsidRPr="00402E9C">
        <w:t>Com base na metodologia</w:t>
      </w:r>
      <w:r w:rsidR="00E66A01" w:rsidRPr="00402E9C">
        <w:t xml:space="preserve"> </w:t>
      </w:r>
      <w:r w:rsidR="006C5F3D" w:rsidRPr="00402E9C">
        <w:t>delineada</w:t>
      </w:r>
      <w:r w:rsidRPr="00402E9C">
        <w:t xml:space="preserve">, foram </w:t>
      </w:r>
      <w:r w:rsidR="00FC6CC0" w:rsidRPr="00402E9C">
        <w:t>excluídos</w:t>
      </w:r>
      <w:r w:rsidR="00F52ADF" w:rsidRPr="00402E9C">
        <w:t xml:space="preserve"> (*)</w:t>
      </w:r>
      <w:r w:rsidR="00FC6CC0" w:rsidRPr="00402E9C">
        <w:t xml:space="preserve"> os seguintes e</w:t>
      </w:r>
      <w:r w:rsidRPr="00402E9C">
        <w:t xml:space="preserve">ventos de acordo com metodologia de </w:t>
      </w:r>
      <w:proofErr w:type="spellStart"/>
      <w:r w:rsidRPr="00402E9C">
        <w:t>Godet</w:t>
      </w:r>
      <w:proofErr w:type="spellEnd"/>
      <w:r w:rsidRPr="00402E9C">
        <w:t xml:space="preserve"> (2000) </w:t>
      </w:r>
      <w:r w:rsidR="00C53F77" w:rsidRPr="00402E9C">
        <w:t xml:space="preserve">que </w:t>
      </w:r>
      <w:r w:rsidRPr="00402E9C">
        <w:t>obtiveram coeficiente de</w:t>
      </w:r>
      <w:r w:rsidR="00FC6CC0" w:rsidRPr="00402E9C">
        <w:t xml:space="preserve"> variação maio</w:t>
      </w:r>
      <w:r w:rsidR="003A7300" w:rsidRPr="00402E9C">
        <w:t>r</w:t>
      </w:r>
      <w:r w:rsidR="00FC6CC0" w:rsidRPr="00402E9C">
        <w:t xml:space="preserve"> do que 0,2: (E3</w:t>
      </w:r>
      <w:r w:rsidRPr="00402E9C">
        <w:t>),</w:t>
      </w:r>
      <w:r w:rsidR="00FC6CC0" w:rsidRPr="00402E9C">
        <w:t xml:space="preserve"> (E8</w:t>
      </w:r>
      <w:r w:rsidRPr="00402E9C">
        <w:t>),</w:t>
      </w:r>
      <w:r w:rsidR="00FC6CC0" w:rsidRPr="00402E9C">
        <w:t xml:space="preserve"> (E9</w:t>
      </w:r>
      <w:r w:rsidRPr="00402E9C">
        <w:t>),</w:t>
      </w:r>
      <w:r w:rsidR="0074649D" w:rsidRPr="00402E9C">
        <w:t xml:space="preserve"> (E18</w:t>
      </w:r>
      <w:r w:rsidRPr="00402E9C">
        <w:t>),</w:t>
      </w:r>
      <w:r w:rsidR="0074649D" w:rsidRPr="00402E9C">
        <w:t xml:space="preserve"> (E</w:t>
      </w:r>
      <w:r w:rsidR="00FC6CC0" w:rsidRPr="00402E9C">
        <w:t>2</w:t>
      </w:r>
      <w:r w:rsidR="0074649D" w:rsidRPr="00402E9C">
        <w:t>0</w:t>
      </w:r>
      <w:r w:rsidRPr="00402E9C">
        <w:t>), (E</w:t>
      </w:r>
      <w:r w:rsidR="0074649D" w:rsidRPr="00402E9C">
        <w:t>25</w:t>
      </w:r>
      <w:r w:rsidRPr="00402E9C">
        <w:t xml:space="preserve">) com um total de </w:t>
      </w:r>
      <w:r w:rsidR="00CA0036" w:rsidRPr="00402E9C">
        <w:t>seis</w:t>
      </w:r>
      <w:r w:rsidRPr="00402E9C">
        <w:t xml:space="preserve"> variáveis reduzidas no estudo.</w:t>
      </w:r>
    </w:p>
    <w:p w14:paraId="22E1765D" w14:textId="77777777" w:rsidR="003E43CC" w:rsidRPr="00402E9C" w:rsidRDefault="00334B3E" w:rsidP="00AD1DBD">
      <w:pPr>
        <w:ind w:firstLine="567"/>
        <w:jc w:val="both"/>
      </w:pPr>
      <w:r w:rsidRPr="00402E9C">
        <w:t>Os</w:t>
      </w:r>
      <w:r w:rsidR="00612D5A" w:rsidRPr="00402E9C">
        <w:t xml:space="preserve"> demais</w:t>
      </w:r>
      <w:r w:rsidRPr="00402E9C">
        <w:t xml:space="preserve"> eventos </w:t>
      </w:r>
      <w:r w:rsidR="00612D5A" w:rsidRPr="00402E9C">
        <w:t xml:space="preserve">foram </w:t>
      </w:r>
      <w:r w:rsidRPr="00402E9C">
        <w:t xml:space="preserve">levados em consideração para a etapa a seguir de </w:t>
      </w:r>
      <w:r w:rsidR="008972CA" w:rsidRPr="00402E9C">
        <w:t>definição dos eventos para os</w:t>
      </w:r>
      <w:r w:rsidRPr="00402E9C">
        <w:t xml:space="preserve"> cenários</w:t>
      </w:r>
      <w:r w:rsidR="008972CA" w:rsidRPr="00402E9C">
        <w:t>,</w:t>
      </w:r>
      <w:r w:rsidRPr="00402E9C">
        <w:t xml:space="preserve"> </w:t>
      </w:r>
      <w:r w:rsidR="008972CA" w:rsidRPr="00402E9C">
        <w:t>totalizando 19</w:t>
      </w:r>
      <w:r w:rsidR="00612D5A" w:rsidRPr="00402E9C">
        <w:t xml:space="preserve"> eventos </w:t>
      </w:r>
      <w:r w:rsidRPr="00402E9C">
        <w:t>dos 2</w:t>
      </w:r>
      <w:r w:rsidR="00612D5A" w:rsidRPr="00402E9C">
        <w:t>5</w:t>
      </w:r>
      <w:r w:rsidR="00030235" w:rsidRPr="00402E9C">
        <w:t xml:space="preserve"> iniciais. </w:t>
      </w:r>
    </w:p>
    <w:p w14:paraId="2BC34374" w14:textId="22318ED4" w:rsidR="00AD1DBD" w:rsidRPr="00402E9C" w:rsidRDefault="00334B3E" w:rsidP="00696E74">
      <w:pPr>
        <w:ind w:firstLine="567"/>
        <w:jc w:val="both"/>
      </w:pPr>
      <w:r w:rsidRPr="00402E9C">
        <w:t xml:space="preserve">Os dados </w:t>
      </w:r>
      <w:r w:rsidR="00121D79">
        <w:t xml:space="preserve">da </w:t>
      </w:r>
      <w:r w:rsidRPr="00402E9C">
        <w:t>matriz de eventos para</w:t>
      </w:r>
      <w:r w:rsidR="003E43CC" w:rsidRPr="00402E9C">
        <w:t xml:space="preserve"> o desenvolvimento dos cenários foram </w:t>
      </w:r>
      <w:r w:rsidRPr="00402E9C">
        <w:t>dispost</w:t>
      </w:r>
      <w:r w:rsidR="003E43CC" w:rsidRPr="00402E9C">
        <w:t>os</w:t>
      </w:r>
      <w:r w:rsidRPr="00402E9C">
        <w:t xml:space="preserve"> em um </w:t>
      </w:r>
      <w:r w:rsidR="00886A08" w:rsidRPr="00402E9C">
        <w:t>gráfico b</w:t>
      </w:r>
      <w:r w:rsidR="00D22556" w:rsidRPr="00402E9C">
        <w:t xml:space="preserve">idimensional </w:t>
      </w:r>
      <w:r w:rsidRPr="00402E9C">
        <w:t xml:space="preserve">cartesiano, onde a dimensão horizontal (eixo abscissa) é a probabilidade </w:t>
      </w:r>
      <w:proofErr w:type="gramStart"/>
      <w:r w:rsidRPr="00402E9C">
        <w:t>do</w:t>
      </w:r>
      <w:proofErr w:type="gramEnd"/>
      <w:r w:rsidRPr="00402E9C">
        <w:t xml:space="preserve"> evento ocorrer e a dimensão vertical (eixo ordenada) é o grau de </w:t>
      </w:r>
      <w:proofErr w:type="spellStart"/>
      <w:r w:rsidRPr="00402E9C">
        <w:t>favorabilidade</w:t>
      </w:r>
      <w:proofErr w:type="spellEnd"/>
      <w:r w:rsidRPr="00402E9C">
        <w:t>/</w:t>
      </w:r>
      <w:proofErr w:type="spellStart"/>
      <w:r w:rsidRPr="00402E9C">
        <w:t>desfavorabilidade</w:t>
      </w:r>
      <w:proofErr w:type="spellEnd"/>
      <w:r w:rsidRPr="00402E9C">
        <w:t xml:space="preserve"> de cada evento. </w:t>
      </w:r>
      <w:r w:rsidR="00030235" w:rsidRPr="00402E9C">
        <w:t xml:space="preserve">Os eventos foram classificados de acordo com </w:t>
      </w:r>
      <w:proofErr w:type="spellStart"/>
      <w:r w:rsidR="003E43CC" w:rsidRPr="00402E9C">
        <w:t>Blanning</w:t>
      </w:r>
      <w:proofErr w:type="spellEnd"/>
      <w:r w:rsidR="003E43CC" w:rsidRPr="00402E9C">
        <w:t xml:space="preserve"> &amp;</w:t>
      </w:r>
      <w:r w:rsidR="009519CF" w:rsidRPr="00402E9C">
        <w:t xml:space="preserve"> </w:t>
      </w:r>
      <w:proofErr w:type="spellStart"/>
      <w:r w:rsidR="003E43CC" w:rsidRPr="00402E9C">
        <w:t>Reining</w:t>
      </w:r>
      <w:proofErr w:type="spellEnd"/>
      <w:r w:rsidR="003E43CC" w:rsidRPr="00402E9C">
        <w:t xml:space="preserve"> (1998) para </w:t>
      </w:r>
      <w:r w:rsidR="00E27CB6" w:rsidRPr="00402E9C">
        <w:t>desenv</w:t>
      </w:r>
      <w:r w:rsidR="003E43CC" w:rsidRPr="00402E9C">
        <w:t>olvim</w:t>
      </w:r>
      <w:r w:rsidR="00A2038A" w:rsidRPr="00402E9C">
        <w:t>en</w:t>
      </w:r>
      <w:r w:rsidR="000D5BDE" w:rsidRPr="00402E9C">
        <w:t>to dos</w:t>
      </w:r>
      <w:r w:rsidR="003E43CC" w:rsidRPr="00402E9C">
        <w:t xml:space="preserve"> cenários baseado nos parâmetros de agrupamento do</w:t>
      </w:r>
      <w:r w:rsidR="00141A24">
        <w:t>s</w:t>
      </w:r>
      <w:r w:rsidR="003E43CC" w:rsidRPr="00402E9C">
        <w:t xml:space="preserve"> eventos </w:t>
      </w:r>
      <w:r w:rsidR="00C53F77" w:rsidRPr="00402E9C">
        <w:t xml:space="preserve">da Figura </w:t>
      </w:r>
      <w:r w:rsidR="00696E74">
        <w:t>5</w:t>
      </w:r>
      <w:r w:rsidR="000D5BDE" w:rsidRPr="00402E9C">
        <w:t>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9"/>
        <w:gridCol w:w="1879"/>
        <w:gridCol w:w="1880"/>
      </w:tblGrid>
      <w:tr w:rsidR="00170E6F" w:rsidRPr="00402E9C" w14:paraId="37C71A66" w14:textId="77777777" w:rsidTr="00DF71BB">
        <w:trPr>
          <w:trHeight w:val="57"/>
          <w:jc w:val="center"/>
        </w:trPr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E3DC8" w14:textId="77777777" w:rsidR="00170E6F" w:rsidRPr="00402E9C" w:rsidRDefault="00170E6F" w:rsidP="00121D79">
            <w:pPr>
              <w:pStyle w:val="Subttulo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E9C">
              <w:rPr>
                <w:rFonts w:ascii="Times New Roman" w:hAnsi="Times New Roman"/>
                <w:b/>
              </w:rPr>
              <w:t>Cenários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D4F367" w14:textId="77777777" w:rsidR="00170E6F" w:rsidRPr="00402E9C" w:rsidRDefault="00170E6F" w:rsidP="00121D79">
            <w:pPr>
              <w:pStyle w:val="Subttulo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E9C">
              <w:rPr>
                <w:rFonts w:ascii="Times New Roman" w:hAnsi="Times New Roman"/>
                <w:b/>
              </w:rPr>
              <w:t>Probabilidade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8A96C7" w14:textId="77777777" w:rsidR="00170E6F" w:rsidRPr="00402E9C" w:rsidRDefault="00170E6F" w:rsidP="00121D79">
            <w:pPr>
              <w:pStyle w:val="Subttulo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2E9C">
              <w:rPr>
                <w:rFonts w:ascii="Times New Roman" w:hAnsi="Times New Roman"/>
                <w:b/>
              </w:rPr>
              <w:t>Favorabilidade</w:t>
            </w:r>
            <w:proofErr w:type="spellEnd"/>
          </w:p>
        </w:tc>
      </w:tr>
      <w:tr w:rsidR="00170E6F" w:rsidRPr="00402E9C" w14:paraId="613396D6" w14:textId="77777777" w:rsidTr="00121D79">
        <w:trPr>
          <w:trHeight w:val="66"/>
          <w:jc w:val="center"/>
        </w:trPr>
        <w:tc>
          <w:tcPr>
            <w:tcW w:w="18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4C872E" w14:textId="77777777" w:rsidR="00170E6F" w:rsidRPr="00402E9C" w:rsidRDefault="00170E6F" w:rsidP="00121D79">
            <w:pPr>
              <w:pStyle w:val="Subttulo"/>
              <w:spacing w:after="0"/>
              <w:jc w:val="both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Otimista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EADE88" w14:textId="77777777" w:rsidR="00170E6F" w:rsidRPr="00402E9C" w:rsidRDefault="00170E6F" w:rsidP="00121D79">
            <w:pPr>
              <w:pStyle w:val="Subttulo"/>
              <w:spacing w:after="0"/>
              <w:jc w:val="center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≥ 60%</w:t>
            </w: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7D3C3" w14:textId="77777777" w:rsidR="00170E6F" w:rsidRPr="00402E9C" w:rsidRDefault="00170E6F" w:rsidP="00121D79">
            <w:pPr>
              <w:pStyle w:val="Subttulo"/>
              <w:spacing w:after="0"/>
              <w:jc w:val="center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≥ 70%</w:t>
            </w:r>
          </w:p>
        </w:tc>
      </w:tr>
      <w:tr w:rsidR="00170E6F" w:rsidRPr="00402E9C" w14:paraId="1DDCB53F" w14:textId="77777777" w:rsidTr="00121D79">
        <w:trPr>
          <w:trHeight w:val="223"/>
          <w:jc w:val="center"/>
        </w:trPr>
        <w:tc>
          <w:tcPr>
            <w:tcW w:w="1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2E7606" w14:textId="77777777" w:rsidR="00170E6F" w:rsidRPr="00402E9C" w:rsidRDefault="00170E6F" w:rsidP="00121D79">
            <w:pPr>
              <w:pStyle w:val="Subttulo"/>
              <w:spacing w:after="0"/>
              <w:jc w:val="both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Pessimista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8727554" w14:textId="77777777" w:rsidR="00170E6F" w:rsidRPr="00402E9C" w:rsidRDefault="00170E6F" w:rsidP="00121D79">
            <w:pPr>
              <w:pStyle w:val="Subttulo"/>
              <w:spacing w:after="0"/>
              <w:jc w:val="center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≥ 60%</w:t>
            </w:r>
          </w:p>
        </w:tc>
        <w:tc>
          <w:tcPr>
            <w:tcW w:w="1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C1DB6" w14:textId="77777777" w:rsidR="00170E6F" w:rsidRPr="00402E9C" w:rsidRDefault="00FC37B5" w:rsidP="00121D79">
            <w:pPr>
              <w:pStyle w:val="Subttulo"/>
              <w:spacing w:after="0"/>
              <w:jc w:val="center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≤ 50%</w:t>
            </w:r>
          </w:p>
        </w:tc>
      </w:tr>
      <w:tr w:rsidR="00170E6F" w:rsidRPr="00402E9C" w14:paraId="199ECA3C" w14:textId="77777777" w:rsidTr="00DF71BB">
        <w:trPr>
          <w:trHeight w:val="57"/>
          <w:jc w:val="center"/>
        </w:trPr>
        <w:tc>
          <w:tcPr>
            <w:tcW w:w="18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21FB78" w14:textId="77777777" w:rsidR="00170E6F" w:rsidRPr="00402E9C" w:rsidRDefault="00170E6F" w:rsidP="00121D79">
            <w:pPr>
              <w:pStyle w:val="Subttulo"/>
              <w:spacing w:after="0"/>
              <w:jc w:val="both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Realista</w:t>
            </w:r>
          </w:p>
        </w:tc>
        <w:tc>
          <w:tcPr>
            <w:tcW w:w="1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B8EC4F" w14:textId="77777777" w:rsidR="00170E6F" w:rsidRPr="00402E9C" w:rsidRDefault="00170E6F" w:rsidP="00121D79">
            <w:pPr>
              <w:pStyle w:val="Subttulo"/>
              <w:spacing w:after="0"/>
              <w:jc w:val="center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≥ 70%</w:t>
            </w:r>
          </w:p>
        </w:tc>
        <w:tc>
          <w:tcPr>
            <w:tcW w:w="18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E51A4" w14:textId="77777777" w:rsidR="00170E6F" w:rsidRPr="00402E9C" w:rsidRDefault="00170E6F" w:rsidP="00121D79">
            <w:pPr>
              <w:pStyle w:val="Subttulo"/>
              <w:spacing w:after="0"/>
              <w:jc w:val="center"/>
              <w:rPr>
                <w:rFonts w:ascii="Times New Roman" w:hAnsi="Times New Roman"/>
              </w:rPr>
            </w:pPr>
            <w:r w:rsidRPr="00402E9C">
              <w:rPr>
                <w:rFonts w:ascii="Times New Roman" w:hAnsi="Times New Roman"/>
              </w:rPr>
              <w:t>-</w:t>
            </w:r>
          </w:p>
        </w:tc>
      </w:tr>
    </w:tbl>
    <w:p w14:paraId="3C3AB181" w14:textId="1F82C751" w:rsidR="003E43CC" w:rsidRPr="000F4CB5" w:rsidRDefault="00C53F77" w:rsidP="0037019D">
      <w:pPr>
        <w:rPr>
          <w:rStyle w:val="nfase"/>
          <w:b/>
          <w:iCs/>
          <w:color w:val="404040"/>
        </w:rPr>
      </w:pPr>
      <w:bookmarkStart w:id="27" w:name="_Toc532688613"/>
      <w:bookmarkStart w:id="28" w:name="_Toc532849452"/>
      <w:bookmarkStart w:id="29" w:name="_Toc532850578"/>
      <w:r w:rsidRPr="00AD1DBD">
        <w:rPr>
          <w:rStyle w:val="nfaseSutil"/>
          <w:sz w:val="20"/>
          <w:szCs w:val="20"/>
        </w:rPr>
        <w:t xml:space="preserve">Figura </w:t>
      </w:r>
      <w:r w:rsidR="00696E74">
        <w:rPr>
          <w:rStyle w:val="nfaseSutil"/>
          <w:sz w:val="20"/>
          <w:szCs w:val="20"/>
        </w:rPr>
        <w:t>5</w:t>
      </w:r>
      <w:r w:rsidR="000D5BDE" w:rsidRPr="00AD1DBD">
        <w:rPr>
          <w:rStyle w:val="nfaseSutil"/>
          <w:sz w:val="20"/>
          <w:szCs w:val="20"/>
        </w:rPr>
        <w:t>: Parâmetros de agrupamento dos eventos nos cenários</w:t>
      </w:r>
      <w:bookmarkEnd w:id="27"/>
      <w:bookmarkEnd w:id="28"/>
      <w:bookmarkEnd w:id="29"/>
      <w:r w:rsidR="000F4CB5">
        <w:rPr>
          <w:rStyle w:val="nfaseSutil"/>
          <w:sz w:val="20"/>
          <w:szCs w:val="20"/>
        </w:rPr>
        <w:t xml:space="preserve">. </w:t>
      </w:r>
      <w:r w:rsidR="003E43CC" w:rsidRPr="00402E9C">
        <w:rPr>
          <w:rStyle w:val="nfase"/>
        </w:rPr>
        <w:t xml:space="preserve">Fonte: </w:t>
      </w:r>
      <w:r w:rsidR="00EA2CA9" w:rsidRPr="00402E9C">
        <w:rPr>
          <w:rStyle w:val="nfase"/>
        </w:rPr>
        <w:t xml:space="preserve">Adaptado </w:t>
      </w:r>
      <w:r w:rsidR="00886A08" w:rsidRPr="00402E9C">
        <w:rPr>
          <w:rStyle w:val="nfase"/>
        </w:rPr>
        <w:t>pelo</w:t>
      </w:r>
      <w:r w:rsidRPr="00402E9C">
        <w:rPr>
          <w:rStyle w:val="nfase"/>
        </w:rPr>
        <w:t>s</w:t>
      </w:r>
      <w:r w:rsidR="00886A08" w:rsidRPr="00402E9C">
        <w:rPr>
          <w:rStyle w:val="nfase"/>
        </w:rPr>
        <w:t xml:space="preserve"> autor</w:t>
      </w:r>
      <w:r w:rsidRPr="00402E9C">
        <w:rPr>
          <w:rStyle w:val="nfase"/>
        </w:rPr>
        <w:t xml:space="preserve">es </w:t>
      </w:r>
      <w:r w:rsidR="00886A08" w:rsidRPr="00402E9C">
        <w:rPr>
          <w:rStyle w:val="nfase"/>
        </w:rPr>
        <w:t>(2018)</w:t>
      </w:r>
      <w:r w:rsidRPr="00402E9C">
        <w:rPr>
          <w:rStyle w:val="nfase"/>
        </w:rPr>
        <w:t>,</w:t>
      </w:r>
      <w:r w:rsidR="00886A08" w:rsidRPr="00402E9C">
        <w:rPr>
          <w:rStyle w:val="nfase"/>
        </w:rPr>
        <w:t xml:space="preserve"> a partir </w:t>
      </w:r>
      <w:r w:rsidR="00EA2CA9" w:rsidRPr="00402E9C">
        <w:rPr>
          <w:rStyle w:val="nfase"/>
        </w:rPr>
        <w:t xml:space="preserve">de </w:t>
      </w:r>
      <w:proofErr w:type="spellStart"/>
      <w:r w:rsidR="00EA2CA9" w:rsidRPr="00402E9C">
        <w:rPr>
          <w:rStyle w:val="nfase"/>
        </w:rPr>
        <w:t>Blanning</w:t>
      </w:r>
      <w:proofErr w:type="spellEnd"/>
      <w:r w:rsidR="00EA2CA9" w:rsidRPr="00402E9C">
        <w:rPr>
          <w:rStyle w:val="nfase"/>
        </w:rPr>
        <w:t xml:space="preserve"> e </w:t>
      </w:r>
      <w:proofErr w:type="spellStart"/>
      <w:r w:rsidR="003E43CC" w:rsidRPr="00402E9C">
        <w:rPr>
          <w:rStyle w:val="nfase"/>
        </w:rPr>
        <w:t>Reining</w:t>
      </w:r>
      <w:proofErr w:type="spellEnd"/>
      <w:r w:rsidR="003E43CC" w:rsidRPr="00402E9C">
        <w:rPr>
          <w:rStyle w:val="nfase"/>
        </w:rPr>
        <w:t xml:space="preserve"> (1998)</w:t>
      </w:r>
      <w:r w:rsidR="00886A08" w:rsidRPr="00402E9C">
        <w:rPr>
          <w:rStyle w:val="nfase"/>
        </w:rPr>
        <w:t>.</w:t>
      </w:r>
    </w:p>
    <w:p w14:paraId="32B86BF8" w14:textId="684B18E1" w:rsidR="00E66A01" w:rsidRPr="00402E9C" w:rsidRDefault="000D5BDE" w:rsidP="00AD1DBD">
      <w:pPr>
        <w:ind w:firstLine="567"/>
        <w:jc w:val="both"/>
      </w:pPr>
      <w:r w:rsidRPr="00402E9C">
        <w:t>F</w:t>
      </w:r>
      <w:r w:rsidR="004311FD" w:rsidRPr="00402E9C">
        <w:t xml:space="preserve">oram excluídos </w:t>
      </w:r>
      <w:r w:rsidR="006B1FF1" w:rsidRPr="00402E9C">
        <w:t xml:space="preserve">(*) </w:t>
      </w:r>
      <w:r w:rsidR="004311FD" w:rsidRPr="00402E9C">
        <w:t xml:space="preserve">os seguintes eventos </w:t>
      </w:r>
      <w:r w:rsidR="00C50466" w:rsidRPr="00402E9C">
        <w:t xml:space="preserve">da construção dos cenários devido </w:t>
      </w:r>
      <w:r w:rsidR="00AD1DBD">
        <w:t xml:space="preserve">às </w:t>
      </w:r>
      <w:r w:rsidR="00C50466" w:rsidRPr="00402E9C">
        <w:t>sua</w:t>
      </w:r>
      <w:r w:rsidR="00AD1DBD">
        <w:t>s</w:t>
      </w:r>
      <w:r w:rsidR="00C50466" w:rsidRPr="00402E9C">
        <w:t xml:space="preserve"> classificaç</w:t>
      </w:r>
      <w:r w:rsidR="00AD1DBD">
        <w:t>ões</w:t>
      </w:r>
      <w:r w:rsidR="00C50466" w:rsidRPr="00402E9C">
        <w:t xml:space="preserve"> de</w:t>
      </w:r>
      <w:r w:rsidR="00EB7ABD" w:rsidRPr="00402E9C">
        <w:t xml:space="preserve"> probabilidade e </w:t>
      </w:r>
      <w:proofErr w:type="spellStart"/>
      <w:r w:rsidR="00EB7ABD" w:rsidRPr="00402E9C">
        <w:t>favorabilidade</w:t>
      </w:r>
      <w:proofErr w:type="spellEnd"/>
      <w:r w:rsidR="00C50466" w:rsidRPr="00402E9C">
        <w:t xml:space="preserve">: </w:t>
      </w:r>
      <w:r w:rsidR="004311FD" w:rsidRPr="00402E9C">
        <w:t>(E</w:t>
      </w:r>
      <w:r w:rsidR="00C50466" w:rsidRPr="00402E9C">
        <w:t>1</w:t>
      </w:r>
      <w:r w:rsidR="004311FD" w:rsidRPr="00402E9C">
        <w:t>3), (E</w:t>
      </w:r>
      <w:r w:rsidR="00C50466" w:rsidRPr="00402E9C">
        <w:t>14</w:t>
      </w:r>
      <w:r w:rsidR="004311FD" w:rsidRPr="00402E9C">
        <w:t>), (E</w:t>
      </w:r>
      <w:r w:rsidR="00C50466" w:rsidRPr="00402E9C">
        <w:t>24</w:t>
      </w:r>
      <w:r w:rsidR="004311FD" w:rsidRPr="00402E9C">
        <w:t xml:space="preserve">), com um total de </w:t>
      </w:r>
      <w:r w:rsidR="009519CF" w:rsidRPr="00402E9C">
        <w:t>três</w:t>
      </w:r>
      <w:r w:rsidR="00C50466" w:rsidRPr="00402E9C">
        <w:t xml:space="preserve"> eventos. Assim </w:t>
      </w:r>
      <w:r w:rsidR="00E66A01" w:rsidRPr="00402E9C">
        <w:t xml:space="preserve">considerados para construção dos cenários os 16 eventos restantes, dispostos </w:t>
      </w:r>
      <w:r w:rsidR="00C53F77" w:rsidRPr="00402E9C">
        <w:t>na Figura 8</w:t>
      </w:r>
      <w:r w:rsidRPr="00402E9C">
        <w:t>.</w:t>
      </w:r>
    </w:p>
    <w:p w14:paraId="6AE00E7D" w14:textId="100FDDDA" w:rsidR="00E308A9" w:rsidRDefault="00334B3E" w:rsidP="00E308A9">
      <w:pPr>
        <w:ind w:firstLine="567"/>
        <w:jc w:val="both"/>
      </w:pPr>
      <w:r w:rsidRPr="00402E9C">
        <w:t>A anális</w:t>
      </w:r>
      <w:r w:rsidR="00C40396" w:rsidRPr="00402E9C">
        <w:t>e permitiu a identificação dos e</w:t>
      </w:r>
      <w:r w:rsidRPr="00402E9C">
        <w:t xml:space="preserve">ventos </w:t>
      </w:r>
      <w:r w:rsidR="004311FD" w:rsidRPr="00402E9C">
        <w:t xml:space="preserve">que não fazem parte dos cenários </w:t>
      </w:r>
      <w:r w:rsidRPr="00402E9C">
        <w:t xml:space="preserve">a </w:t>
      </w:r>
      <w:proofErr w:type="spellStart"/>
      <w:r w:rsidRPr="00402E9C">
        <w:t>a</w:t>
      </w:r>
      <w:proofErr w:type="spellEnd"/>
      <w:r w:rsidRPr="00402E9C">
        <w:t xml:space="preserve"> constr</w:t>
      </w:r>
      <w:r w:rsidR="00C40396" w:rsidRPr="00402E9C">
        <w:t>ução dos três cenários</w:t>
      </w:r>
      <w:r w:rsidR="00C53F77" w:rsidRPr="00402E9C">
        <w:t>,</w:t>
      </w:r>
      <w:r w:rsidR="00C40396" w:rsidRPr="00402E9C">
        <w:t xml:space="preserve"> </w:t>
      </w:r>
      <w:r w:rsidR="00194829" w:rsidRPr="00402E9C">
        <w:t xml:space="preserve">de acordo com </w:t>
      </w:r>
      <w:proofErr w:type="spellStart"/>
      <w:r w:rsidR="00194829" w:rsidRPr="00402E9C">
        <w:t>Blanning</w:t>
      </w:r>
      <w:proofErr w:type="spellEnd"/>
      <w:r w:rsidR="00194829" w:rsidRPr="00402E9C">
        <w:t xml:space="preserve"> </w:t>
      </w:r>
      <w:r w:rsidR="00EB7ABD" w:rsidRPr="00402E9C">
        <w:t xml:space="preserve">e </w:t>
      </w:r>
      <w:proofErr w:type="spellStart"/>
      <w:r w:rsidR="00194829" w:rsidRPr="00402E9C">
        <w:t>Reining</w:t>
      </w:r>
      <w:proofErr w:type="spellEnd"/>
      <w:r w:rsidR="00194829" w:rsidRPr="00402E9C">
        <w:t xml:space="preserve"> (1998)</w:t>
      </w:r>
      <w:r w:rsidR="00C53F77" w:rsidRPr="00402E9C">
        <w:t>,</w:t>
      </w:r>
      <w:r w:rsidR="00194829" w:rsidRPr="00402E9C">
        <w:t xml:space="preserve"> para as F&amp;A no Brasil no horizonte temporal de 10 anos (2017 a 2026). Os cenários desenvolvidos de a</w:t>
      </w:r>
      <w:r w:rsidR="00EB7ABD" w:rsidRPr="00402E9C">
        <w:t>cordo com o método proposto são</w:t>
      </w:r>
      <w:r w:rsidR="00194829" w:rsidRPr="00402E9C">
        <w:t>;</w:t>
      </w:r>
      <w:r w:rsidR="00EB7ABD" w:rsidRPr="00402E9C">
        <w:t xml:space="preserve"> </w:t>
      </w:r>
      <w:r w:rsidR="00C40396" w:rsidRPr="00402E9C">
        <w:t>otimista, pessimista e</w:t>
      </w:r>
      <w:r w:rsidRPr="00402E9C">
        <w:t xml:space="preserve"> realista</w:t>
      </w:r>
      <w:r w:rsidR="00194829" w:rsidRPr="00402E9C">
        <w:t>,</w:t>
      </w:r>
      <w:r w:rsidR="000D5BDE" w:rsidRPr="00402E9C">
        <w:t xml:space="preserve"> e</w:t>
      </w:r>
      <w:r w:rsidR="00194829" w:rsidRPr="00402E9C">
        <w:t xml:space="preserve"> foram</w:t>
      </w:r>
      <w:r w:rsidR="00DE69C0" w:rsidRPr="00402E9C">
        <w:t xml:space="preserve"> denominados respectivamente de Céu aberto, Temporal e Parcialmente Nublado.</w:t>
      </w:r>
    </w:p>
    <w:p w14:paraId="4BBEB6E2" w14:textId="08B08D46" w:rsidR="00E308A9" w:rsidRDefault="00E308A9" w:rsidP="00E308A9">
      <w:pPr>
        <w:ind w:firstLine="567"/>
        <w:jc w:val="both"/>
      </w:pPr>
      <w:r w:rsidRPr="00402E9C">
        <w:t xml:space="preserve">Na Figura </w:t>
      </w:r>
      <w:r>
        <w:t>6</w:t>
      </w:r>
      <w:r w:rsidRPr="00402E9C">
        <w:t xml:space="preserve">, estão os eventos selecionados e identificados nos cenários para as fusões e aquisições no Brasil de acordo com a metodologia proposta por </w:t>
      </w:r>
      <w:proofErr w:type="spellStart"/>
      <w:r w:rsidRPr="00402E9C">
        <w:t>Blanning</w:t>
      </w:r>
      <w:proofErr w:type="spellEnd"/>
      <w:r w:rsidRPr="00402E9C">
        <w:t xml:space="preserve"> e </w:t>
      </w:r>
      <w:proofErr w:type="spellStart"/>
      <w:r w:rsidRPr="00402E9C">
        <w:t>Reinig</w:t>
      </w:r>
      <w:proofErr w:type="spellEnd"/>
      <w:r w:rsidRPr="00402E9C">
        <w:t xml:space="preserve"> (1998)</w:t>
      </w:r>
      <w:r>
        <w:t>.</w:t>
      </w:r>
    </w:p>
    <w:p w14:paraId="4495B6DF" w14:textId="19DB6CA2" w:rsidR="00E308A9" w:rsidRDefault="00E308A9" w:rsidP="00E308A9">
      <w:pPr>
        <w:ind w:firstLine="567"/>
        <w:jc w:val="both"/>
      </w:pPr>
      <w:r w:rsidRPr="00402E9C">
        <w:t>Observa-se na Figura 8, que o correspondente a 69% das 16 variáveis que compõem os cenários</w:t>
      </w:r>
      <w:r>
        <w:t xml:space="preserve"> </w:t>
      </w:r>
      <w:r w:rsidRPr="00402E9C">
        <w:t>fic</w:t>
      </w:r>
      <w:r>
        <w:t xml:space="preserve">ou </w:t>
      </w:r>
      <w:r w:rsidRPr="00402E9C">
        <w:t>posicionad</w:t>
      </w:r>
      <w:r>
        <w:t>o</w:t>
      </w:r>
      <w:r w:rsidRPr="00402E9C">
        <w:t xml:space="preserve"> no primeiro quadrante, ou seja, com probabilidade e </w:t>
      </w:r>
      <w:proofErr w:type="spellStart"/>
      <w:r w:rsidRPr="00402E9C">
        <w:t>favorabilidade</w:t>
      </w:r>
      <w:proofErr w:type="spellEnd"/>
      <w:r w:rsidRPr="00402E9C">
        <w:t xml:space="preserve"> maior ou igual a 50%, sendo que os demais eventos foram posicionados abaixo</w:t>
      </w:r>
      <w:r w:rsidRPr="00E308A9">
        <w:t xml:space="preserve"> </w:t>
      </w:r>
      <w:r w:rsidRPr="00402E9C">
        <w:t xml:space="preserve">desta métrica considerados eventos de baixa ou média probabilidade e </w:t>
      </w:r>
      <w:proofErr w:type="spellStart"/>
      <w:r w:rsidRPr="00402E9C">
        <w:t>favorabilidade</w:t>
      </w:r>
      <w:proofErr w:type="spellEnd"/>
      <w:r w:rsidRPr="00402E9C">
        <w:t>, conforme</w:t>
      </w:r>
      <w:r>
        <w:t xml:space="preserve"> </w:t>
      </w:r>
      <w:r w:rsidRPr="00402E9C">
        <w:t xml:space="preserve">estabelece a metodologia de </w:t>
      </w:r>
      <w:proofErr w:type="spellStart"/>
      <w:r w:rsidRPr="00402E9C">
        <w:t>Blainning</w:t>
      </w:r>
      <w:proofErr w:type="spellEnd"/>
      <w:r w:rsidRPr="00402E9C">
        <w:t xml:space="preserve"> e </w:t>
      </w:r>
      <w:proofErr w:type="spellStart"/>
      <w:r w:rsidRPr="00402E9C">
        <w:t>Reinig</w:t>
      </w:r>
      <w:proofErr w:type="spellEnd"/>
      <w:r w:rsidRPr="00402E9C">
        <w:t xml:space="preserve"> (1998).</w:t>
      </w:r>
    </w:p>
    <w:p w14:paraId="78287ECF" w14:textId="77777777" w:rsidR="00E308A9" w:rsidRDefault="00E308A9" w:rsidP="00E308A9">
      <w:pPr>
        <w:ind w:firstLine="567"/>
        <w:jc w:val="both"/>
      </w:pPr>
    </w:p>
    <w:p w14:paraId="5542AA62" w14:textId="597C2E19" w:rsidR="00C53F77" w:rsidRPr="00402E9C" w:rsidRDefault="00590F09" w:rsidP="00E308A9">
      <w:pPr>
        <w:jc w:val="both"/>
      </w:pPr>
      <w:r w:rsidRPr="00402E9C"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5036C239" wp14:editId="6E08BE5C">
            <wp:simplePos x="0" y="0"/>
            <wp:positionH relativeFrom="column">
              <wp:posOffset>-5715</wp:posOffset>
            </wp:positionH>
            <wp:positionV relativeFrom="paragraph">
              <wp:posOffset>765175</wp:posOffset>
            </wp:positionV>
            <wp:extent cx="5680075" cy="4678045"/>
            <wp:effectExtent l="0" t="0" r="15875" b="8255"/>
            <wp:wrapTopAndBottom/>
            <wp:docPr id="11" name="Chart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7F8AD32C" w14:textId="09499700" w:rsidR="00AD1DBD" w:rsidRPr="00696E74" w:rsidRDefault="00334B3E" w:rsidP="00696E74">
      <w:pPr>
        <w:jc w:val="both"/>
        <w:rPr>
          <w:b/>
          <w:iCs/>
          <w:color w:val="404040"/>
          <w:sz w:val="22"/>
          <w:szCs w:val="22"/>
        </w:rPr>
      </w:pPr>
      <w:r w:rsidRPr="00402E9C">
        <w:t xml:space="preserve">Entretanto, esses eventos podem ser de interesse por outras razões como por exemplo, podem ser potencialmente prejudiciais e improváveis. Assim, aparecem no cenário pessimista, mesmo podendo ser considerados improváveis. </w:t>
      </w:r>
      <w:bookmarkStart w:id="30" w:name="_Toc532850580"/>
    </w:p>
    <w:p w14:paraId="77449308" w14:textId="77777777" w:rsidR="00E308A9" w:rsidRPr="00121D79" w:rsidRDefault="00E308A9" w:rsidP="00E308A9">
      <w:pPr>
        <w:jc w:val="both"/>
        <w:rPr>
          <w:rStyle w:val="nfaseSutil"/>
          <w:sz w:val="20"/>
          <w:szCs w:val="20"/>
        </w:rPr>
      </w:pPr>
      <w:bookmarkStart w:id="31" w:name="_Toc532849506"/>
      <w:r w:rsidRPr="00121D79">
        <w:rPr>
          <w:rStyle w:val="nfaseSutil"/>
          <w:sz w:val="20"/>
          <w:szCs w:val="20"/>
        </w:rPr>
        <w:t>Figura 6: Eventos para construção de cenários</w:t>
      </w:r>
      <w:bookmarkStart w:id="32" w:name="_Toc532688614"/>
      <w:bookmarkStart w:id="33" w:name="_Toc532850579"/>
      <w:bookmarkEnd w:id="31"/>
    </w:p>
    <w:p w14:paraId="1CC99B3C" w14:textId="77777777" w:rsidR="00E308A9" w:rsidRDefault="00E308A9" w:rsidP="00E308A9">
      <w:pPr>
        <w:jc w:val="both"/>
        <w:rPr>
          <w:rStyle w:val="nfase"/>
          <w:b/>
          <w:iCs/>
          <w:color w:val="404040"/>
          <w:sz w:val="22"/>
          <w:szCs w:val="22"/>
        </w:rPr>
      </w:pPr>
      <w:r w:rsidRPr="00402E9C">
        <w:rPr>
          <w:rStyle w:val="nfase"/>
        </w:rPr>
        <w:t xml:space="preserve">Fonte: Elaborado pelos autores (2018). </w:t>
      </w:r>
      <w:bookmarkEnd w:id="32"/>
      <w:bookmarkEnd w:id="33"/>
    </w:p>
    <w:p w14:paraId="5F771A9B" w14:textId="77777777" w:rsidR="00E308A9" w:rsidRDefault="00E308A9" w:rsidP="00AD1DBD">
      <w:pPr>
        <w:pStyle w:val="Ttulo1"/>
        <w:spacing w:before="0" w:after="0" w:line="240" w:lineRule="auto"/>
        <w:ind w:left="0" w:firstLine="0"/>
        <w:rPr>
          <w:rFonts w:ascii="Times New Roman" w:hAnsi="Times New Roman"/>
        </w:rPr>
      </w:pPr>
    </w:p>
    <w:p w14:paraId="41D7BC64" w14:textId="44E6A5E5" w:rsidR="002C3BE2" w:rsidRPr="00402E9C" w:rsidRDefault="00244472" w:rsidP="00AD1DBD">
      <w:pPr>
        <w:pStyle w:val="Ttulo1"/>
        <w:spacing w:before="0" w:after="0" w:line="240" w:lineRule="auto"/>
        <w:ind w:left="0" w:firstLine="0"/>
        <w:rPr>
          <w:rFonts w:ascii="Times New Roman" w:hAnsi="Times New Roman"/>
        </w:rPr>
      </w:pPr>
      <w:r w:rsidRPr="00402E9C">
        <w:rPr>
          <w:rFonts w:ascii="Times New Roman" w:hAnsi="Times New Roman"/>
        </w:rPr>
        <w:t>4.5 OS CENÁRIOS</w:t>
      </w:r>
      <w:bookmarkEnd w:id="30"/>
    </w:p>
    <w:p w14:paraId="6929DEF1" w14:textId="5346ABEC" w:rsidR="00AD1DBD" w:rsidRDefault="00366062" w:rsidP="00696E74">
      <w:pPr>
        <w:jc w:val="both"/>
      </w:pPr>
      <w:bookmarkStart w:id="34" w:name="_Toc532688616"/>
      <w:bookmarkStart w:id="35" w:name="_Toc532850581"/>
      <w:r w:rsidRPr="00402E9C">
        <w:t>Os Três cenários</w:t>
      </w:r>
      <w:r w:rsidR="002C3BE2" w:rsidRPr="00402E9C">
        <w:t xml:space="preserve">, </w:t>
      </w:r>
      <w:r w:rsidRPr="00402E9C">
        <w:t>otimista, pessimista e realistas foram construídos a partir da</w:t>
      </w:r>
      <w:r w:rsidR="004D4701" w:rsidRPr="00402E9C">
        <w:t xml:space="preserve"> Matriz de Eventos, ilustrada</w:t>
      </w:r>
      <w:r w:rsidR="00E33BE7" w:rsidRPr="00402E9C">
        <w:t xml:space="preserve"> na </w:t>
      </w:r>
      <w:r w:rsidR="00DF144B" w:rsidRPr="00402E9C">
        <w:t>Tabela 3</w:t>
      </w:r>
      <w:r w:rsidRPr="00402E9C">
        <w:t xml:space="preserve">. Os eventos foram selecionados </w:t>
      </w:r>
      <w:r w:rsidR="002C3BE2" w:rsidRPr="00402E9C">
        <w:t xml:space="preserve">sendo </w:t>
      </w:r>
      <w:r w:rsidR="00BE4BE6" w:rsidRPr="00402E9C">
        <w:t>sete otimistas, cinco pessimistas</w:t>
      </w:r>
      <w:r w:rsidR="002C3BE2" w:rsidRPr="00402E9C">
        <w:t xml:space="preserve"> e 12 </w:t>
      </w:r>
      <w:r w:rsidR="00BE4BE6" w:rsidRPr="00402E9C">
        <w:t>realistas</w:t>
      </w:r>
      <w:r w:rsidR="00DF144B" w:rsidRPr="00402E9C">
        <w:t>.</w:t>
      </w:r>
      <w:r w:rsidR="00BE4BE6" w:rsidRPr="00402E9C">
        <w:t xml:space="preserve"> </w:t>
      </w:r>
      <w:r w:rsidR="002C3BE2" w:rsidRPr="00402E9C">
        <w:t xml:space="preserve">Houve sobreposição </w:t>
      </w:r>
      <w:r w:rsidRPr="00402E9C">
        <w:t>dos eventos</w:t>
      </w:r>
      <w:r w:rsidR="002C3BE2" w:rsidRPr="00402E9C">
        <w:t>, os</w:t>
      </w:r>
      <w:r w:rsidRPr="00402E9C">
        <w:t xml:space="preserve"> otimistas também foram realistas (</w:t>
      </w:r>
      <w:r w:rsidR="002C3BE2" w:rsidRPr="00402E9C">
        <w:t>E1, E2, E4, E6, E7, E10, E22</w:t>
      </w:r>
      <w:r w:rsidRPr="00402E9C">
        <w:t>),</w:t>
      </w:r>
      <w:r w:rsidR="002C3BE2" w:rsidRPr="00402E9C">
        <w:t xml:space="preserve"> e </w:t>
      </w:r>
      <w:r w:rsidR="00642187" w:rsidRPr="00402E9C">
        <w:t xml:space="preserve">um </w:t>
      </w:r>
      <w:r w:rsidR="002C3BE2" w:rsidRPr="00402E9C">
        <w:t>pessimista tamb</w:t>
      </w:r>
      <w:r w:rsidR="00642187" w:rsidRPr="00402E9C">
        <w:t>ém foi</w:t>
      </w:r>
      <w:r w:rsidR="007140FE" w:rsidRPr="00402E9C">
        <w:t xml:space="preserve"> realista</w:t>
      </w:r>
      <w:r w:rsidR="002C3BE2" w:rsidRPr="00402E9C">
        <w:t xml:space="preserve"> (E12).</w:t>
      </w:r>
      <w:bookmarkStart w:id="36" w:name="_Toc532850586"/>
      <w:bookmarkEnd w:id="34"/>
      <w:bookmarkEnd w:id="35"/>
    </w:p>
    <w:p w14:paraId="5E37ECC8" w14:textId="2283A1C1" w:rsidR="00AD1DBD" w:rsidRPr="00AD1DBD" w:rsidRDefault="00DF144B" w:rsidP="00AD1DBD">
      <w:pPr>
        <w:pStyle w:val="Ttulo1"/>
        <w:spacing w:before="0" w:after="0" w:line="240" w:lineRule="auto"/>
        <w:ind w:left="0" w:firstLine="0"/>
        <w:rPr>
          <w:rFonts w:ascii="Times New Roman" w:hAnsi="Times New Roman"/>
        </w:rPr>
      </w:pPr>
      <w:r w:rsidRPr="00402E9C">
        <w:rPr>
          <w:rFonts w:ascii="Times New Roman" w:hAnsi="Times New Roman"/>
        </w:rPr>
        <w:t>4.6 CENÁRIOS PROSPECTIVOS DE F&amp;A</w:t>
      </w:r>
      <w:bookmarkStart w:id="37" w:name="_Toc532688622"/>
      <w:bookmarkStart w:id="38" w:name="_Toc532850587"/>
      <w:bookmarkEnd w:id="36"/>
    </w:p>
    <w:p w14:paraId="0FC47F7E" w14:textId="49CEAADD" w:rsidR="00AD1DBD" w:rsidRPr="005F2C8D" w:rsidRDefault="00B05986" w:rsidP="005F2C8D">
      <w:pPr>
        <w:rPr>
          <w:rStyle w:val="nfaseIntensa"/>
          <w:rFonts w:ascii="Times New Roman" w:hAnsi="Times New Roman"/>
          <w:b w:val="0"/>
          <w:sz w:val="24"/>
          <w:szCs w:val="24"/>
        </w:rPr>
      </w:pPr>
      <w:r w:rsidRPr="00402E9C">
        <w:t>Enfim estamos nos anos de 2026</w:t>
      </w:r>
      <w:r w:rsidR="00334B3E" w:rsidRPr="00402E9C">
        <w:t>...</w:t>
      </w:r>
      <w:bookmarkStart w:id="39" w:name="_Toc532850588"/>
      <w:bookmarkEnd w:id="37"/>
      <w:bookmarkEnd w:id="38"/>
    </w:p>
    <w:p w14:paraId="32FF0EA0" w14:textId="2EE12E93" w:rsidR="00334B3E" w:rsidRPr="00AD1DBD" w:rsidRDefault="00A24EF7" w:rsidP="00AD1DBD">
      <w:pPr>
        <w:pStyle w:val="Ttulo4"/>
        <w:spacing w:before="0" w:after="0" w:line="240" w:lineRule="auto"/>
        <w:rPr>
          <w:rStyle w:val="nfaseIntensa"/>
          <w:rFonts w:ascii="Times New Roman" w:hAnsi="Times New Roman"/>
          <w:i w:val="0"/>
          <w:sz w:val="24"/>
          <w:szCs w:val="24"/>
        </w:rPr>
      </w:pPr>
      <w:r w:rsidRPr="00AD1DBD">
        <w:rPr>
          <w:rStyle w:val="nfaseIntensa"/>
          <w:rFonts w:ascii="Times New Roman" w:hAnsi="Times New Roman"/>
          <w:i w:val="0"/>
          <w:sz w:val="24"/>
          <w:szCs w:val="24"/>
        </w:rPr>
        <w:t>4.6</w:t>
      </w:r>
      <w:r w:rsidR="00FC2B02" w:rsidRPr="00AD1DBD">
        <w:rPr>
          <w:rStyle w:val="nfaseIntensa"/>
          <w:rFonts w:ascii="Times New Roman" w:hAnsi="Times New Roman"/>
          <w:i w:val="0"/>
          <w:sz w:val="24"/>
          <w:szCs w:val="24"/>
        </w:rPr>
        <w:t>.1 Cenário otimista: “céu aberto”</w:t>
      </w:r>
      <w:bookmarkEnd w:id="39"/>
    </w:p>
    <w:p w14:paraId="7DE0E22B" w14:textId="467514E7" w:rsidR="004808FF" w:rsidRPr="00402E9C" w:rsidRDefault="004808FF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>O Brasil encont</w:t>
      </w:r>
      <w:r w:rsidR="00C53F77" w:rsidRPr="00402E9C">
        <w:t>r</w:t>
      </w:r>
      <w:r w:rsidRPr="00402E9C">
        <w:t xml:space="preserve">a-se em um momento de crescimento vertiginoso de sua economia atraindo investidores para fusões e </w:t>
      </w:r>
      <w:proofErr w:type="spellStart"/>
      <w:r w:rsidRPr="00402E9C">
        <w:t>quisições</w:t>
      </w:r>
      <w:proofErr w:type="spellEnd"/>
      <w:r w:rsidRPr="00402E9C">
        <w:t xml:space="preserve"> de empresas, em busca de obtenção de </w:t>
      </w:r>
      <w:r w:rsidRPr="00402E9C">
        <w:rPr>
          <w:i/>
          <w:iCs/>
        </w:rPr>
        <w:t>know-how</w:t>
      </w:r>
      <w:r w:rsidRPr="00402E9C">
        <w:t xml:space="preserve"> coorporativo para ampliar suas operações, visando maximizar seus ativos, o aumento de escala de produtividade, assim possibilitando aumento da margem de lucratividade e oferecendo maior</w:t>
      </w:r>
      <w:r w:rsidR="00833013" w:rsidRPr="00402E9C">
        <w:t xml:space="preserve"> </w:t>
      </w:r>
      <w:r w:rsidRPr="00402E9C">
        <w:t xml:space="preserve">diversificação de produtos para o mercado aquecido. </w:t>
      </w:r>
    </w:p>
    <w:p w14:paraId="375187DA" w14:textId="77777777" w:rsidR="001F03C3" w:rsidRPr="00402E9C" w:rsidRDefault="00B05986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t-PT"/>
        </w:rPr>
      </w:pPr>
      <w:r w:rsidRPr="00402E9C">
        <w:rPr>
          <w:lang w:val="pt-PT"/>
        </w:rPr>
        <w:t>N</w:t>
      </w:r>
      <w:r w:rsidR="001F03C3" w:rsidRPr="00402E9C">
        <w:rPr>
          <w:lang w:val="pt-PT"/>
        </w:rPr>
        <w:t xml:space="preserve">otícias econômicas </w:t>
      </w:r>
      <w:r w:rsidRPr="00402E9C">
        <w:rPr>
          <w:lang w:val="pt-PT"/>
        </w:rPr>
        <w:t>são favoráveis para os negócios no Brasil</w:t>
      </w:r>
      <w:r w:rsidR="00DB1BED" w:rsidRPr="00402E9C">
        <w:rPr>
          <w:lang w:val="pt-PT"/>
        </w:rPr>
        <w:t>,</w:t>
      </w:r>
      <w:r w:rsidR="001F03C3" w:rsidRPr="00402E9C">
        <w:rPr>
          <w:lang w:val="pt-PT"/>
        </w:rPr>
        <w:t xml:space="preserve"> </w:t>
      </w:r>
      <w:r w:rsidR="00100DEC" w:rsidRPr="00402E9C">
        <w:rPr>
          <w:lang w:val="pt-PT"/>
        </w:rPr>
        <w:t>o país</w:t>
      </w:r>
      <w:r w:rsidR="001F03C3" w:rsidRPr="00402E9C">
        <w:rPr>
          <w:lang w:val="pt-PT"/>
        </w:rPr>
        <w:t xml:space="preserve"> permanece</w:t>
      </w:r>
      <w:r w:rsidR="00DB1BED" w:rsidRPr="00402E9C">
        <w:rPr>
          <w:lang w:val="pt-PT"/>
        </w:rPr>
        <w:t xml:space="preserve"> estável e</w:t>
      </w:r>
      <w:r w:rsidR="001F03C3" w:rsidRPr="00402E9C">
        <w:rPr>
          <w:lang w:val="pt-PT"/>
        </w:rPr>
        <w:t xml:space="preserve"> </w:t>
      </w:r>
      <w:r w:rsidR="00DB1BED" w:rsidRPr="00402E9C">
        <w:rPr>
          <w:lang w:val="pt-PT"/>
        </w:rPr>
        <w:t xml:space="preserve">atraente para fusões e aquisições. A busca pelo aumento da lucratividade impulsiona as empresas residentes, para a obtenção de </w:t>
      </w:r>
      <w:r w:rsidR="00DB1BED" w:rsidRPr="00402E9C">
        <w:rPr>
          <w:i/>
          <w:lang w:val="pt-PT"/>
        </w:rPr>
        <w:t>know-how</w:t>
      </w:r>
      <w:r w:rsidR="00DB1BED" w:rsidRPr="00402E9C">
        <w:rPr>
          <w:lang w:val="pt-PT"/>
        </w:rPr>
        <w:t xml:space="preserve"> visando ganho de escala e maior </w:t>
      </w:r>
      <w:r w:rsidR="00DB1BED" w:rsidRPr="00402E9C">
        <w:rPr>
          <w:lang w:val="pt-PT"/>
        </w:rPr>
        <w:lastRenderedPageBreak/>
        <w:t>diversificação de produtos para obtenção de maior participação de mercado e consequente maximiz</w:t>
      </w:r>
      <w:r w:rsidR="006837A1" w:rsidRPr="00402E9C">
        <w:rPr>
          <w:lang w:val="pt-PT"/>
        </w:rPr>
        <w:t>a</w:t>
      </w:r>
      <w:r w:rsidR="00DB1BED" w:rsidRPr="00402E9C">
        <w:rPr>
          <w:lang w:val="pt-PT"/>
        </w:rPr>
        <w:t>ção dos ativos e crescimento do negócio</w:t>
      </w:r>
      <w:r w:rsidR="006837A1" w:rsidRPr="00402E9C">
        <w:rPr>
          <w:lang w:val="pt-PT"/>
        </w:rPr>
        <w:t>.</w:t>
      </w:r>
    </w:p>
    <w:p w14:paraId="4DD59654" w14:textId="77777777" w:rsidR="00334B3E" w:rsidRPr="00402E9C" w:rsidRDefault="00334B3E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 xml:space="preserve">Ganho de escala é a variável que indica o segundo maior percentual de probabilidade de ocorrência e alta </w:t>
      </w:r>
      <w:proofErr w:type="spellStart"/>
      <w:r w:rsidRPr="00402E9C">
        <w:t>favorabilidade</w:t>
      </w:r>
      <w:proofErr w:type="spellEnd"/>
      <w:r w:rsidRPr="00402E9C">
        <w:t>, respectivamente, com 75% e 75%. É uma razão de grande representatividade para a ocorrência de transação de F&amp;A, uma vez que ampliação e o desenvolvimento do negócio e sua permanência no mercado são fundamentais.</w:t>
      </w:r>
    </w:p>
    <w:p w14:paraId="15F4F015" w14:textId="77777777" w:rsidR="00DD2054" w:rsidRPr="00402E9C" w:rsidRDefault="00DD2054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>O crescimento do neg</w:t>
      </w:r>
      <w:r w:rsidR="00152815" w:rsidRPr="00402E9C">
        <w:t>ócio</w:t>
      </w:r>
      <w:r w:rsidRPr="00402E9C">
        <w:t xml:space="preserve"> aparece com 84% de probabilidade e </w:t>
      </w:r>
      <w:proofErr w:type="spellStart"/>
      <w:r w:rsidRPr="00402E9C">
        <w:t>favorabilidade</w:t>
      </w:r>
      <w:proofErr w:type="spellEnd"/>
      <w:r w:rsidRPr="00402E9C">
        <w:t xml:space="preserve"> de </w:t>
      </w:r>
      <w:proofErr w:type="spellStart"/>
      <w:r w:rsidRPr="00402E9C">
        <w:t>de</w:t>
      </w:r>
      <w:proofErr w:type="spellEnd"/>
      <w:r w:rsidRPr="00402E9C">
        <w:t xml:space="preserve"> 82%, ambos relativamente altos indicando ser uma variável de grande representatividade para as fusões e</w:t>
      </w:r>
      <w:r w:rsidR="006837A1" w:rsidRPr="00402E9C">
        <w:t xml:space="preserve"> aqui</w:t>
      </w:r>
      <w:r w:rsidRPr="00402E9C">
        <w:t xml:space="preserve">sições, que pode </w:t>
      </w:r>
      <w:r w:rsidR="00503BF6" w:rsidRPr="00402E9C">
        <w:t>ter como meio</w:t>
      </w:r>
      <w:r w:rsidRPr="00402E9C">
        <w:t xml:space="preserve"> de outros eventos correlacionados,</w:t>
      </w:r>
      <w:r w:rsidR="00503BF6" w:rsidRPr="00402E9C">
        <w:t xml:space="preserve"> como a obtenção da </w:t>
      </w:r>
      <w:r w:rsidR="00503BF6" w:rsidRPr="00402E9C">
        <w:rPr>
          <w:i/>
        </w:rPr>
        <w:t>know-how</w:t>
      </w:r>
      <w:r w:rsidR="00503BF6" w:rsidRPr="00402E9C">
        <w:t xml:space="preserve"> coorporativo ou tecnológico</w:t>
      </w:r>
      <w:r w:rsidR="00F04BFC" w:rsidRPr="00402E9C">
        <w:t>, diversificação de produtos e maior participação de mercado.</w:t>
      </w:r>
    </w:p>
    <w:p w14:paraId="70AB07C1" w14:textId="77777777" w:rsidR="00503BF6" w:rsidRPr="00402E9C" w:rsidRDefault="0042149D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>A o</w:t>
      </w:r>
      <w:r w:rsidR="00503BF6" w:rsidRPr="00402E9C">
        <w:t xml:space="preserve">btenção da </w:t>
      </w:r>
      <w:r w:rsidR="00503BF6" w:rsidRPr="00402E9C">
        <w:rPr>
          <w:i/>
        </w:rPr>
        <w:t>know-how</w:t>
      </w:r>
      <w:r w:rsidR="00503BF6" w:rsidRPr="00402E9C">
        <w:t xml:space="preserve"> coorporativo (tecnologia, práticas gerenciais e de mercado) possui probabilidade de 73% e </w:t>
      </w:r>
      <w:proofErr w:type="spellStart"/>
      <w:r w:rsidR="00503BF6" w:rsidRPr="00402E9C">
        <w:t>favorabilidade</w:t>
      </w:r>
      <w:proofErr w:type="spellEnd"/>
      <w:r w:rsidR="00503BF6" w:rsidRPr="00402E9C">
        <w:t xml:space="preserve"> de 70% sendo o terceiro na escala decrescente. O crescimento do negócio é função de sua capacidade de abrangência geográfica, seja na busca de redução de custos com logística, melhoria de qualidade, ou no aumento de sua capacidade, possibilitando, consequentemente, a ampliação do negócio conferindo a operação vantagem competitiva no mercado.</w:t>
      </w:r>
    </w:p>
    <w:p w14:paraId="6C5564CE" w14:textId="77777777" w:rsidR="00503BF6" w:rsidRPr="00402E9C" w:rsidRDefault="00152815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 xml:space="preserve">O </w:t>
      </w:r>
      <w:r w:rsidR="00503BF6" w:rsidRPr="00402E9C">
        <w:t xml:space="preserve">Aumento da lucratividade é a variável que indica o maior percentual de probabilidade de ocorrência e um dos maiores percentuais de </w:t>
      </w:r>
      <w:proofErr w:type="spellStart"/>
      <w:r w:rsidR="00503BF6" w:rsidRPr="00402E9C">
        <w:t>favorabilidade</w:t>
      </w:r>
      <w:proofErr w:type="spellEnd"/>
      <w:r w:rsidR="00503BF6" w:rsidRPr="00402E9C">
        <w:t>, respectivamente, com 80% e 76%. É um fator importante para estimulação da ocorrência de transaçõ</w:t>
      </w:r>
      <w:r w:rsidR="006837A1" w:rsidRPr="00402E9C">
        <w:t>es de F&amp;A, diretamente ligados a</w:t>
      </w:r>
      <w:r w:rsidR="00503BF6" w:rsidRPr="00402E9C">
        <w:t xml:space="preserve"> gestão, perpetuação da empresa e lucratividade no mercado.</w:t>
      </w:r>
    </w:p>
    <w:p w14:paraId="2309300B" w14:textId="7A140D2B" w:rsidR="00F04BFC" w:rsidRPr="00402E9C" w:rsidRDefault="00F04BFC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>A maior participaç</w:t>
      </w:r>
      <w:r w:rsidR="00152815" w:rsidRPr="00402E9C">
        <w:t>ão de mercado</w:t>
      </w:r>
      <w:r w:rsidR="00AD1DBD">
        <w:t>,</w:t>
      </w:r>
      <w:r w:rsidRPr="00402E9C">
        <w:t xml:space="preserve"> aliad</w:t>
      </w:r>
      <w:r w:rsidR="00AD1DBD">
        <w:t>a</w:t>
      </w:r>
      <w:r w:rsidRPr="00402E9C">
        <w:t xml:space="preserve"> a uma maior diversificaç</w:t>
      </w:r>
      <w:r w:rsidR="00152815" w:rsidRPr="00402E9C">
        <w:t>ão de produtos</w:t>
      </w:r>
      <w:r w:rsidRPr="00402E9C">
        <w:t xml:space="preserve"> apresentam respectivamente probabilidade de 84% e 78% e </w:t>
      </w:r>
      <w:proofErr w:type="spellStart"/>
      <w:r w:rsidRPr="00402E9C">
        <w:t>favorabilidade</w:t>
      </w:r>
      <w:proofErr w:type="spellEnd"/>
      <w:r w:rsidRPr="00402E9C">
        <w:t xml:space="preserve"> de 74% para</w:t>
      </w:r>
      <w:r w:rsidR="0042149D" w:rsidRPr="00402E9C">
        <w:t xml:space="preserve"> ambas, são importantes para o a</w:t>
      </w:r>
      <w:r w:rsidRPr="00402E9C">
        <w:t>umento da lucratividade, est</w:t>
      </w:r>
      <w:r w:rsidR="006837A1" w:rsidRPr="00402E9C">
        <w:t>ão diretamente ligados entre si</w:t>
      </w:r>
      <w:r w:rsidRPr="00402E9C">
        <w:t>. Ambos fazem parte do plano estratégico das empresas que buscam sucesso. São variáveis importantes para a melhoria da posição no mercado e tem relevância significativa como eventos consideráveis para a realização de transações seja de fusão ou de aquisição.</w:t>
      </w:r>
    </w:p>
    <w:p w14:paraId="3284DD8E" w14:textId="6D321808" w:rsidR="00334B3E" w:rsidRPr="00402E9C" w:rsidRDefault="00334B3E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>A estratégia de fusão e aquisição permite à</w:t>
      </w:r>
      <w:r w:rsidR="00687168" w:rsidRPr="00402E9C">
        <w:t>s</w:t>
      </w:r>
      <w:r w:rsidRPr="00402E9C">
        <w:t xml:space="preserve"> empresa</w:t>
      </w:r>
      <w:r w:rsidR="00687168" w:rsidRPr="00402E9C">
        <w:t>s</w:t>
      </w:r>
      <w:r w:rsidRPr="00402E9C">
        <w:t xml:space="preserve"> atingir</w:t>
      </w:r>
      <w:r w:rsidR="00687168" w:rsidRPr="00402E9C">
        <w:t>em</w:t>
      </w:r>
      <w:r w:rsidRPr="00402E9C">
        <w:t xml:space="preserve"> mercados antes inexplorados, </w:t>
      </w:r>
      <w:r w:rsidR="00687168" w:rsidRPr="00402E9C">
        <w:t xml:space="preserve">por meio </w:t>
      </w:r>
      <w:r w:rsidRPr="00402E9C">
        <w:t>da diversificação</w:t>
      </w:r>
      <w:r w:rsidRPr="00402E9C">
        <w:rPr>
          <w:bCs/>
        </w:rPr>
        <w:t xml:space="preserve"> sendo considerado um dos</w:t>
      </w:r>
      <w:r w:rsidR="00833013" w:rsidRPr="00402E9C">
        <w:rPr>
          <w:bCs/>
        </w:rPr>
        <w:t xml:space="preserve"> </w:t>
      </w:r>
      <w:r w:rsidRPr="00402E9C">
        <w:t xml:space="preserve">principais motivos para a </w:t>
      </w:r>
      <w:r w:rsidR="00CD32ED" w:rsidRPr="00402E9C">
        <w:t xml:space="preserve">realização das operações de F&amp;A. A </w:t>
      </w:r>
      <w:r w:rsidR="00687168" w:rsidRPr="00402E9C">
        <w:t xml:space="preserve">maior </w:t>
      </w:r>
      <w:r w:rsidR="00CD32ED" w:rsidRPr="00402E9C">
        <w:t>diversificação de produtos</w:t>
      </w:r>
      <w:r w:rsidRPr="00402E9C">
        <w:t xml:space="preserve"> </w:t>
      </w:r>
      <w:r w:rsidR="00CD32ED" w:rsidRPr="00402E9C">
        <w:t>apresenta</w:t>
      </w:r>
      <w:r w:rsidRPr="00402E9C">
        <w:t xml:space="preserve"> </w:t>
      </w:r>
      <w:r w:rsidR="00CD32ED" w:rsidRPr="00402E9C">
        <w:t xml:space="preserve">altas probabilidades e </w:t>
      </w:r>
      <w:proofErr w:type="spellStart"/>
      <w:r w:rsidR="00CD32ED" w:rsidRPr="00402E9C">
        <w:t>f</w:t>
      </w:r>
      <w:r w:rsidRPr="00402E9C">
        <w:t>avorabilidades</w:t>
      </w:r>
      <w:proofErr w:type="spellEnd"/>
      <w:r w:rsidRPr="00402E9C">
        <w:t xml:space="preserve">, possibilitando a expansão em novos mercados </w:t>
      </w:r>
      <w:r w:rsidR="001C6332" w:rsidRPr="00402E9C">
        <w:t>por meio</w:t>
      </w:r>
      <w:r w:rsidRPr="00402E9C">
        <w:t xml:space="preserve"> da diversificação de produtos e também o aumento do portfólio de clientes, tornando a empresa mais competitiva no mercado globalizado.</w:t>
      </w:r>
    </w:p>
    <w:p w14:paraId="18E8A18A" w14:textId="62412AE3" w:rsidR="00AD1DBD" w:rsidRPr="00121D79" w:rsidRDefault="00334B3E" w:rsidP="00121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faseIntensa"/>
          <w:rFonts w:ascii="Times New Roman" w:hAnsi="Times New Roman"/>
          <w:b w:val="0"/>
          <w:sz w:val="24"/>
          <w:szCs w:val="24"/>
        </w:rPr>
      </w:pPr>
      <w:r w:rsidRPr="00402E9C">
        <w:t>Apesar de ser uma estratégia relativamente pouco utilizada no país, percebe-se um aquecimento nos processos de fusões e aquisições no Brasil, com a identificação da necessidade de crescimento, expansão e globalização das empresas brasileiras.</w:t>
      </w:r>
      <w:bookmarkStart w:id="40" w:name="_Toc532850589"/>
    </w:p>
    <w:p w14:paraId="016B8572" w14:textId="187DAE83" w:rsidR="00AD1DBD" w:rsidRPr="005F2C8D" w:rsidRDefault="00A24EF7" w:rsidP="005F2C8D">
      <w:pPr>
        <w:pStyle w:val="Ttulo4"/>
        <w:spacing w:before="0" w:after="0" w:line="240" w:lineRule="auto"/>
        <w:rPr>
          <w:b/>
          <w:i w:val="0"/>
        </w:rPr>
      </w:pPr>
      <w:r w:rsidRPr="00AD1DBD">
        <w:rPr>
          <w:rStyle w:val="nfaseIntensa"/>
          <w:rFonts w:ascii="Times New Roman" w:hAnsi="Times New Roman"/>
          <w:i w:val="0"/>
          <w:sz w:val="24"/>
          <w:szCs w:val="24"/>
        </w:rPr>
        <w:t>4.6</w:t>
      </w:r>
      <w:r w:rsidR="00334B3E" w:rsidRPr="00AD1DBD">
        <w:rPr>
          <w:rStyle w:val="nfaseIntensa"/>
          <w:rFonts w:ascii="Times New Roman" w:hAnsi="Times New Roman"/>
          <w:i w:val="0"/>
          <w:sz w:val="24"/>
          <w:szCs w:val="24"/>
        </w:rPr>
        <w:t xml:space="preserve">.2 Cenário </w:t>
      </w:r>
      <w:r w:rsidR="00FC2B02" w:rsidRPr="00AD1DBD">
        <w:rPr>
          <w:rStyle w:val="nfaseIntensa"/>
          <w:rFonts w:ascii="Times New Roman" w:hAnsi="Times New Roman"/>
          <w:i w:val="0"/>
          <w:sz w:val="24"/>
          <w:szCs w:val="24"/>
        </w:rPr>
        <w:t>pessimista: “temporal”</w:t>
      </w:r>
      <w:bookmarkEnd w:id="40"/>
    </w:p>
    <w:p w14:paraId="3ECAA94E" w14:textId="63A30E61" w:rsidR="00040FB2" w:rsidRPr="00402E9C" w:rsidRDefault="00040FB2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 xml:space="preserve">As intempéries enfrentadas na conjuntura política Brasileira ocasionadas pelos altos níveis de corrupção abalam o </w:t>
      </w:r>
      <w:proofErr w:type="spellStart"/>
      <w:r w:rsidRPr="00402E9C">
        <w:t>interresse</w:t>
      </w:r>
      <w:proofErr w:type="spellEnd"/>
      <w:r w:rsidRPr="00402E9C">
        <w:t xml:space="preserve"> de investidores nacionais, assim como a instabilidade política mundial aumentam o risco e desencorajam investidores internacionais para realização de operações de F&amp;A no Brasil. A economia descreve um momento de pequenas crises com </w:t>
      </w:r>
      <w:r w:rsidR="008D0A32" w:rsidRPr="00402E9C">
        <w:t>a instabilidade política</w:t>
      </w:r>
      <w:r w:rsidRPr="00402E9C">
        <w:t>.</w:t>
      </w:r>
    </w:p>
    <w:p w14:paraId="7FCDF05F" w14:textId="77777777" w:rsidR="00040FB2" w:rsidRPr="00402E9C" w:rsidRDefault="00040FB2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t-PT"/>
        </w:rPr>
      </w:pPr>
      <w:r w:rsidRPr="00402E9C">
        <w:t>A</w:t>
      </w:r>
      <w:r w:rsidRPr="00402E9C">
        <w:rPr>
          <w:lang w:val="pt-PT"/>
        </w:rPr>
        <w:t xml:space="preserve"> situação econômica, sociais e políticas não são confortáveis para os negócios no Brasil. O panorama econômico não é propício para negócios, há instabilidade política nacional com altos índices de corrupção e internacional afetando diretamente o país, com perda de confiança no mercado e aumento em indexadores como a taxa de juros </w:t>
      </w:r>
      <w:proofErr w:type="spellStart"/>
      <w:r w:rsidRPr="00402E9C">
        <w:rPr>
          <w:lang w:val="pt-PT"/>
        </w:rPr>
        <w:t>desistimulam</w:t>
      </w:r>
      <w:proofErr w:type="spellEnd"/>
      <w:r w:rsidRPr="00402E9C">
        <w:rPr>
          <w:lang w:val="pt-PT"/>
        </w:rPr>
        <w:t xml:space="preserve"> a ocorrência de F&amp;A, mesmo com a desvalorização da moeda nacional, não há </w:t>
      </w:r>
      <w:proofErr w:type="spellStart"/>
      <w:r w:rsidRPr="00402E9C">
        <w:rPr>
          <w:lang w:val="pt-PT"/>
        </w:rPr>
        <w:t>interresse</w:t>
      </w:r>
      <w:proofErr w:type="spellEnd"/>
      <w:r w:rsidRPr="00402E9C">
        <w:rPr>
          <w:lang w:val="pt-PT"/>
        </w:rPr>
        <w:t xml:space="preserve"> do capital estrangeiro devido a instabilidade instalada.</w:t>
      </w:r>
    </w:p>
    <w:p w14:paraId="1A8B60F4" w14:textId="2F89F5F3" w:rsidR="00FC37B5" w:rsidRPr="00402E9C" w:rsidRDefault="00A65FCC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402E9C">
        <w:rPr>
          <w:bCs/>
        </w:rPr>
        <w:t>As m</w:t>
      </w:r>
      <w:r w:rsidR="00FC37B5" w:rsidRPr="00402E9C">
        <w:t>udanças radicais na conjuntu</w:t>
      </w:r>
      <w:r w:rsidR="00152815" w:rsidRPr="00402E9C">
        <w:t xml:space="preserve">ra política internacional e </w:t>
      </w:r>
      <w:r w:rsidRPr="00402E9C">
        <w:t>o a</w:t>
      </w:r>
      <w:r w:rsidR="00FC37B5" w:rsidRPr="00402E9C">
        <w:t>umento do</w:t>
      </w:r>
      <w:r w:rsidRPr="00402E9C">
        <w:t>s níveis de corrupção no Brasil</w:t>
      </w:r>
      <w:r w:rsidR="00FC37B5" w:rsidRPr="00402E9C">
        <w:t xml:space="preserve"> estão entre as apontadas como mais </w:t>
      </w:r>
      <w:proofErr w:type="spellStart"/>
      <w:r w:rsidR="00FC37B5" w:rsidRPr="00402E9C">
        <w:t>defavoráveis</w:t>
      </w:r>
      <w:proofErr w:type="spellEnd"/>
      <w:r w:rsidR="00FC37B5" w:rsidRPr="00402E9C">
        <w:t xml:space="preserve"> respectivamente 48% e 27% e </w:t>
      </w:r>
      <w:r w:rsidR="00FC37B5" w:rsidRPr="00402E9C">
        <w:lastRenderedPageBreak/>
        <w:t>tratam-se de eventos que não estão sob o controle e não são influenciad</w:t>
      </w:r>
      <w:r w:rsidR="006837A1" w:rsidRPr="00402E9C">
        <w:t>o</w:t>
      </w:r>
      <w:r w:rsidR="00FC37B5" w:rsidRPr="00402E9C">
        <w:t>s pelas companhias.</w:t>
      </w:r>
      <w:r w:rsidR="00FC37B5" w:rsidRPr="00402E9C">
        <w:rPr>
          <w:bCs/>
        </w:rPr>
        <w:t xml:space="preserve"> A questão de adequar-se às novas exigências do estado e mercado é condição necessária para as empresas se manterem atuando n</w:t>
      </w:r>
      <w:r w:rsidR="00A23E62" w:rsidRPr="00402E9C">
        <w:rPr>
          <w:bCs/>
        </w:rPr>
        <w:t>o mercado e driblar a crise polí</w:t>
      </w:r>
      <w:r w:rsidR="00FC37B5" w:rsidRPr="00402E9C">
        <w:rPr>
          <w:bCs/>
        </w:rPr>
        <w:t>tico-econômica.</w:t>
      </w:r>
    </w:p>
    <w:p w14:paraId="70132E9B" w14:textId="77777777" w:rsidR="004950B6" w:rsidRPr="00402E9C" w:rsidRDefault="004950B6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 xml:space="preserve">A instabilidade política causada pelas mudanças na </w:t>
      </w:r>
      <w:proofErr w:type="spellStart"/>
      <w:r w:rsidRPr="00402E9C">
        <w:t>conjutura</w:t>
      </w:r>
      <w:proofErr w:type="spellEnd"/>
      <w:r w:rsidRPr="00402E9C">
        <w:t xml:space="preserve"> pol</w:t>
      </w:r>
      <w:r w:rsidR="00152815" w:rsidRPr="00402E9C">
        <w:t>ítica nacional</w:t>
      </w:r>
      <w:r w:rsidR="00A23E62" w:rsidRPr="00402E9C">
        <w:t xml:space="preserve"> </w:t>
      </w:r>
      <w:r w:rsidRPr="00402E9C">
        <w:t xml:space="preserve">com probabilidade de 69% e a baixa </w:t>
      </w:r>
      <w:proofErr w:type="spellStart"/>
      <w:r w:rsidRPr="00402E9C">
        <w:t>favorabilidade</w:t>
      </w:r>
      <w:proofErr w:type="spellEnd"/>
      <w:r w:rsidRPr="00402E9C">
        <w:t xml:space="preserve"> cerca de 44% são diretamente </w:t>
      </w:r>
      <w:proofErr w:type="spellStart"/>
      <w:r w:rsidRPr="00402E9C">
        <w:t>infuenciados</w:t>
      </w:r>
      <w:proofErr w:type="spellEnd"/>
      <w:r w:rsidRPr="00402E9C">
        <w:t xml:space="preserve"> pelos</w:t>
      </w:r>
      <w:r w:rsidR="00A65FCC" w:rsidRPr="00402E9C">
        <w:t xml:space="preserve"> altas índices de corrupção</w:t>
      </w:r>
      <w:r w:rsidRPr="00402E9C">
        <w:t xml:space="preserve"> deflagrados no país que apresenta probabilidade</w:t>
      </w:r>
      <w:r w:rsidR="00152815" w:rsidRPr="00402E9C">
        <w:t xml:space="preserve"> relativamente alta</w:t>
      </w:r>
      <w:r w:rsidR="009D26E4" w:rsidRPr="00402E9C">
        <w:t xml:space="preserve"> </w:t>
      </w:r>
      <w:r w:rsidRPr="00402E9C">
        <w:t xml:space="preserve">(60%) e a mais baixa </w:t>
      </w:r>
      <w:proofErr w:type="spellStart"/>
      <w:r w:rsidRPr="00402E9C">
        <w:t>favorabilidade</w:t>
      </w:r>
      <w:proofErr w:type="spellEnd"/>
      <w:r w:rsidRPr="00402E9C">
        <w:t xml:space="preserve"> com 27%</w:t>
      </w:r>
      <w:r w:rsidR="00F940C4" w:rsidRPr="00402E9C">
        <w:t xml:space="preserve"> desestimulando a ocorrência de operações de</w:t>
      </w:r>
      <w:r w:rsidR="00A23E62" w:rsidRPr="00402E9C">
        <w:t xml:space="preserve"> </w:t>
      </w:r>
      <w:r w:rsidR="00F940C4" w:rsidRPr="00402E9C">
        <w:t>F&amp;A.</w:t>
      </w:r>
    </w:p>
    <w:p w14:paraId="519A7DB2" w14:textId="7917386D" w:rsidR="00AD1DBD" w:rsidRPr="00121D79" w:rsidRDefault="001F3631" w:rsidP="00121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faseIntensa"/>
          <w:rFonts w:ascii="Times New Roman" w:hAnsi="Times New Roman"/>
          <w:b w:val="0"/>
          <w:sz w:val="24"/>
          <w:szCs w:val="24"/>
        </w:rPr>
      </w:pPr>
      <w:r w:rsidRPr="00402E9C">
        <w:t>O Cenário pessimista chamado de “</w:t>
      </w:r>
      <w:r w:rsidRPr="00402E9C">
        <w:rPr>
          <w:i/>
        </w:rPr>
        <w:t>temporal”</w:t>
      </w:r>
      <w:r w:rsidRPr="00402E9C">
        <w:t xml:space="preserve"> é composto por cinco eventos que apresentam médias e elevadas probabilidades de ocorrência e que tenham média e baixa </w:t>
      </w:r>
      <w:proofErr w:type="spellStart"/>
      <w:r w:rsidRPr="00402E9C">
        <w:t>favorabilidade</w:t>
      </w:r>
      <w:proofErr w:type="spellEnd"/>
      <w:r w:rsidRPr="00402E9C">
        <w:t>, ou seja, denotem ser desfavoráveis para ocorrência das transações. São variáveis desfavoráveis às empresas e que podem indicar a tomada de ações no presente para minimizar seus efeitos no futuro sobre as fusões e aquisições.</w:t>
      </w:r>
      <w:bookmarkStart w:id="41" w:name="_Toc532850590"/>
    </w:p>
    <w:p w14:paraId="390C2403" w14:textId="2D27D4F9" w:rsidR="00AD1DBD" w:rsidRPr="00AD1DBD" w:rsidRDefault="00A24EF7" w:rsidP="00AD1DBD">
      <w:pPr>
        <w:pStyle w:val="Ttulo4"/>
        <w:spacing w:before="0" w:after="0" w:line="240" w:lineRule="auto"/>
        <w:rPr>
          <w:b/>
          <w:i w:val="0"/>
        </w:rPr>
      </w:pPr>
      <w:r w:rsidRPr="00AD1DBD">
        <w:rPr>
          <w:rStyle w:val="nfaseIntensa"/>
          <w:rFonts w:ascii="Times New Roman" w:hAnsi="Times New Roman"/>
          <w:i w:val="0"/>
          <w:sz w:val="24"/>
          <w:szCs w:val="24"/>
        </w:rPr>
        <w:t>4.6</w:t>
      </w:r>
      <w:r w:rsidR="00CB12D1" w:rsidRPr="00AD1DBD">
        <w:rPr>
          <w:rStyle w:val="nfaseIntensa"/>
          <w:rFonts w:ascii="Times New Roman" w:hAnsi="Times New Roman"/>
          <w:i w:val="0"/>
          <w:sz w:val="24"/>
          <w:szCs w:val="24"/>
        </w:rPr>
        <w:t>.3</w:t>
      </w:r>
      <w:r w:rsidR="00FC2B02" w:rsidRPr="00AD1DBD">
        <w:rPr>
          <w:rStyle w:val="nfaseIntensa"/>
          <w:rFonts w:ascii="Times New Roman" w:hAnsi="Times New Roman"/>
          <w:i w:val="0"/>
          <w:sz w:val="24"/>
          <w:szCs w:val="24"/>
        </w:rPr>
        <w:t xml:space="preserve"> Cenário realista: “parcialmente nublado”</w:t>
      </w:r>
      <w:bookmarkEnd w:id="41"/>
    </w:p>
    <w:p w14:paraId="753FFC50" w14:textId="2ED4E96F" w:rsidR="008D0A32" w:rsidRPr="00402E9C" w:rsidRDefault="008D0A32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 xml:space="preserve">A economia vive um momento de crescimento razoável com a maior abertura de crédito no país, o comércio exterior cresce impulsionado pelas mudanças na conjuntura política internacional aumentando a dimensão do mercado, direcionando as Companhias a desenvolverem estratégias para entrada em novos mercados com bom potencial </w:t>
      </w:r>
      <w:r w:rsidR="001C6332" w:rsidRPr="00402E9C">
        <w:t>por meio</w:t>
      </w:r>
      <w:r w:rsidRPr="00402E9C">
        <w:t xml:space="preserve"> de operações de F&amp;A, visando ganho de escala com a ampliação de suas operações, diversificação de produtos e consequentemente aumento da lucratividade dos negócios.</w:t>
      </w:r>
    </w:p>
    <w:p w14:paraId="32BF78A2" w14:textId="77777777" w:rsidR="00334B3E" w:rsidRPr="00402E9C" w:rsidRDefault="00A23E62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>O</w:t>
      </w:r>
      <w:r w:rsidR="00334B3E" w:rsidRPr="00402E9C">
        <w:t xml:space="preserve"> Ganho de escala e Aumento da </w:t>
      </w:r>
      <w:r w:rsidR="00DF2384" w:rsidRPr="00402E9C">
        <w:t>lucratividade</w:t>
      </w:r>
      <w:r w:rsidR="00334B3E" w:rsidRPr="00402E9C">
        <w:t xml:space="preserve"> podem es</w:t>
      </w:r>
      <w:r w:rsidR="009D26E4" w:rsidRPr="00402E9C">
        <w:t>tar conectados,</w:t>
      </w:r>
      <w:r w:rsidR="00334B3E" w:rsidRPr="00402E9C">
        <w:t xml:space="preserve"> </w:t>
      </w:r>
      <w:r w:rsidR="00737E21" w:rsidRPr="00402E9C">
        <w:t>apresentaram</w:t>
      </w:r>
      <w:r w:rsidR="00334B3E" w:rsidRPr="00402E9C">
        <w:t xml:space="preserve"> probabilidade obtendo o valor </w:t>
      </w:r>
      <w:r w:rsidR="00DF2384" w:rsidRPr="00402E9C">
        <w:t xml:space="preserve">respectivamente </w:t>
      </w:r>
      <w:r w:rsidR="00334B3E" w:rsidRPr="00402E9C">
        <w:t xml:space="preserve">de 75% </w:t>
      </w:r>
      <w:r w:rsidR="00DF2384" w:rsidRPr="00402E9C">
        <w:t>e 80%</w:t>
      </w:r>
      <w:r w:rsidR="00334B3E" w:rsidRPr="00402E9C">
        <w:t>, tendo influencia di</w:t>
      </w:r>
      <w:r w:rsidR="00DF2384" w:rsidRPr="00402E9C">
        <w:t>reta da</w:t>
      </w:r>
      <w:r w:rsidR="00334B3E" w:rsidRPr="00402E9C">
        <w:t xml:space="preserve"> </w:t>
      </w:r>
      <w:r w:rsidR="00DF2384" w:rsidRPr="00402E9C">
        <w:t>o</w:t>
      </w:r>
      <w:r w:rsidR="00334B3E" w:rsidRPr="00402E9C">
        <w:t>btenção d</w:t>
      </w:r>
      <w:r w:rsidR="00DF2384" w:rsidRPr="00402E9C">
        <w:t>e</w:t>
      </w:r>
      <w:r w:rsidR="00334B3E" w:rsidRPr="00402E9C">
        <w:t xml:space="preserve"> </w:t>
      </w:r>
      <w:r w:rsidR="00334B3E" w:rsidRPr="00402E9C">
        <w:rPr>
          <w:i/>
        </w:rPr>
        <w:t>know-how</w:t>
      </w:r>
      <w:r w:rsidR="00334B3E" w:rsidRPr="00402E9C">
        <w:t xml:space="preserve"> coorporativo (tecnologia, práticas gerenciais e de merc</w:t>
      </w:r>
      <w:r w:rsidR="00DF2384" w:rsidRPr="00402E9C">
        <w:t>ado) e maior integração da cadeia produtiva</w:t>
      </w:r>
      <w:r w:rsidR="00334B3E" w:rsidRPr="00402E9C">
        <w:t xml:space="preserve"> </w:t>
      </w:r>
      <w:r w:rsidR="001C6332" w:rsidRPr="00402E9C">
        <w:t>por meio</w:t>
      </w:r>
      <w:r w:rsidR="00334B3E" w:rsidRPr="00402E9C">
        <w:t xml:space="preserve"> d</w:t>
      </w:r>
      <w:r w:rsidR="001C6332" w:rsidRPr="00402E9C">
        <w:t>a</w:t>
      </w:r>
      <w:r w:rsidR="00334B3E" w:rsidRPr="00402E9C">
        <w:t xml:space="preserve"> inovação, tecnologia, buscando maior abrangência na diversificação do </w:t>
      </w:r>
      <w:proofErr w:type="spellStart"/>
      <w:r w:rsidR="00334B3E" w:rsidRPr="00402E9C">
        <w:t>porfílio</w:t>
      </w:r>
      <w:proofErr w:type="spellEnd"/>
      <w:r w:rsidR="00334B3E" w:rsidRPr="00402E9C">
        <w:t xml:space="preserve"> e obtendo vantagem</w:t>
      </w:r>
      <w:r w:rsidR="00DF2384" w:rsidRPr="00402E9C">
        <w:t xml:space="preserve"> competitiva com m</w:t>
      </w:r>
      <w:r w:rsidR="00334B3E" w:rsidRPr="00402E9C">
        <w:t>aio</w:t>
      </w:r>
      <w:r w:rsidRPr="00402E9C">
        <w:t>r diversificação de produtos</w:t>
      </w:r>
      <w:r w:rsidR="00334B3E" w:rsidRPr="00402E9C">
        <w:t xml:space="preserve"> e </w:t>
      </w:r>
      <w:proofErr w:type="spellStart"/>
      <w:r w:rsidR="00DF2384" w:rsidRPr="00402E9C">
        <w:t>conhecimneto</w:t>
      </w:r>
      <w:proofErr w:type="spellEnd"/>
      <w:r w:rsidR="00DF2384" w:rsidRPr="00402E9C">
        <w:t xml:space="preserve"> do mercado conseque</w:t>
      </w:r>
      <w:r w:rsidR="00334B3E" w:rsidRPr="00402E9C">
        <w:t xml:space="preserve">ntemente obtendo bons resultados da operação e </w:t>
      </w:r>
      <w:r w:rsidRPr="00402E9C">
        <w:t>maximização dos ativos</w:t>
      </w:r>
      <w:r w:rsidR="00334B3E" w:rsidRPr="00402E9C">
        <w:t>.</w:t>
      </w:r>
    </w:p>
    <w:p w14:paraId="7683A428" w14:textId="77777777" w:rsidR="00334B3E" w:rsidRPr="00402E9C" w:rsidRDefault="002C3C89" w:rsidP="00AD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>A</w:t>
      </w:r>
      <w:r w:rsidR="00334B3E" w:rsidRPr="00402E9C">
        <w:t xml:space="preserve"> ampliação da rede de distribuição e logística</w:t>
      </w:r>
      <w:r w:rsidR="00A54176" w:rsidRPr="00402E9C">
        <w:t xml:space="preserve"> por meio</w:t>
      </w:r>
      <w:r w:rsidRPr="00402E9C">
        <w:t xml:space="preserve"> d</w:t>
      </w:r>
      <w:r w:rsidR="00334B3E" w:rsidRPr="00402E9C">
        <w:t xml:space="preserve">e </w:t>
      </w:r>
      <w:proofErr w:type="spellStart"/>
      <w:r w:rsidRPr="00402E9C">
        <w:t>de</w:t>
      </w:r>
      <w:proofErr w:type="spellEnd"/>
      <w:r w:rsidRPr="00402E9C">
        <w:t xml:space="preserve"> </w:t>
      </w:r>
      <w:r w:rsidRPr="00402E9C">
        <w:rPr>
          <w:i/>
        </w:rPr>
        <w:t>know-how</w:t>
      </w:r>
      <w:r w:rsidRPr="00402E9C">
        <w:t xml:space="preserve"> coorporativo </w:t>
      </w:r>
      <w:r w:rsidR="00334B3E" w:rsidRPr="00402E9C">
        <w:t xml:space="preserve">pode ser um direcional para o desenvolvimento de </w:t>
      </w:r>
      <w:r w:rsidR="00DF2384" w:rsidRPr="00402E9C">
        <w:t>e</w:t>
      </w:r>
      <w:r w:rsidR="00334B3E" w:rsidRPr="00402E9C">
        <w:t>stratégia para entrad</w:t>
      </w:r>
      <w:r w:rsidR="00A23E62" w:rsidRPr="00402E9C">
        <w:t xml:space="preserve">a em novos mercados </w:t>
      </w:r>
      <w:r w:rsidR="00334B3E" w:rsidRPr="00402E9C">
        <w:t xml:space="preserve"> com uma probabilidade em torno de 73% e </w:t>
      </w:r>
      <w:proofErr w:type="spellStart"/>
      <w:r w:rsidR="00334B3E" w:rsidRPr="00402E9C">
        <w:t>favorabilidade</w:t>
      </w:r>
      <w:proofErr w:type="spellEnd"/>
      <w:r w:rsidR="00334B3E" w:rsidRPr="00402E9C">
        <w:t xml:space="preserve"> de 67% mostra-se como uma importante estratégia para atração e viabilização de F&amp;A, principalmente do tipo domésticas com a integração e desenvolvimento da rede logística no país.</w:t>
      </w:r>
    </w:p>
    <w:p w14:paraId="25E19EE7" w14:textId="0ADCB85E" w:rsidR="00141A24" w:rsidRPr="00121D79" w:rsidRDefault="00334B3E" w:rsidP="00121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2E9C">
        <w:t>O aumento expressivo do investimen</w:t>
      </w:r>
      <w:r w:rsidR="002C3C89" w:rsidRPr="00402E9C">
        <w:t>to com a liberação de crédito, o Brasil</w:t>
      </w:r>
      <w:r w:rsidRPr="00402E9C">
        <w:t xml:space="preserve"> atrativ</w:t>
      </w:r>
      <w:r w:rsidR="002C3C89" w:rsidRPr="00402E9C">
        <w:t>o</w:t>
      </w:r>
      <w:r w:rsidRPr="00402E9C">
        <w:t xml:space="preserve"> para a ocorrência de fusões e aquisições. A ocorrência do mesmo possibilita melhores condições de interações de mercado, estando ligado </w:t>
      </w:r>
      <w:r w:rsidR="002C3C89" w:rsidRPr="00402E9C">
        <w:t>a</w:t>
      </w:r>
      <w:r w:rsidRPr="00402E9C">
        <w:t>o aumento de volume de negócios em geral.</w:t>
      </w:r>
      <w:bookmarkStart w:id="42" w:name="_Toc532850591"/>
    </w:p>
    <w:p w14:paraId="20DE9C2B" w14:textId="77777777" w:rsidR="000A54FE" w:rsidRDefault="00141A24" w:rsidP="00141A24">
      <w:pPr>
        <w:jc w:val="both"/>
      </w:pPr>
      <w:r w:rsidRPr="00402E9C">
        <w:t xml:space="preserve">A aplicabilidade do estudo de Cenários ocorre, especialmente, em condições de incerteza e complexidade como a atualmente vivida no Brasil, o que permite adotar uma metodologia que contempla questões operacionais na prospecção de cenários. O modelo adotado na presente pesquisa baseou-se no método proposto por </w:t>
      </w:r>
      <w:proofErr w:type="spellStart"/>
      <w:r w:rsidRPr="00402E9C">
        <w:t>Blanning</w:t>
      </w:r>
      <w:proofErr w:type="spellEnd"/>
      <w:r w:rsidRPr="00402E9C">
        <w:t xml:space="preserve"> e </w:t>
      </w:r>
      <w:proofErr w:type="spellStart"/>
      <w:r w:rsidRPr="00402E9C">
        <w:t>Reinig</w:t>
      </w:r>
      <w:proofErr w:type="spellEnd"/>
      <w:r w:rsidRPr="00402E9C">
        <w:t xml:space="preserve"> (1998), complementado pelos métodos de </w:t>
      </w:r>
      <w:proofErr w:type="spellStart"/>
      <w:r w:rsidRPr="00402E9C">
        <w:t>Godet</w:t>
      </w:r>
      <w:proofErr w:type="spellEnd"/>
      <w:r w:rsidRPr="00402E9C">
        <w:t xml:space="preserve"> (2000) e Marcial e </w:t>
      </w:r>
      <w:proofErr w:type="spellStart"/>
      <w:r w:rsidRPr="00402E9C">
        <w:t>Grumbach</w:t>
      </w:r>
      <w:proofErr w:type="spellEnd"/>
      <w:r w:rsidRPr="00402E9C">
        <w:t xml:space="preserve"> (2002). </w:t>
      </w:r>
    </w:p>
    <w:p w14:paraId="4180A685" w14:textId="77777777" w:rsidR="000A54FE" w:rsidRDefault="000A54FE" w:rsidP="00141A24">
      <w:pPr>
        <w:jc w:val="both"/>
      </w:pPr>
      <w:r>
        <w:t>A pesquisa contribui para a galeria de trabalhos já publicados com este método</w:t>
      </w:r>
      <w:r w:rsidRPr="000A54FE">
        <w:t xml:space="preserve"> </w:t>
      </w:r>
      <w:r>
        <w:t>(</w:t>
      </w:r>
      <w:r w:rsidRPr="00402E9C">
        <w:t xml:space="preserve">Branquinho </w:t>
      </w:r>
      <w:r>
        <w:t>&amp;</w:t>
      </w:r>
      <w:r w:rsidRPr="00402E9C">
        <w:t xml:space="preserve"> Machado Neto</w:t>
      </w:r>
      <w:r>
        <w:t xml:space="preserve">, </w:t>
      </w:r>
      <w:r w:rsidRPr="00402E9C">
        <w:t>2017</w:t>
      </w:r>
      <w:r>
        <w:t xml:space="preserve">, </w:t>
      </w:r>
      <w:r w:rsidRPr="00402E9C">
        <w:t>Ribeiro e Forte</w:t>
      </w:r>
      <w:r>
        <w:t xml:space="preserve">, </w:t>
      </w:r>
      <w:r w:rsidRPr="00402E9C">
        <w:t>2020</w:t>
      </w:r>
      <w:r>
        <w:t xml:space="preserve">, </w:t>
      </w:r>
      <w:proofErr w:type="spellStart"/>
      <w:r w:rsidRPr="00402E9C">
        <w:t>Spada</w:t>
      </w:r>
      <w:proofErr w:type="spellEnd"/>
      <w:r w:rsidRPr="00402E9C">
        <w:t xml:space="preserve"> </w:t>
      </w:r>
      <w:r>
        <w:t>&amp;</w:t>
      </w:r>
      <w:r w:rsidRPr="00402E9C">
        <w:t xml:space="preserve"> Forte</w:t>
      </w:r>
      <w:r>
        <w:t xml:space="preserve">, </w:t>
      </w:r>
      <w:r w:rsidRPr="00402E9C">
        <w:t>2018</w:t>
      </w:r>
      <w:r>
        <w:t xml:space="preserve">, e </w:t>
      </w:r>
      <w:r w:rsidRPr="00402E9C">
        <w:t>Silva, Machado Neto, &amp; Guerra</w:t>
      </w:r>
      <w:r>
        <w:t xml:space="preserve">, </w:t>
      </w:r>
      <w:r w:rsidRPr="00402E9C">
        <w:t>2020)</w:t>
      </w:r>
      <w:r>
        <w:t>.</w:t>
      </w:r>
    </w:p>
    <w:p w14:paraId="5A051F1C" w14:textId="7D13A4D2" w:rsidR="000A54FE" w:rsidRDefault="000A54FE" w:rsidP="00141A24">
      <w:pPr>
        <w:jc w:val="both"/>
      </w:pPr>
      <w:r>
        <w:t xml:space="preserve"> </w:t>
      </w:r>
      <w:r w:rsidR="00141A24" w:rsidRPr="00402E9C">
        <w:t>A pesquisa propôs-se a elaborar cenários para as Fusões e Aquisições no Brasil buscando a demonstração da relevância da aplicação de instrumentos que norteiem a estratégia do mercado e, consequentemente, das empresas.</w:t>
      </w:r>
      <w:r>
        <w:t xml:space="preserve"> Espera-se, que no </w:t>
      </w:r>
      <w:proofErr w:type="spellStart"/>
      <w:r>
        <w:t>cenáro</w:t>
      </w:r>
      <w:proofErr w:type="spellEnd"/>
      <w:r>
        <w:t xml:space="preserve"> otimista e realista, as F&amp;A </w:t>
      </w:r>
      <w:proofErr w:type="spellStart"/>
      <w:r w:rsidRPr="000A54FE">
        <w:rPr>
          <w:i/>
          <w:iCs/>
        </w:rPr>
        <w:t>cross</w:t>
      </w:r>
      <w:proofErr w:type="spellEnd"/>
      <w:r>
        <w:rPr>
          <w:i/>
          <w:iCs/>
        </w:rPr>
        <w:t xml:space="preserve"> </w:t>
      </w:r>
      <w:proofErr w:type="spellStart"/>
      <w:r w:rsidRPr="000A54FE">
        <w:rPr>
          <w:i/>
          <w:iCs/>
        </w:rPr>
        <w:t>border</w:t>
      </w:r>
      <w:proofErr w:type="spellEnd"/>
      <w:r>
        <w:t xml:space="preserve"> continuem predominando (</w:t>
      </w:r>
      <w:proofErr w:type="spellStart"/>
      <w:r>
        <w:t>Kpmg</w:t>
      </w:r>
      <w:proofErr w:type="spellEnd"/>
      <w:r>
        <w:t xml:space="preserve">, 2018, </w:t>
      </w:r>
      <w:proofErr w:type="spellStart"/>
      <w:r w:rsidRPr="00402E9C">
        <w:t>P</w:t>
      </w:r>
      <w:r>
        <w:t>wc</w:t>
      </w:r>
      <w:proofErr w:type="spellEnd"/>
      <w:r w:rsidRPr="00402E9C">
        <w:t>, 2015).</w:t>
      </w:r>
    </w:p>
    <w:p w14:paraId="198A127B" w14:textId="593E706C" w:rsidR="00141A24" w:rsidRPr="00402E9C" w:rsidRDefault="00141A24" w:rsidP="00141A24">
      <w:pPr>
        <w:jc w:val="both"/>
      </w:pPr>
      <w:r w:rsidRPr="00402E9C">
        <w:t>Vale salientar algumas limitações a seguir: (i) a subjetividade da lista de eventos elaborada na pesquisa com base nas referências e na experiência dos pesquisadores; (</w:t>
      </w:r>
      <w:proofErr w:type="spellStart"/>
      <w:r w:rsidRPr="00402E9C">
        <w:t>ii</w:t>
      </w:r>
      <w:proofErr w:type="spellEnd"/>
      <w:r w:rsidRPr="00402E9C">
        <w:t>) o relativo número da amostra e (</w:t>
      </w:r>
      <w:proofErr w:type="spellStart"/>
      <w:r w:rsidRPr="00402E9C">
        <w:t>iii</w:t>
      </w:r>
      <w:proofErr w:type="spellEnd"/>
      <w:r w:rsidRPr="00402E9C">
        <w:t>) a instabilidade atual do mercado/governo brasileiro.</w:t>
      </w:r>
    </w:p>
    <w:p w14:paraId="0EE620DB" w14:textId="4A4A77C5" w:rsidR="00AD1DBD" w:rsidRPr="005F2C8D" w:rsidRDefault="00FC2B02" w:rsidP="005F2C8D">
      <w:pPr>
        <w:pStyle w:val="Ttulo2"/>
        <w:spacing w:before="0" w:after="0" w:line="240" w:lineRule="auto"/>
        <w:ind w:left="0" w:firstLine="0"/>
        <w:rPr>
          <w:rFonts w:ascii="Times New Roman" w:hAnsi="Times New Roman"/>
        </w:rPr>
      </w:pPr>
      <w:r w:rsidRPr="00402E9C">
        <w:rPr>
          <w:rFonts w:ascii="Times New Roman" w:hAnsi="Times New Roman"/>
        </w:rPr>
        <w:lastRenderedPageBreak/>
        <w:t xml:space="preserve">5 </w:t>
      </w:r>
      <w:bookmarkEnd w:id="42"/>
      <w:r w:rsidR="00687168" w:rsidRPr="00402E9C">
        <w:rPr>
          <w:rFonts w:ascii="Times New Roman" w:hAnsi="Times New Roman"/>
        </w:rPr>
        <w:t>CONCLUSÃO</w:t>
      </w:r>
      <w:bookmarkStart w:id="43" w:name="_Toc532688627"/>
      <w:bookmarkStart w:id="44" w:name="_Toc532850592"/>
    </w:p>
    <w:bookmarkEnd w:id="43"/>
    <w:bookmarkEnd w:id="44"/>
    <w:p w14:paraId="0932B4C9" w14:textId="3E3952F1" w:rsidR="00AD1DBD" w:rsidRPr="00402E9C" w:rsidRDefault="00AD1DBD" w:rsidP="00CB000E">
      <w:pPr>
        <w:jc w:val="both"/>
      </w:pPr>
      <w:proofErr w:type="spellStart"/>
      <w:r>
        <w:t>Concluise-se</w:t>
      </w:r>
      <w:proofErr w:type="spellEnd"/>
      <w:r>
        <w:t xml:space="preserve">, </w:t>
      </w:r>
      <w:r>
        <w:tab/>
        <w:t xml:space="preserve">que pode </w:t>
      </w:r>
      <w:proofErr w:type="spellStart"/>
      <w:r>
        <w:t>faver</w:t>
      </w:r>
      <w:proofErr w:type="spellEnd"/>
      <w:r w:rsidR="00334B3E" w:rsidRPr="00402E9C">
        <w:t xml:space="preserve"> um crescente </w:t>
      </w:r>
      <w:r>
        <w:t>esforço</w:t>
      </w:r>
      <w:r w:rsidR="00334B3E" w:rsidRPr="00402E9C">
        <w:t xml:space="preserve"> pelo me</w:t>
      </w:r>
      <w:r w:rsidR="00810F4C" w:rsidRPr="00402E9C">
        <w:t>l</w:t>
      </w:r>
      <w:r w:rsidR="004977FA" w:rsidRPr="00402E9C">
        <w:t>hor direcionamento</w:t>
      </w:r>
      <w:r w:rsidR="00334B3E" w:rsidRPr="00402E9C">
        <w:t xml:space="preserve"> das decisões coorporativas para a realização de operações de F&amp;A e </w:t>
      </w:r>
      <w:r w:rsidR="00687168" w:rsidRPr="00402E9C">
        <w:t xml:space="preserve">de </w:t>
      </w:r>
      <w:r w:rsidR="00334B3E" w:rsidRPr="00402E9C">
        <w:t xml:space="preserve">quais estratégias necessitam ser desenvolvidas diante dos cenários possíveis para viabilização </w:t>
      </w:r>
      <w:r w:rsidR="00A34DCB" w:rsidRPr="00402E9C">
        <w:t>de bons resultados desta.</w:t>
      </w:r>
      <w:r w:rsidR="00334B3E" w:rsidRPr="00402E9C">
        <w:t xml:space="preserve"> </w:t>
      </w:r>
      <w:r w:rsidR="00A54176" w:rsidRPr="00402E9C">
        <w:t>Por meio</w:t>
      </w:r>
      <w:r w:rsidR="00334B3E" w:rsidRPr="00402E9C">
        <w:t xml:space="preserve"> dos cenários pode-se diminuir os impactos negativos e alavancar os resultados dos negócios, </w:t>
      </w:r>
      <w:r w:rsidR="00A34DCB" w:rsidRPr="00402E9C">
        <w:t xml:space="preserve">e </w:t>
      </w:r>
      <w:r w:rsidR="00334B3E" w:rsidRPr="00402E9C">
        <w:t>assim, aumentar as chances de tornar</w:t>
      </w:r>
      <w:r w:rsidR="00A34DCB" w:rsidRPr="00402E9C">
        <w:t>-se mais competitivo no mercado.</w:t>
      </w:r>
    </w:p>
    <w:p w14:paraId="4BBA83D6" w14:textId="2143F532" w:rsidR="00141A24" w:rsidRPr="000F4CB5" w:rsidRDefault="00C53F77" w:rsidP="00696E74">
      <w:pPr>
        <w:jc w:val="both"/>
      </w:pPr>
      <w:bookmarkStart w:id="45" w:name="_Toc532850593"/>
      <w:r w:rsidRPr="00402E9C">
        <w:t>Sugere-se replicar esse estudo</w:t>
      </w:r>
      <w:r w:rsidR="00AD1DBD">
        <w:t xml:space="preserve"> </w:t>
      </w:r>
      <w:r w:rsidRPr="00402E9C">
        <w:t xml:space="preserve">após cinco anos, no ano de 2021, como de praxe o sistema de inteligência competitiva </w:t>
      </w:r>
      <w:r w:rsidR="00AD1DBD">
        <w:t xml:space="preserve">(Marcial &amp; </w:t>
      </w:r>
      <w:r w:rsidR="0030624B">
        <w:t>Costa, 2001)</w:t>
      </w:r>
      <w:r w:rsidRPr="00402E9C">
        <w:t xml:space="preserve">, incorporando estratégias, recursos e </w:t>
      </w:r>
      <w:proofErr w:type="spellStart"/>
      <w:r w:rsidRPr="00402E9C">
        <w:t>desmpenho</w:t>
      </w:r>
      <w:proofErr w:type="spellEnd"/>
      <w:r w:rsidRPr="00402E9C">
        <w:t xml:space="preserve"> das empresas no processo de construção de cenários.</w:t>
      </w:r>
    </w:p>
    <w:p w14:paraId="2BD24F23" w14:textId="01343AA5" w:rsidR="000E192B" w:rsidRPr="00402E9C" w:rsidRDefault="008A0D5A" w:rsidP="005F2C8D">
      <w:pPr>
        <w:pStyle w:val="Ttulo2"/>
        <w:spacing w:before="0" w:after="0" w:line="240" w:lineRule="auto"/>
        <w:ind w:left="0" w:firstLine="0"/>
        <w:rPr>
          <w:rFonts w:ascii="Times New Roman" w:hAnsi="Times New Roman"/>
          <w:color w:val="auto"/>
          <w:lang w:val="en-US"/>
        </w:rPr>
      </w:pPr>
      <w:r w:rsidRPr="00402E9C">
        <w:rPr>
          <w:rFonts w:ascii="Times New Roman" w:hAnsi="Times New Roman"/>
          <w:color w:val="auto"/>
          <w:lang w:val="en-US"/>
        </w:rPr>
        <w:t>Referências</w:t>
      </w:r>
      <w:bookmarkEnd w:id="45"/>
    </w:p>
    <w:p w14:paraId="3E32C0D7" w14:textId="26F8EB56" w:rsidR="00886769" w:rsidRPr="00402E9C" w:rsidRDefault="00886769" w:rsidP="0030624B">
      <w:pPr>
        <w:ind w:left="567" w:hanging="567"/>
        <w:rPr>
          <w:lang w:val="en-US"/>
        </w:rPr>
      </w:pPr>
      <w:r w:rsidRPr="00402E9C">
        <w:rPr>
          <w:lang w:val="en-US"/>
        </w:rPr>
        <w:t>Ali-</w:t>
      </w:r>
      <w:proofErr w:type="spellStart"/>
      <w:r w:rsidRPr="00402E9C">
        <w:rPr>
          <w:lang w:val="en-US"/>
        </w:rPr>
        <w:t>yrkko</w:t>
      </w:r>
      <w:proofErr w:type="spellEnd"/>
      <w:r w:rsidRPr="00402E9C">
        <w:rPr>
          <w:lang w:val="en-US"/>
        </w:rPr>
        <w:t xml:space="preserve">, J. (2002). </w:t>
      </w:r>
      <w:r w:rsidRPr="00402E9C">
        <w:rPr>
          <w:i/>
          <w:lang w:val="en-US"/>
        </w:rPr>
        <w:t>Mergers and acquisitions: Reason and results</w:t>
      </w:r>
      <w:r w:rsidRPr="00402E9C">
        <w:rPr>
          <w:lang w:val="en-US"/>
        </w:rPr>
        <w:t xml:space="preserve">. ETLA Discussion Papers, </w:t>
      </w:r>
      <w:r w:rsidR="001E5256" w:rsidRPr="00402E9C">
        <w:rPr>
          <w:lang w:val="en-US"/>
        </w:rPr>
        <w:t>the</w:t>
      </w:r>
      <w:r w:rsidRPr="00402E9C">
        <w:rPr>
          <w:lang w:val="en-US"/>
        </w:rPr>
        <w:t xml:space="preserve"> Research Institute of the Finnish Economy.</w:t>
      </w:r>
    </w:p>
    <w:p w14:paraId="3C1CCAC0" w14:textId="4BA5B6ED" w:rsidR="00295C84" w:rsidRPr="00402E9C" w:rsidRDefault="00295C84" w:rsidP="0030624B">
      <w:pPr>
        <w:ind w:left="567" w:hanging="567"/>
      </w:pPr>
      <w:proofErr w:type="spellStart"/>
      <w:r w:rsidRPr="00402E9C">
        <w:t>Bardin</w:t>
      </w:r>
      <w:proofErr w:type="spellEnd"/>
      <w:r w:rsidRPr="00402E9C">
        <w:t>, L.</w:t>
      </w:r>
      <w:r w:rsidR="00D460EC" w:rsidRPr="00402E9C">
        <w:t xml:space="preserve"> </w:t>
      </w:r>
      <w:r w:rsidRPr="00402E9C">
        <w:t>(201</w:t>
      </w:r>
      <w:r w:rsidR="00D460EC" w:rsidRPr="00402E9C">
        <w:t>6</w:t>
      </w:r>
      <w:r w:rsidRPr="00402E9C">
        <w:t xml:space="preserve">). </w:t>
      </w:r>
      <w:r w:rsidRPr="00402E9C">
        <w:rPr>
          <w:i/>
          <w:iCs/>
        </w:rPr>
        <w:t>Análise de conteúdo</w:t>
      </w:r>
      <w:r w:rsidRPr="00402E9C">
        <w:t>. São Paulo: Edições 70</w:t>
      </w:r>
      <w:r w:rsidR="001E5256" w:rsidRPr="00402E9C">
        <w:t>.</w:t>
      </w:r>
    </w:p>
    <w:p w14:paraId="379B0F01" w14:textId="0F294BAE" w:rsidR="00886769" w:rsidRPr="00402E9C" w:rsidRDefault="008A0D5A" w:rsidP="00315C8D">
      <w:pPr>
        <w:ind w:left="851" w:hanging="851"/>
      </w:pPr>
      <w:proofErr w:type="spellStart"/>
      <w:r w:rsidRPr="00402E9C">
        <w:t>Blanning</w:t>
      </w:r>
      <w:proofErr w:type="spellEnd"/>
      <w:r w:rsidRPr="00402E9C">
        <w:t xml:space="preserve">, R.W., &amp; </w:t>
      </w:r>
      <w:proofErr w:type="spellStart"/>
      <w:r w:rsidRPr="00402E9C">
        <w:t>Reining</w:t>
      </w:r>
      <w:proofErr w:type="spellEnd"/>
      <w:r w:rsidRPr="00402E9C">
        <w:t xml:space="preserve">, B.A. (1998). </w:t>
      </w:r>
      <w:r w:rsidR="00886769" w:rsidRPr="00402E9C">
        <w:rPr>
          <w:lang w:val="en-US"/>
        </w:rPr>
        <w:t xml:space="preserve">Building Scenarios for Hong Kong Using EMS. </w:t>
      </w:r>
      <w:proofErr w:type="spellStart"/>
      <w:r w:rsidR="00886769" w:rsidRPr="00402E9C">
        <w:rPr>
          <w:i/>
        </w:rPr>
        <w:t>Long</w:t>
      </w:r>
      <w:proofErr w:type="spellEnd"/>
      <w:r w:rsidR="00886769" w:rsidRPr="00402E9C">
        <w:rPr>
          <w:i/>
        </w:rPr>
        <w:t xml:space="preserve"> </w:t>
      </w:r>
      <w:proofErr w:type="spellStart"/>
      <w:r w:rsidR="00886769" w:rsidRPr="00402E9C">
        <w:rPr>
          <w:i/>
        </w:rPr>
        <w:t>Rang</w:t>
      </w:r>
      <w:proofErr w:type="spellEnd"/>
      <w:r w:rsidR="00886769" w:rsidRPr="00402E9C">
        <w:rPr>
          <w:i/>
        </w:rPr>
        <w:t xml:space="preserve"> Planning</w:t>
      </w:r>
      <w:r w:rsidR="00886769" w:rsidRPr="00402E9C">
        <w:t xml:space="preserve">, </w:t>
      </w:r>
      <w:r w:rsidR="00886769" w:rsidRPr="00402E9C">
        <w:rPr>
          <w:i/>
        </w:rPr>
        <w:t>31</w:t>
      </w:r>
      <w:r w:rsidR="00886769" w:rsidRPr="00402E9C">
        <w:t>, 900-910.</w:t>
      </w:r>
    </w:p>
    <w:p w14:paraId="3E49004B" w14:textId="0142C193" w:rsidR="00A7647E" w:rsidRPr="00402E9C" w:rsidRDefault="00A7647E" w:rsidP="00696E74">
      <w:pPr>
        <w:ind w:left="851" w:hanging="851"/>
        <w:jc w:val="both"/>
      </w:pPr>
      <w:r w:rsidRPr="00402E9C">
        <w:t xml:space="preserve">Branquinho, R.&amp; Machado Neto, A. </w:t>
      </w:r>
      <w:proofErr w:type="gramStart"/>
      <w:r w:rsidRPr="00402E9C">
        <w:t>J(</w:t>
      </w:r>
      <w:proofErr w:type="gramEnd"/>
      <w:r w:rsidRPr="00402E9C">
        <w:t xml:space="preserve">2017). </w:t>
      </w:r>
      <w:proofErr w:type="spellStart"/>
      <w:r w:rsidRPr="00402E9C">
        <w:t>Turbulências</w:t>
      </w:r>
      <w:proofErr w:type="spellEnd"/>
      <w:r w:rsidRPr="00402E9C">
        <w:t xml:space="preserve"> Na Lagoa Azul: </w:t>
      </w:r>
      <w:proofErr w:type="spellStart"/>
      <w:r w:rsidRPr="00402E9C">
        <w:t>Prospecção</w:t>
      </w:r>
      <w:proofErr w:type="spellEnd"/>
      <w:r w:rsidRPr="00402E9C">
        <w:t xml:space="preserve"> De </w:t>
      </w:r>
      <w:proofErr w:type="spellStart"/>
      <w:r w:rsidRPr="00402E9C">
        <w:t>Cenários</w:t>
      </w:r>
      <w:proofErr w:type="spellEnd"/>
      <w:r w:rsidRPr="00402E9C">
        <w:t xml:space="preserve"> Para O Setor </w:t>
      </w:r>
      <w:proofErr w:type="spellStart"/>
      <w:r w:rsidRPr="00402E9C">
        <w:t>Turístico</w:t>
      </w:r>
      <w:proofErr w:type="spellEnd"/>
      <w:r w:rsidRPr="00402E9C">
        <w:t xml:space="preserve"> De Franca (</w:t>
      </w:r>
      <w:proofErr w:type="spellStart"/>
      <w:r w:rsidRPr="00402E9C">
        <w:t>Sp</w:t>
      </w:r>
      <w:proofErr w:type="spellEnd"/>
      <w:r w:rsidRPr="00402E9C">
        <w:t xml:space="preserve">) E </w:t>
      </w:r>
      <w:proofErr w:type="spellStart"/>
      <w:r w:rsidRPr="00402E9C">
        <w:t>Região</w:t>
      </w:r>
      <w:proofErr w:type="spellEnd"/>
      <w:r w:rsidRPr="00402E9C">
        <w:t xml:space="preserve">, 2017-2021, </w:t>
      </w:r>
      <w:r w:rsidRPr="00402E9C">
        <w:rPr>
          <w:i/>
          <w:iCs/>
        </w:rPr>
        <w:t xml:space="preserve">FACEF Pesquisa: Desenvolvimento e </w:t>
      </w:r>
      <w:proofErr w:type="spellStart"/>
      <w:r w:rsidRPr="00402E9C">
        <w:rPr>
          <w:i/>
          <w:iCs/>
        </w:rPr>
        <w:t>Gestão</w:t>
      </w:r>
      <w:proofErr w:type="spellEnd"/>
      <w:r w:rsidRPr="00402E9C">
        <w:t>, v.20, n.3 - set/out/</w:t>
      </w:r>
      <w:proofErr w:type="spellStart"/>
      <w:r w:rsidRPr="00402E9C">
        <w:t>nov</w:t>
      </w:r>
      <w:proofErr w:type="spellEnd"/>
      <w:r w:rsidRPr="00402E9C">
        <w:t xml:space="preserve">/dez </w:t>
      </w:r>
    </w:p>
    <w:p w14:paraId="3F2E3F5F" w14:textId="13F3F036" w:rsidR="00EC1E51" w:rsidRPr="00402E9C" w:rsidRDefault="009C7B06" w:rsidP="00EC1E51">
      <w:pPr>
        <w:ind w:left="851" w:hanging="851"/>
      </w:pPr>
      <w:proofErr w:type="spellStart"/>
      <w:r w:rsidRPr="00402E9C">
        <w:t>B</w:t>
      </w:r>
      <w:r w:rsidR="001E5256" w:rsidRPr="00402E9C">
        <w:t>ortoluzzo</w:t>
      </w:r>
      <w:proofErr w:type="spellEnd"/>
      <w:r w:rsidR="001E5256" w:rsidRPr="00402E9C">
        <w:t>, A. B.</w:t>
      </w:r>
      <w:r w:rsidR="00B31520" w:rsidRPr="00402E9C">
        <w:t xml:space="preserve">, </w:t>
      </w:r>
      <w:r w:rsidRPr="00402E9C">
        <w:t xml:space="preserve">Garcia, M. P. S, </w:t>
      </w:r>
      <w:proofErr w:type="spellStart"/>
      <w:r w:rsidRPr="00402E9C">
        <w:t>Boehe</w:t>
      </w:r>
      <w:proofErr w:type="spellEnd"/>
      <w:r w:rsidRPr="00402E9C">
        <w:t xml:space="preserve">, D. M, </w:t>
      </w:r>
      <w:proofErr w:type="spellStart"/>
      <w:r w:rsidRPr="00402E9C">
        <w:t>Sheng</w:t>
      </w:r>
      <w:proofErr w:type="spellEnd"/>
      <w:r w:rsidRPr="00402E9C">
        <w:t>, H. H</w:t>
      </w:r>
      <w:r w:rsidR="00F33C54" w:rsidRPr="00402E9C">
        <w:t>.</w:t>
      </w:r>
      <w:r w:rsidRPr="00402E9C">
        <w:t xml:space="preserve"> (2014).</w:t>
      </w:r>
      <w:r w:rsidR="00B31520" w:rsidRPr="00402E9C">
        <w:t xml:space="preserve"> </w:t>
      </w:r>
      <w:r w:rsidRPr="00402E9C">
        <w:t xml:space="preserve">Desempenho de fusões e aquisições </w:t>
      </w:r>
      <w:proofErr w:type="spellStart"/>
      <w:r w:rsidRPr="00402E9C">
        <w:t>cross</w:t>
      </w:r>
      <w:proofErr w:type="spellEnd"/>
      <w:r w:rsidRPr="00402E9C">
        <w:t xml:space="preserve"> </w:t>
      </w:r>
      <w:proofErr w:type="spellStart"/>
      <w:r w:rsidRPr="00402E9C">
        <w:t>border</w:t>
      </w:r>
      <w:proofErr w:type="spellEnd"/>
      <w:r w:rsidRPr="00402E9C">
        <w:t>: análise empírica do caso brasileiro</w:t>
      </w:r>
      <w:r w:rsidR="00D460EC" w:rsidRPr="00402E9C">
        <w:t xml:space="preserve">. </w:t>
      </w:r>
      <w:r w:rsidRPr="00402E9C">
        <w:rPr>
          <w:i/>
          <w:iCs/>
        </w:rPr>
        <w:t>RAE- Revista de Administração de Empresas</w:t>
      </w:r>
      <w:r w:rsidR="00D460EC" w:rsidRPr="00402E9C">
        <w:t xml:space="preserve">, </w:t>
      </w:r>
      <w:r w:rsidRPr="00402E9C">
        <w:t xml:space="preserve">São Paulo, Brasil, </w:t>
      </w:r>
      <w:r w:rsidR="00D460EC" w:rsidRPr="00402E9C">
        <w:t>v</w:t>
      </w:r>
      <w:r w:rsidRPr="00402E9C">
        <w:t>. 54, n. 6.</w:t>
      </w:r>
    </w:p>
    <w:p w14:paraId="1499077B" w14:textId="5205AF98" w:rsidR="00EC1E51" w:rsidRPr="00402E9C" w:rsidRDefault="00EC1E51" w:rsidP="00EC1E51">
      <w:pPr>
        <w:ind w:left="851" w:hanging="851"/>
      </w:pPr>
      <w:r w:rsidRPr="00402E9C">
        <w:rPr>
          <w:lang w:val="en-US"/>
        </w:rPr>
        <w:t xml:space="preserve">Bradfield, R.; Cairns, G.; Wright, G. (2015). Teaching scenario analysis—An action learning pedagogy. </w:t>
      </w:r>
      <w:proofErr w:type="spellStart"/>
      <w:r w:rsidRPr="00402E9C">
        <w:rPr>
          <w:i/>
          <w:iCs/>
        </w:rPr>
        <w:t>Technological</w:t>
      </w:r>
      <w:proofErr w:type="spellEnd"/>
      <w:r w:rsidRPr="00402E9C">
        <w:rPr>
          <w:i/>
          <w:iCs/>
        </w:rPr>
        <w:t xml:space="preserve"> </w:t>
      </w:r>
      <w:proofErr w:type="spellStart"/>
      <w:r w:rsidRPr="00402E9C">
        <w:rPr>
          <w:i/>
          <w:iCs/>
        </w:rPr>
        <w:t>Forecasting</w:t>
      </w:r>
      <w:proofErr w:type="spellEnd"/>
      <w:r w:rsidRPr="00402E9C">
        <w:rPr>
          <w:i/>
          <w:iCs/>
        </w:rPr>
        <w:t xml:space="preserve"> </w:t>
      </w:r>
      <w:proofErr w:type="spellStart"/>
      <w:r w:rsidRPr="00402E9C">
        <w:rPr>
          <w:i/>
          <w:iCs/>
        </w:rPr>
        <w:t>and</w:t>
      </w:r>
      <w:proofErr w:type="spellEnd"/>
      <w:r w:rsidRPr="00402E9C">
        <w:rPr>
          <w:i/>
          <w:iCs/>
        </w:rPr>
        <w:t xml:space="preserve"> Social </w:t>
      </w:r>
      <w:proofErr w:type="spellStart"/>
      <w:r w:rsidRPr="00402E9C">
        <w:rPr>
          <w:i/>
          <w:iCs/>
        </w:rPr>
        <w:t>Change</w:t>
      </w:r>
      <w:proofErr w:type="spellEnd"/>
      <w:r w:rsidRPr="00402E9C">
        <w:t>, v. 100, p. 44-52.</w:t>
      </w:r>
    </w:p>
    <w:p w14:paraId="478B3560" w14:textId="2119A022" w:rsidR="00BE26E6" w:rsidRPr="00402E9C" w:rsidRDefault="00BE26E6" w:rsidP="00BE26E6">
      <w:pPr>
        <w:ind w:left="851" w:hanging="851"/>
      </w:pPr>
      <w:r w:rsidRPr="00402E9C">
        <w:t xml:space="preserve">Brasil. (1976). Lei nº 6.404, de 15.12.1976: </w:t>
      </w:r>
      <w:r w:rsidRPr="00402E9C">
        <w:rPr>
          <w:i/>
          <w:iCs/>
        </w:rPr>
        <w:t>Dispõe sobre as Sociedades por Ações</w:t>
      </w:r>
      <w:r w:rsidRPr="00402E9C">
        <w:t>: Disponível em: http://www.planalto.gov.br/ Acesso em: 02.05.2019.</w:t>
      </w:r>
    </w:p>
    <w:p w14:paraId="529B5861" w14:textId="77777777" w:rsidR="00886769" w:rsidRPr="00402E9C" w:rsidRDefault="00886769" w:rsidP="00315C8D">
      <w:pPr>
        <w:ind w:left="851" w:hanging="851"/>
      </w:pPr>
      <w:r w:rsidRPr="00402E9C">
        <w:t xml:space="preserve">Britto, J. N. P. (1992). </w:t>
      </w:r>
      <w:r w:rsidRPr="00402E9C">
        <w:rPr>
          <w:i/>
        </w:rPr>
        <w:t>A dinâmica de diversificação produtiva da firma: Em busca de um quadro analítico integrado</w:t>
      </w:r>
      <w:r w:rsidRPr="00402E9C">
        <w:t xml:space="preserve">. Dissertação de mestrado, Universidade Estadual de Campinas, Campinas, </w:t>
      </w:r>
      <w:r w:rsidR="00A54176" w:rsidRPr="00402E9C">
        <w:t>SP, Bra</w:t>
      </w:r>
      <w:r w:rsidRPr="00402E9C">
        <w:t>sil.</w:t>
      </w:r>
    </w:p>
    <w:p w14:paraId="2C9A51DD" w14:textId="4F413BBA" w:rsidR="00886769" w:rsidRPr="00402E9C" w:rsidRDefault="0030624B" w:rsidP="00315C8D">
      <w:pPr>
        <w:ind w:left="851" w:hanging="851"/>
      </w:pPr>
      <w:proofErr w:type="spellStart"/>
      <w:r w:rsidRPr="00402E9C">
        <w:t>Cade</w:t>
      </w:r>
      <w:proofErr w:type="spellEnd"/>
      <w:r w:rsidR="00886769" w:rsidRPr="00402E9C">
        <w:t xml:space="preserve">. (2013). </w:t>
      </w:r>
      <w:r w:rsidR="00886769" w:rsidRPr="00402E9C">
        <w:rPr>
          <w:i/>
        </w:rPr>
        <w:t>Defesa da concorrência no Brasil: 50 anos</w:t>
      </w:r>
      <w:r w:rsidR="00886769" w:rsidRPr="00402E9C">
        <w:t>. Brasília: Conselho Administrativo de Defesa Econômica.</w:t>
      </w:r>
    </w:p>
    <w:p w14:paraId="37434FD8" w14:textId="77777777" w:rsidR="00886769" w:rsidRPr="00402E9C" w:rsidRDefault="00886769" w:rsidP="00315C8D">
      <w:pPr>
        <w:ind w:left="851" w:hanging="851"/>
      </w:pPr>
      <w:r w:rsidRPr="00402E9C">
        <w:t xml:space="preserve">Caixeta, R. P. O Processo de Fusão e Aquisição (2010): Um estudo de caso de uma Micro e Pequena Empresa (MPE). </w:t>
      </w:r>
      <w:r w:rsidRPr="00402E9C">
        <w:rPr>
          <w:i/>
          <w:iCs/>
        </w:rPr>
        <w:t>Anais do Encontro Nacional da Associação Nacional de Pós-Graduação e Pesquisa em Administração</w:t>
      </w:r>
      <w:r w:rsidRPr="00402E9C">
        <w:t xml:space="preserve">, </w:t>
      </w:r>
      <w:r w:rsidR="00736DE0" w:rsidRPr="00402E9C">
        <w:t>Florianópolis</w:t>
      </w:r>
      <w:r w:rsidRPr="00402E9C">
        <w:t xml:space="preserve">, </w:t>
      </w:r>
      <w:r w:rsidR="00736DE0" w:rsidRPr="00402E9C">
        <w:t>SC</w:t>
      </w:r>
      <w:r w:rsidR="00B50E75" w:rsidRPr="00402E9C">
        <w:t>, Brasil</w:t>
      </w:r>
      <w:r w:rsidRPr="00402E9C">
        <w:t>.</w:t>
      </w:r>
    </w:p>
    <w:p w14:paraId="2C5AF307" w14:textId="0A7B43CE" w:rsidR="00B50E75" w:rsidRPr="00402E9C" w:rsidRDefault="00B50E75" w:rsidP="00B50E75">
      <w:pPr>
        <w:ind w:left="851" w:hanging="851"/>
      </w:pPr>
      <w:proofErr w:type="spellStart"/>
      <w:r w:rsidRPr="00402E9C">
        <w:rPr>
          <w:lang w:val="en-US"/>
        </w:rPr>
        <w:t>Caldeira</w:t>
      </w:r>
      <w:proofErr w:type="spellEnd"/>
      <w:r w:rsidRPr="00402E9C">
        <w:rPr>
          <w:lang w:val="en-US"/>
        </w:rPr>
        <w:t xml:space="preserve">, A., Fonseca, A. F., Gonzales, D. A., Souza, K. G. (2017) Cooperative strategies for competitiveness in the Brazilian Textile sector: the role of class entities. </w:t>
      </w:r>
      <w:r w:rsidR="008A0D5A" w:rsidRPr="00402E9C">
        <w:rPr>
          <w:i/>
          <w:iCs/>
        </w:rPr>
        <w:t xml:space="preserve">Systems &amp; Management </w:t>
      </w:r>
      <w:proofErr w:type="spellStart"/>
      <w:r w:rsidR="008A0D5A" w:rsidRPr="00402E9C">
        <w:rPr>
          <w:i/>
          <w:iCs/>
        </w:rPr>
        <w:t>electronic</w:t>
      </w:r>
      <w:proofErr w:type="spellEnd"/>
      <w:r w:rsidR="008A0D5A" w:rsidRPr="00402E9C">
        <w:rPr>
          <w:i/>
          <w:iCs/>
        </w:rPr>
        <w:t xml:space="preserve"> magazine</w:t>
      </w:r>
      <w:r w:rsidR="00D460EC" w:rsidRPr="00402E9C">
        <w:t>,</w:t>
      </w:r>
      <w:r w:rsidR="008A0D5A" w:rsidRPr="00402E9C">
        <w:t xml:space="preserve"> </w:t>
      </w:r>
      <w:proofErr w:type="gramStart"/>
      <w:r w:rsidR="00693B0B">
        <w:t>v.</w:t>
      </w:r>
      <w:r w:rsidR="008A0D5A" w:rsidRPr="00402E9C">
        <w:t>12 ,</w:t>
      </w:r>
      <w:proofErr w:type="gramEnd"/>
      <w:r w:rsidR="008A0D5A" w:rsidRPr="00402E9C">
        <w:t xml:space="preserve"> </w:t>
      </w:r>
      <w:r w:rsidR="00693B0B">
        <w:t xml:space="preserve">n. 3, </w:t>
      </w:r>
      <w:r w:rsidR="008A0D5A" w:rsidRPr="00402E9C">
        <w:t>pp 295-307.</w:t>
      </w:r>
    </w:p>
    <w:p w14:paraId="382A1A0D" w14:textId="77777777" w:rsidR="00886769" w:rsidRPr="00402E9C" w:rsidRDefault="00886769" w:rsidP="00315C8D">
      <w:pPr>
        <w:ind w:left="851" w:hanging="851"/>
      </w:pPr>
      <w:proofErr w:type="spellStart"/>
      <w:r w:rsidRPr="00402E9C">
        <w:t>Camargos</w:t>
      </w:r>
      <w:proofErr w:type="spellEnd"/>
      <w:r w:rsidRPr="00402E9C">
        <w:t xml:space="preserve">, M. A. de, &amp; Barbosa, F. V. (2003). Fusões, aquisições e </w:t>
      </w:r>
      <w:proofErr w:type="spellStart"/>
      <w:r w:rsidRPr="00402E9C">
        <w:t>takeovers</w:t>
      </w:r>
      <w:proofErr w:type="spellEnd"/>
      <w:r w:rsidRPr="00402E9C">
        <w:t xml:space="preserve">: um levantamento teórico dos Motivos, hipóteses testáveis e evidências empíricas. </w:t>
      </w:r>
      <w:r w:rsidRPr="00402E9C">
        <w:rPr>
          <w:i/>
        </w:rPr>
        <w:t>Caderno de Pesquisas em Administração</w:t>
      </w:r>
      <w:r w:rsidRPr="00402E9C">
        <w:t xml:space="preserve">, </w:t>
      </w:r>
      <w:r w:rsidRPr="00402E9C">
        <w:rPr>
          <w:i/>
        </w:rPr>
        <w:t>10</w:t>
      </w:r>
      <w:r w:rsidRPr="00402E9C">
        <w:t>(2), 17-38.</w:t>
      </w:r>
    </w:p>
    <w:p w14:paraId="42363BA4" w14:textId="77777777" w:rsidR="00886769" w:rsidRPr="00402E9C" w:rsidRDefault="00886769" w:rsidP="00315C8D">
      <w:pPr>
        <w:ind w:left="851" w:hanging="851"/>
      </w:pPr>
      <w:proofErr w:type="spellStart"/>
      <w:r w:rsidRPr="00402E9C">
        <w:t>Camargos</w:t>
      </w:r>
      <w:proofErr w:type="spellEnd"/>
      <w:r w:rsidRPr="00402E9C">
        <w:t xml:space="preserve">, M. A. de, &amp; Barbosa, F. V. (2013). Análise do desempenho econômico-financeiro e da criação de sinergias em processos de Fusão e Aquisição do mercado brasileiro ocorridos entre 1995 e 1999. </w:t>
      </w:r>
      <w:r w:rsidRPr="00402E9C">
        <w:rPr>
          <w:i/>
        </w:rPr>
        <w:t>Caderno de Pesquisas em Administração</w:t>
      </w:r>
      <w:r w:rsidRPr="00402E9C">
        <w:t xml:space="preserve">, São Paulo, </w:t>
      </w:r>
      <w:r w:rsidRPr="00402E9C">
        <w:rPr>
          <w:i/>
        </w:rPr>
        <w:t>12</w:t>
      </w:r>
      <w:r w:rsidRPr="00402E9C">
        <w:t>(2), 99-115.</w:t>
      </w:r>
    </w:p>
    <w:p w14:paraId="0F51DA34" w14:textId="6531DC57" w:rsidR="00E60ACF" w:rsidRPr="00402E9C" w:rsidRDefault="00BF7BE5" w:rsidP="00E60ACF">
      <w:pPr>
        <w:ind w:left="851" w:hanging="851"/>
      </w:pPr>
      <w:proofErr w:type="spellStart"/>
      <w:r w:rsidRPr="00402E9C">
        <w:t>Camargos</w:t>
      </w:r>
      <w:proofErr w:type="spellEnd"/>
      <w:r w:rsidR="00E60ACF" w:rsidRPr="00402E9C">
        <w:t>, M. A; B</w:t>
      </w:r>
      <w:r w:rsidR="00D460EC" w:rsidRPr="00402E9C">
        <w:t>arbosa</w:t>
      </w:r>
      <w:r w:rsidR="00E60ACF" w:rsidRPr="00402E9C">
        <w:t xml:space="preserve">, F. V. (2005). Análise do desempenho </w:t>
      </w:r>
      <w:proofErr w:type="spellStart"/>
      <w:r w:rsidR="00E60ACF" w:rsidRPr="00402E9C">
        <w:t>econômicofinanceiro</w:t>
      </w:r>
      <w:proofErr w:type="spellEnd"/>
      <w:r w:rsidR="00E60ACF" w:rsidRPr="00402E9C">
        <w:t xml:space="preserve"> e da criação de sinergias em processos de fusões e aquisições do mercado brasileiro ocorridos entre 1995 e 1999. </w:t>
      </w:r>
      <w:r w:rsidR="00E60ACF" w:rsidRPr="00402E9C">
        <w:rPr>
          <w:i/>
          <w:iCs/>
        </w:rPr>
        <w:t>Caderno de Pesquisas em Administração USP</w:t>
      </w:r>
      <w:r w:rsidR="00E60ACF" w:rsidRPr="00402E9C">
        <w:t>, v. 12, n. 2, p. 99-115.</w:t>
      </w:r>
    </w:p>
    <w:p w14:paraId="522CBC81" w14:textId="105311E0" w:rsidR="00886769" w:rsidRPr="00402E9C" w:rsidRDefault="00886769" w:rsidP="00315C8D">
      <w:pPr>
        <w:ind w:left="851" w:hanging="851"/>
      </w:pPr>
      <w:r w:rsidRPr="00402E9C">
        <w:t xml:space="preserve">Cano, M. (2002). </w:t>
      </w:r>
      <w:r w:rsidRPr="00402E9C">
        <w:rPr>
          <w:i/>
          <w:iCs/>
        </w:rPr>
        <w:t>O Recente processo de fusões e aquisições na economia brasileira: um estudo dos coeficientes do com</w:t>
      </w:r>
      <w:r w:rsidR="00D460EC" w:rsidRPr="00402E9C">
        <w:rPr>
          <w:i/>
          <w:iCs/>
        </w:rPr>
        <w:t>é</w:t>
      </w:r>
      <w:r w:rsidRPr="00402E9C">
        <w:rPr>
          <w:i/>
          <w:iCs/>
        </w:rPr>
        <w:t>rcio</w:t>
      </w:r>
      <w:r w:rsidRPr="00402E9C">
        <w:t xml:space="preserve">. Dissertação de mestrado, Universidade </w:t>
      </w:r>
      <w:r w:rsidR="00A54176" w:rsidRPr="00402E9C">
        <w:t>Estadual de Campinas, Campinas, SP</w:t>
      </w:r>
      <w:r w:rsidRPr="00402E9C">
        <w:t>, Brasil.</w:t>
      </w:r>
    </w:p>
    <w:p w14:paraId="194882DF" w14:textId="77777777" w:rsidR="00886769" w:rsidRPr="00402E9C" w:rsidRDefault="00886769" w:rsidP="00315C8D">
      <w:pPr>
        <w:ind w:left="851" w:hanging="851"/>
      </w:pPr>
      <w:r w:rsidRPr="00402E9C">
        <w:lastRenderedPageBreak/>
        <w:t xml:space="preserve">Considera, C. M., &amp; Albuquerque, K. (2001). </w:t>
      </w:r>
      <w:r w:rsidRPr="00402E9C">
        <w:rPr>
          <w:i/>
          <w:lang w:val="en-US"/>
        </w:rPr>
        <w:t xml:space="preserve">The relationship between competition policy and regulation </w:t>
      </w:r>
      <w:r w:rsidR="00881EF1" w:rsidRPr="00402E9C">
        <w:rPr>
          <w:i/>
          <w:lang w:val="en-US"/>
        </w:rPr>
        <w:t>Brazilian</w:t>
      </w:r>
      <w:r w:rsidRPr="00402E9C">
        <w:rPr>
          <w:i/>
          <w:lang w:val="en-US"/>
        </w:rPr>
        <w:t xml:space="preserve"> economy</w:t>
      </w:r>
      <w:r w:rsidRPr="00402E9C">
        <w:rPr>
          <w:lang w:val="en-US"/>
        </w:rPr>
        <w:t xml:space="preserve">. </w:t>
      </w:r>
      <w:proofErr w:type="spellStart"/>
      <w:r w:rsidRPr="00402E9C">
        <w:t>Brasilia</w:t>
      </w:r>
      <w:proofErr w:type="spellEnd"/>
      <w:r w:rsidRPr="00402E9C">
        <w:t xml:space="preserve">: </w:t>
      </w:r>
      <w:proofErr w:type="spellStart"/>
      <w:r w:rsidRPr="00402E9C">
        <w:t>Ministerio</w:t>
      </w:r>
      <w:proofErr w:type="spellEnd"/>
      <w:r w:rsidRPr="00402E9C">
        <w:t xml:space="preserve"> da Fazenda/SEAE. </w:t>
      </w:r>
      <w:proofErr w:type="spellStart"/>
      <w:r w:rsidRPr="00402E9C">
        <w:t>Working</w:t>
      </w:r>
      <w:proofErr w:type="spellEnd"/>
      <w:r w:rsidRPr="00402E9C">
        <w:t xml:space="preserve"> </w:t>
      </w:r>
      <w:proofErr w:type="spellStart"/>
      <w:r w:rsidRPr="00402E9C">
        <w:t>Paper</w:t>
      </w:r>
      <w:proofErr w:type="spellEnd"/>
      <w:r w:rsidRPr="00402E9C">
        <w:t xml:space="preserve"> 10, August.</w:t>
      </w:r>
    </w:p>
    <w:p w14:paraId="0DD16EF8" w14:textId="77777777" w:rsidR="00886769" w:rsidRPr="00402E9C" w:rsidRDefault="00886769" w:rsidP="00315C8D">
      <w:pPr>
        <w:ind w:left="851" w:hanging="851"/>
      </w:pPr>
      <w:proofErr w:type="spellStart"/>
      <w:r w:rsidRPr="00402E9C">
        <w:t>Dodd</w:t>
      </w:r>
      <w:proofErr w:type="spellEnd"/>
      <w:r w:rsidRPr="00402E9C">
        <w:t xml:space="preserve">, P. (1980). </w:t>
      </w:r>
      <w:r w:rsidRPr="00402E9C">
        <w:rPr>
          <w:lang w:val="en-US"/>
        </w:rPr>
        <w:t xml:space="preserve">Merger proposals, management discretion and stockholder wealth. </w:t>
      </w:r>
      <w:proofErr w:type="spellStart"/>
      <w:r w:rsidRPr="00402E9C">
        <w:rPr>
          <w:i/>
        </w:rPr>
        <w:t>Journal</w:t>
      </w:r>
      <w:proofErr w:type="spellEnd"/>
      <w:r w:rsidRPr="00402E9C">
        <w:rPr>
          <w:i/>
        </w:rPr>
        <w:t xml:space="preserve"> </w:t>
      </w:r>
      <w:proofErr w:type="spellStart"/>
      <w:r w:rsidRPr="00402E9C">
        <w:rPr>
          <w:i/>
        </w:rPr>
        <w:t>of</w:t>
      </w:r>
      <w:proofErr w:type="spellEnd"/>
      <w:r w:rsidRPr="00402E9C">
        <w:rPr>
          <w:i/>
        </w:rPr>
        <w:t xml:space="preserve"> Financial </w:t>
      </w:r>
      <w:proofErr w:type="spellStart"/>
      <w:r w:rsidRPr="00402E9C">
        <w:rPr>
          <w:i/>
        </w:rPr>
        <w:t>Economics</w:t>
      </w:r>
      <w:proofErr w:type="spellEnd"/>
      <w:r w:rsidRPr="00402E9C">
        <w:t xml:space="preserve">, </w:t>
      </w:r>
      <w:r w:rsidRPr="00402E9C">
        <w:rPr>
          <w:i/>
        </w:rPr>
        <w:t>8</w:t>
      </w:r>
      <w:r w:rsidRPr="00402E9C">
        <w:t>(2), 105-137.</w:t>
      </w:r>
    </w:p>
    <w:p w14:paraId="369ADE49" w14:textId="77777777" w:rsidR="00886769" w:rsidRPr="00402E9C" w:rsidRDefault="00886769" w:rsidP="00315C8D">
      <w:pPr>
        <w:ind w:left="851" w:hanging="851"/>
      </w:pPr>
      <w:r w:rsidRPr="00402E9C">
        <w:t xml:space="preserve">El </w:t>
      </w:r>
      <w:proofErr w:type="spellStart"/>
      <w:r w:rsidRPr="00402E9C">
        <w:t>hajj</w:t>
      </w:r>
      <w:proofErr w:type="spellEnd"/>
      <w:r w:rsidRPr="00402E9C">
        <w:t xml:space="preserve">, Z. S. (1999). </w:t>
      </w:r>
      <w:r w:rsidRPr="00402E9C">
        <w:rPr>
          <w:i/>
          <w:iCs/>
        </w:rPr>
        <w:t xml:space="preserve">Business </w:t>
      </w:r>
      <w:proofErr w:type="spellStart"/>
      <w:r w:rsidRPr="00402E9C">
        <w:rPr>
          <w:i/>
          <w:iCs/>
        </w:rPr>
        <w:t>combination</w:t>
      </w:r>
      <w:proofErr w:type="spellEnd"/>
      <w:r w:rsidRPr="00402E9C">
        <w:rPr>
          <w:i/>
          <w:iCs/>
        </w:rPr>
        <w:t xml:space="preserve"> e consolidação</w:t>
      </w:r>
      <w:r w:rsidRPr="00402E9C">
        <w:t xml:space="preserve">: uma abordagem comparativa entre as normas do US-GAAP, IASC e Brasil. Dissertação de mestrado, Universidade de São Paulo, </w:t>
      </w:r>
      <w:r w:rsidR="00A54176" w:rsidRPr="00402E9C">
        <w:t>São Paulo</w:t>
      </w:r>
      <w:r w:rsidRPr="00402E9C">
        <w:t xml:space="preserve">, </w:t>
      </w:r>
      <w:r w:rsidR="00A54176" w:rsidRPr="00402E9C">
        <w:t>SP</w:t>
      </w:r>
      <w:r w:rsidRPr="00402E9C">
        <w:t>, Brasil.</w:t>
      </w:r>
    </w:p>
    <w:p w14:paraId="6E4E6737" w14:textId="5230B2A8" w:rsidR="00886769" w:rsidRPr="00402E9C" w:rsidRDefault="00886769" w:rsidP="00315C8D">
      <w:pPr>
        <w:ind w:left="851" w:hanging="851"/>
      </w:pPr>
      <w:r w:rsidRPr="00402E9C">
        <w:t xml:space="preserve">Ferreira, T. S. V., &amp; Callado, A. L. (2015). Fusões e Aquisições no Brasil: Reflexões Acerca da Evolução do Volume de Transações. </w:t>
      </w:r>
      <w:r w:rsidRPr="00402E9C">
        <w:rPr>
          <w:i/>
        </w:rPr>
        <w:t>RPCA - Revista Pensamento Contemporâneo em Administração</w:t>
      </w:r>
      <w:r w:rsidRPr="00402E9C">
        <w:t xml:space="preserve">, </w:t>
      </w:r>
      <w:r w:rsidRPr="00402E9C">
        <w:rPr>
          <w:i/>
        </w:rPr>
        <w:t>10</w:t>
      </w:r>
      <w:r w:rsidRPr="00402E9C">
        <w:t>(2).</w:t>
      </w:r>
    </w:p>
    <w:p w14:paraId="3142A748" w14:textId="66079A54" w:rsidR="000E6E88" w:rsidRPr="00402E9C" w:rsidRDefault="000E6E88" w:rsidP="000E6E88">
      <w:pPr>
        <w:ind w:left="851" w:hanging="851"/>
        <w:rPr>
          <w:lang w:val="en-US"/>
        </w:rPr>
      </w:pPr>
      <w:proofErr w:type="spellStart"/>
      <w:r w:rsidRPr="00402E9C">
        <w:t>Galpin</w:t>
      </w:r>
      <w:proofErr w:type="spellEnd"/>
      <w:r w:rsidRPr="00402E9C">
        <w:t xml:space="preserve">, T.J. &amp; </w:t>
      </w:r>
      <w:proofErr w:type="spellStart"/>
      <w:r w:rsidRPr="00402E9C">
        <w:t>Herndon</w:t>
      </w:r>
      <w:proofErr w:type="spellEnd"/>
      <w:r w:rsidRPr="00402E9C">
        <w:t xml:space="preserve">, M. (2007). </w:t>
      </w:r>
      <w:r w:rsidRPr="00402E9C">
        <w:rPr>
          <w:i/>
          <w:iCs/>
          <w:lang w:val="en-US"/>
        </w:rPr>
        <w:t>The complete guide to mergers and acquisitions</w:t>
      </w:r>
      <w:r w:rsidR="00BA234B" w:rsidRPr="00402E9C">
        <w:rPr>
          <w:lang w:val="en-US"/>
        </w:rPr>
        <w:t>. (</w:t>
      </w:r>
      <w:r w:rsidRPr="00402E9C">
        <w:rPr>
          <w:lang w:val="en-US"/>
        </w:rPr>
        <w:t>2nd Edition). San Francisco: Jossey-Bass.</w:t>
      </w:r>
    </w:p>
    <w:p w14:paraId="50DA9ADF" w14:textId="77777777" w:rsidR="00886769" w:rsidRPr="00402E9C" w:rsidRDefault="00886769" w:rsidP="00315C8D">
      <w:pPr>
        <w:ind w:left="851" w:hanging="851"/>
        <w:rPr>
          <w:lang w:val="en-US"/>
        </w:rPr>
      </w:pPr>
      <w:proofErr w:type="spellStart"/>
      <w:r w:rsidRPr="00402E9C">
        <w:rPr>
          <w:lang w:val="en-US"/>
        </w:rPr>
        <w:t>Gereto</w:t>
      </w:r>
      <w:proofErr w:type="spellEnd"/>
      <w:r w:rsidRPr="00402E9C">
        <w:rPr>
          <w:lang w:val="en-US"/>
        </w:rPr>
        <w:t xml:space="preserve">, M. A. S. (2011). </w:t>
      </w:r>
      <w:r w:rsidRPr="00402E9C">
        <w:rPr>
          <w:i/>
          <w:iCs/>
        </w:rPr>
        <w:t>Resultados de Fusões e Aquisições e o Uso de Assessores Financeiros</w:t>
      </w:r>
      <w:r w:rsidRPr="00402E9C">
        <w:t xml:space="preserve">. </w:t>
      </w:r>
      <w:r w:rsidRPr="00402E9C">
        <w:rPr>
          <w:lang w:val="en-US"/>
        </w:rPr>
        <w:t xml:space="preserve">São Paulo: </w:t>
      </w:r>
      <w:proofErr w:type="spellStart"/>
      <w:r w:rsidRPr="00402E9C">
        <w:rPr>
          <w:lang w:val="en-US"/>
        </w:rPr>
        <w:t>Insper</w:t>
      </w:r>
      <w:proofErr w:type="spellEnd"/>
      <w:r w:rsidRPr="00402E9C">
        <w:rPr>
          <w:lang w:val="en-US"/>
        </w:rPr>
        <w:t>.</w:t>
      </w:r>
    </w:p>
    <w:p w14:paraId="6D743A72" w14:textId="5DE17213" w:rsidR="00226466" w:rsidRPr="00402E9C" w:rsidRDefault="00886769" w:rsidP="002D3E76">
      <w:pPr>
        <w:ind w:left="851" w:hanging="851"/>
        <w:rPr>
          <w:lang w:val="en-US"/>
        </w:rPr>
      </w:pPr>
      <w:r w:rsidRPr="00402E9C">
        <w:rPr>
          <w:lang w:val="en-US"/>
        </w:rPr>
        <w:t xml:space="preserve">Godet, M., &amp; </w:t>
      </w:r>
      <w:proofErr w:type="spellStart"/>
      <w:r w:rsidRPr="00402E9C">
        <w:rPr>
          <w:lang w:val="en-US"/>
        </w:rPr>
        <w:t>Roubelat</w:t>
      </w:r>
      <w:proofErr w:type="spellEnd"/>
      <w:r w:rsidRPr="00402E9C">
        <w:rPr>
          <w:lang w:val="en-US"/>
        </w:rPr>
        <w:t>, F. (2000). Scenario Planning: An Open Future</w:t>
      </w:r>
      <w:r w:rsidR="00097828" w:rsidRPr="00402E9C">
        <w:rPr>
          <w:lang w:val="en-US"/>
        </w:rPr>
        <w:t xml:space="preserve">, </w:t>
      </w:r>
      <w:r w:rsidR="00226466" w:rsidRPr="00402E9C">
        <w:rPr>
          <w:i/>
          <w:iCs/>
          <w:lang w:val="en-US"/>
        </w:rPr>
        <w:t>Technological Forecasting and Social Change</w:t>
      </w:r>
      <w:r w:rsidR="00226466" w:rsidRPr="00402E9C">
        <w:rPr>
          <w:lang w:val="en-US"/>
        </w:rPr>
        <w:t>, 65(1), 1-124.</w:t>
      </w:r>
    </w:p>
    <w:p w14:paraId="3F9CB957" w14:textId="36AACA5A" w:rsidR="002D3E76" w:rsidRPr="00402E9C" w:rsidRDefault="002D3E76" w:rsidP="00097828">
      <w:pPr>
        <w:ind w:left="851" w:hanging="851"/>
      </w:pPr>
      <w:proofErr w:type="spellStart"/>
      <w:r w:rsidRPr="00402E9C">
        <w:t>Godet</w:t>
      </w:r>
      <w:proofErr w:type="spellEnd"/>
      <w:r w:rsidRPr="00402E9C">
        <w:t xml:space="preserve">, M.; </w:t>
      </w:r>
      <w:proofErr w:type="spellStart"/>
      <w:r w:rsidRPr="00402E9C">
        <w:t>Durance</w:t>
      </w:r>
      <w:proofErr w:type="spellEnd"/>
      <w:r w:rsidRPr="00402E9C">
        <w:t xml:space="preserve">, P. </w:t>
      </w:r>
      <w:r w:rsidRPr="00402E9C">
        <w:rPr>
          <w:i/>
          <w:iCs/>
        </w:rPr>
        <w:t xml:space="preserve">Prospectiva </w:t>
      </w:r>
      <w:proofErr w:type="spellStart"/>
      <w:r w:rsidRPr="00402E9C">
        <w:rPr>
          <w:i/>
          <w:iCs/>
        </w:rPr>
        <w:t>estratégica</w:t>
      </w:r>
      <w:proofErr w:type="spellEnd"/>
      <w:r w:rsidRPr="00402E9C">
        <w:t xml:space="preserve">: para as empresas e os </w:t>
      </w:r>
      <w:proofErr w:type="spellStart"/>
      <w:r w:rsidRPr="00402E9C">
        <w:t>territórios</w:t>
      </w:r>
      <w:proofErr w:type="spellEnd"/>
      <w:r w:rsidRPr="00402E9C">
        <w:t xml:space="preserve">. UNESCO. Ed. DUNOD. </w:t>
      </w:r>
      <w:proofErr w:type="spellStart"/>
      <w:r w:rsidRPr="00402E9C">
        <w:t>Versão</w:t>
      </w:r>
      <w:proofErr w:type="spellEnd"/>
      <w:r w:rsidRPr="00402E9C">
        <w:t xml:space="preserve"> portuguesa pela IEESF. </w:t>
      </w:r>
      <w:proofErr w:type="spellStart"/>
      <w:r w:rsidRPr="00402E9C">
        <w:t>Direção</w:t>
      </w:r>
      <w:proofErr w:type="spellEnd"/>
      <w:r w:rsidRPr="00402E9C">
        <w:t xml:space="preserve"> prof. </w:t>
      </w:r>
      <w:proofErr w:type="spellStart"/>
      <w:r w:rsidRPr="00402E9C">
        <w:t>Júlio</w:t>
      </w:r>
      <w:proofErr w:type="spellEnd"/>
      <w:r w:rsidRPr="00402E9C">
        <w:t xml:space="preserve"> G. Dias. 2011. 180p. </w:t>
      </w:r>
    </w:p>
    <w:p w14:paraId="5CCC8C76" w14:textId="722A9230" w:rsidR="00032E7B" w:rsidRPr="00402E9C" w:rsidRDefault="00032E7B" w:rsidP="002D3E76">
      <w:pPr>
        <w:ind w:left="851" w:hanging="851"/>
      </w:pPr>
      <w:r w:rsidRPr="00402E9C">
        <w:t xml:space="preserve">Gordon, T. </w:t>
      </w:r>
      <w:proofErr w:type="spellStart"/>
      <w:r w:rsidRPr="00402E9C">
        <w:rPr>
          <w:i/>
          <w:iCs/>
        </w:rPr>
        <w:t>Método</w:t>
      </w:r>
      <w:proofErr w:type="spellEnd"/>
      <w:r w:rsidRPr="00402E9C">
        <w:rPr>
          <w:i/>
          <w:iCs/>
        </w:rPr>
        <w:t xml:space="preserve"> de impacto cruzado</w:t>
      </w:r>
      <w:r w:rsidRPr="00402E9C">
        <w:t xml:space="preserve">. (1999). </w:t>
      </w:r>
      <w:proofErr w:type="spellStart"/>
      <w:r w:rsidRPr="00402E9C">
        <w:t>Disponível</w:t>
      </w:r>
      <w:proofErr w:type="spellEnd"/>
      <w:r w:rsidRPr="00402E9C">
        <w:t xml:space="preserve"> em: &lt;http://saludpublicavirtual.udea.edu.co/cvsp/politicaspublicas/gordon_impacto_cruzado.pdf&gt;. Acesso em: 12 dez. 2018. </w:t>
      </w:r>
    </w:p>
    <w:p w14:paraId="37CFC64C" w14:textId="1363202B" w:rsidR="00DF49AE" w:rsidRPr="00402E9C" w:rsidRDefault="00DF49AE" w:rsidP="00DF49AE">
      <w:pPr>
        <w:ind w:left="851" w:hanging="851"/>
        <w:rPr>
          <w:lang w:val="en-US"/>
        </w:rPr>
      </w:pPr>
      <w:r w:rsidRPr="00402E9C">
        <w:t>Gomes, C., Aidar, O., Videira, R.</w:t>
      </w:r>
      <w:r w:rsidR="00D460EC" w:rsidRPr="00402E9C">
        <w:t xml:space="preserve"> </w:t>
      </w:r>
      <w:r w:rsidR="00121647" w:rsidRPr="00402E9C">
        <w:t>(2006).</w:t>
      </w:r>
      <w:r w:rsidRPr="00402E9C">
        <w:t xml:space="preserve"> Fusões, Aquisições e Lucratividade: Uma Análise do Setor Siderúrgico Brasileiro. </w:t>
      </w:r>
      <w:r w:rsidRPr="00402E9C">
        <w:rPr>
          <w:i/>
          <w:iCs/>
          <w:lang w:val="en-US"/>
        </w:rPr>
        <w:t>Economia</w:t>
      </w:r>
      <w:r w:rsidRPr="00402E9C">
        <w:rPr>
          <w:lang w:val="en-US"/>
        </w:rPr>
        <w:t>, vol. 7, issue 4, 143–163.</w:t>
      </w:r>
    </w:p>
    <w:p w14:paraId="59757B16" w14:textId="4B65E7AB" w:rsidR="00E61A7C" w:rsidRPr="00402E9C" w:rsidRDefault="00E61A7C" w:rsidP="00E61A7C">
      <w:pPr>
        <w:ind w:left="851" w:hanging="851"/>
      </w:pPr>
      <w:r w:rsidRPr="00402E9C">
        <w:rPr>
          <w:lang w:val="en-US"/>
        </w:rPr>
        <w:t xml:space="preserve">Healy, P. M., Palepu, K. G., </w:t>
      </w:r>
      <w:proofErr w:type="spellStart"/>
      <w:r w:rsidRPr="00402E9C">
        <w:rPr>
          <w:lang w:val="en-US"/>
        </w:rPr>
        <w:t>Ruback</w:t>
      </w:r>
      <w:proofErr w:type="spellEnd"/>
      <w:r w:rsidRPr="00402E9C">
        <w:rPr>
          <w:lang w:val="en-US"/>
        </w:rPr>
        <w:t xml:space="preserve">, R. S. (1975). Does corporate performance improve after mergers? </w:t>
      </w:r>
      <w:proofErr w:type="spellStart"/>
      <w:r w:rsidRPr="00402E9C">
        <w:rPr>
          <w:i/>
          <w:iCs/>
        </w:rPr>
        <w:t>Journal</w:t>
      </w:r>
      <w:proofErr w:type="spellEnd"/>
      <w:r w:rsidRPr="00402E9C">
        <w:rPr>
          <w:i/>
          <w:iCs/>
        </w:rPr>
        <w:t xml:space="preserve"> </w:t>
      </w:r>
      <w:proofErr w:type="spellStart"/>
      <w:r w:rsidRPr="00402E9C">
        <w:rPr>
          <w:i/>
          <w:iCs/>
        </w:rPr>
        <w:t>of</w:t>
      </w:r>
      <w:proofErr w:type="spellEnd"/>
      <w:r w:rsidRPr="00402E9C">
        <w:rPr>
          <w:i/>
          <w:iCs/>
        </w:rPr>
        <w:t xml:space="preserve"> Financial </w:t>
      </w:r>
      <w:proofErr w:type="spellStart"/>
      <w:r w:rsidRPr="00402E9C">
        <w:rPr>
          <w:i/>
          <w:iCs/>
        </w:rPr>
        <w:t>Economics</w:t>
      </w:r>
      <w:proofErr w:type="spellEnd"/>
      <w:r w:rsidRPr="00402E9C">
        <w:t xml:space="preserve">, 1992, vol. 31, </w:t>
      </w:r>
      <w:proofErr w:type="spellStart"/>
      <w:r w:rsidRPr="00402E9C">
        <w:t>issue</w:t>
      </w:r>
      <w:proofErr w:type="spellEnd"/>
      <w:r w:rsidRPr="00402E9C">
        <w:t xml:space="preserve"> 2, 135-175.</w:t>
      </w:r>
    </w:p>
    <w:p w14:paraId="6E6C6AF0" w14:textId="4FCAA90A" w:rsidR="00886769" w:rsidRPr="00402E9C" w:rsidRDefault="00886769" w:rsidP="00FF4594">
      <w:pPr>
        <w:ind w:left="851" w:hanging="851"/>
      </w:pPr>
      <w:proofErr w:type="spellStart"/>
      <w:r w:rsidRPr="00402E9C">
        <w:t>K</w:t>
      </w:r>
      <w:r w:rsidR="0030624B">
        <w:t>pmg</w:t>
      </w:r>
      <w:proofErr w:type="spellEnd"/>
      <w:r w:rsidRPr="00402E9C">
        <w:t xml:space="preserve">. (2018). </w:t>
      </w:r>
      <w:r w:rsidRPr="00402E9C">
        <w:rPr>
          <w:i/>
        </w:rPr>
        <w:t>Pesquisa de Fusões e Aquisições - 4o</w:t>
      </w:r>
      <w:r w:rsidRPr="00402E9C">
        <w:t xml:space="preserve">. Recuperado de </w:t>
      </w:r>
      <w:hyperlink r:id="rId10" w:history="1">
        <w:r w:rsidR="00FF4594" w:rsidRPr="00402E9C">
          <w:rPr>
            <w:rStyle w:val="Hyperlink"/>
          </w:rPr>
          <w:t>https://assets.kpmg.com/content/dam/kpmg/br/pdf/2018/01/br-fusoes-e-aquisicoes-4o-trim-2017.pdf</w:t>
        </w:r>
      </w:hyperlink>
      <w:r w:rsidR="00FF4594" w:rsidRPr="00402E9C">
        <w:t>.</w:t>
      </w:r>
    </w:p>
    <w:p w14:paraId="4212F1A5" w14:textId="00E6C043" w:rsidR="00FF4594" w:rsidRPr="00402E9C" w:rsidRDefault="00FF4594" w:rsidP="00FF4594">
      <w:pPr>
        <w:ind w:left="851" w:hanging="851"/>
      </w:pPr>
      <w:r w:rsidRPr="00402E9C">
        <w:t xml:space="preserve">Lira, S. L.; </w:t>
      </w:r>
      <w:proofErr w:type="spellStart"/>
      <w:r w:rsidRPr="00402E9C">
        <w:t>Araújo</w:t>
      </w:r>
      <w:proofErr w:type="spellEnd"/>
      <w:r w:rsidRPr="00402E9C">
        <w:t xml:space="preserve">, W. J.; Duarte, E. N. (2017). </w:t>
      </w:r>
      <w:proofErr w:type="spellStart"/>
      <w:r w:rsidRPr="00402E9C">
        <w:t>Cenários</w:t>
      </w:r>
      <w:proofErr w:type="spellEnd"/>
      <w:r w:rsidRPr="00402E9C">
        <w:t xml:space="preserve"> prospectivos para </w:t>
      </w:r>
      <w:proofErr w:type="spellStart"/>
      <w:r w:rsidRPr="00402E9C">
        <w:t>implantação</w:t>
      </w:r>
      <w:proofErr w:type="spellEnd"/>
      <w:r w:rsidRPr="00402E9C">
        <w:t xml:space="preserve"> de Comunidades de </w:t>
      </w:r>
      <w:proofErr w:type="spellStart"/>
      <w:r w:rsidRPr="00402E9C">
        <w:t>prática</w:t>
      </w:r>
      <w:proofErr w:type="spellEnd"/>
      <w:r w:rsidRPr="00402E9C">
        <w:t xml:space="preserve"> em unidades de Contabilidade em universidades </w:t>
      </w:r>
      <w:proofErr w:type="spellStart"/>
      <w:r w:rsidRPr="00402E9C">
        <w:t>públicas</w:t>
      </w:r>
      <w:proofErr w:type="spellEnd"/>
      <w:r w:rsidRPr="00402E9C">
        <w:t xml:space="preserve">. </w:t>
      </w:r>
      <w:r w:rsidRPr="00402E9C">
        <w:rPr>
          <w:i/>
          <w:iCs/>
        </w:rPr>
        <w:t xml:space="preserve">Perspectivas em </w:t>
      </w:r>
      <w:proofErr w:type="spellStart"/>
      <w:r w:rsidRPr="00402E9C">
        <w:rPr>
          <w:i/>
          <w:iCs/>
        </w:rPr>
        <w:t>Gestão</w:t>
      </w:r>
      <w:proofErr w:type="spellEnd"/>
      <w:r w:rsidRPr="00402E9C">
        <w:rPr>
          <w:i/>
          <w:iCs/>
        </w:rPr>
        <w:t xml:space="preserve"> &amp; Conhecimento</w:t>
      </w:r>
      <w:r w:rsidRPr="00402E9C">
        <w:t xml:space="preserve">, </w:t>
      </w:r>
      <w:proofErr w:type="spellStart"/>
      <w:r w:rsidRPr="00402E9C">
        <w:t>João</w:t>
      </w:r>
      <w:proofErr w:type="spellEnd"/>
      <w:r w:rsidRPr="00402E9C">
        <w:t xml:space="preserve"> Pessoa, v. 7, n. 1, p. 170-190, jan./jun. </w:t>
      </w:r>
    </w:p>
    <w:p w14:paraId="504F6755" w14:textId="77777777" w:rsidR="00886769" w:rsidRPr="00402E9C" w:rsidRDefault="00A54176" w:rsidP="00FF4594">
      <w:pPr>
        <w:ind w:left="851" w:hanging="851"/>
      </w:pPr>
      <w:proofErr w:type="spellStart"/>
      <w:r w:rsidRPr="00402E9C">
        <w:t>Malhotra</w:t>
      </w:r>
      <w:proofErr w:type="spellEnd"/>
      <w:r w:rsidRPr="00402E9C">
        <w:t>, N. K.</w:t>
      </w:r>
      <w:r w:rsidR="00886769" w:rsidRPr="00402E9C">
        <w:t xml:space="preserve"> (2005). </w:t>
      </w:r>
      <w:r w:rsidR="00886769" w:rsidRPr="00402E9C">
        <w:rPr>
          <w:i/>
        </w:rPr>
        <w:t>Introdução à pesquisa de marketing</w:t>
      </w:r>
      <w:r w:rsidR="00886769" w:rsidRPr="00402E9C">
        <w:t>. São Paulo: Pearson Prentice Hall.</w:t>
      </w:r>
    </w:p>
    <w:p w14:paraId="113C0252" w14:textId="7778C83D" w:rsidR="00886769" w:rsidRPr="00402E9C" w:rsidRDefault="00886769" w:rsidP="00315C8D">
      <w:pPr>
        <w:ind w:left="851" w:hanging="851"/>
      </w:pPr>
      <w:r w:rsidRPr="00402E9C">
        <w:t xml:space="preserve">Marcial, E. C., &amp; Costa, A. J. L. (2001). Uso de Cenários prospectivos na estratégia empresarial: evidência especulativa ou Inteligência Competitiva. </w:t>
      </w:r>
      <w:r w:rsidRPr="00402E9C">
        <w:rPr>
          <w:i/>
          <w:iCs/>
        </w:rPr>
        <w:t>Anais do Encontro Nacional da Associação Nacional de Pós-Graduação e Pesquisa em Administração</w:t>
      </w:r>
      <w:r w:rsidRPr="00402E9C">
        <w:t xml:space="preserve">, Campinas, </w:t>
      </w:r>
      <w:r w:rsidR="00A54176" w:rsidRPr="00402E9C">
        <w:t>SP</w:t>
      </w:r>
      <w:r w:rsidRPr="00402E9C">
        <w:t>, Brasil, 25.</w:t>
      </w:r>
    </w:p>
    <w:p w14:paraId="4631C07B" w14:textId="0C6D61F5" w:rsidR="00886769" w:rsidRPr="00402E9C" w:rsidRDefault="00886769" w:rsidP="00315C8D">
      <w:pPr>
        <w:ind w:left="851" w:hanging="851"/>
      </w:pPr>
      <w:r w:rsidRPr="00402E9C">
        <w:t xml:space="preserve">Marcial, E. C., &amp; </w:t>
      </w:r>
      <w:proofErr w:type="spellStart"/>
      <w:r w:rsidRPr="00402E9C">
        <w:t>Grumbach</w:t>
      </w:r>
      <w:proofErr w:type="spellEnd"/>
      <w:r w:rsidRPr="00402E9C">
        <w:t xml:space="preserve">, R. J. S. (2002). </w:t>
      </w:r>
      <w:r w:rsidRPr="00402E9C">
        <w:rPr>
          <w:i/>
        </w:rPr>
        <w:t>Cenários prospectivos: como construir um futuro melhor</w:t>
      </w:r>
      <w:r w:rsidRPr="00402E9C">
        <w:t>. Rio de Janeiro: FGV.</w:t>
      </w:r>
    </w:p>
    <w:p w14:paraId="5B53B0FF" w14:textId="26CB84F6" w:rsidR="000927B4" w:rsidRPr="00402E9C" w:rsidRDefault="000927B4" w:rsidP="00315C8D">
      <w:pPr>
        <w:ind w:left="851" w:hanging="851"/>
      </w:pPr>
      <w:r w:rsidRPr="00402E9C">
        <w:t xml:space="preserve">Matias, A. B., &amp; </w:t>
      </w:r>
      <w:proofErr w:type="spellStart"/>
      <w:r w:rsidRPr="00402E9C">
        <w:t>Pasin</w:t>
      </w:r>
      <w:proofErr w:type="spellEnd"/>
      <w:r w:rsidRPr="00402E9C">
        <w:t xml:space="preserve">, R. M. (2001). A geração de sinergias e seus impactos na rentabilidade das empresas nos casos de fusões e aquisições. </w:t>
      </w:r>
      <w:r w:rsidRPr="00402E9C">
        <w:rPr>
          <w:i/>
          <w:iCs/>
        </w:rPr>
        <w:t>Revista de Administraç</w:t>
      </w:r>
      <w:r w:rsidRPr="00402E9C">
        <w:t>ão, 36(1), 5-13.</w:t>
      </w:r>
    </w:p>
    <w:p w14:paraId="7DB20D77" w14:textId="77777777" w:rsidR="00886769" w:rsidRPr="00402E9C" w:rsidRDefault="00886769" w:rsidP="00315C8D">
      <w:pPr>
        <w:ind w:left="851" w:hanging="851"/>
      </w:pPr>
      <w:r w:rsidRPr="00402E9C">
        <w:t xml:space="preserve">Mattar, F. N. (1996). </w:t>
      </w:r>
      <w:r w:rsidRPr="00402E9C">
        <w:rPr>
          <w:i/>
        </w:rPr>
        <w:t>Pesquisa de marketing</w:t>
      </w:r>
      <w:r w:rsidRPr="00402E9C">
        <w:t>. São Paulo: Atlas.</w:t>
      </w:r>
    </w:p>
    <w:p w14:paraId="32BB85D1" w14:textId="6EC1FEDB" w:rsidR="00E60ACF" w:rsidRPr="00402E9C" w:rsidRDefault="0030624B" w:rsidP="00E60ACF">
      <w:pPr>
        <w:ind w:left="851" w:hanging="851"/>
      </w:pPr>
      <w:r w:rsidRPr="00402E9C">
        <w:t xml:space="preserve">Matias, A. B; </w:t>
      </w:r>
      <w:proofErr w:type="spellStart"/>
      <w:r w:rsidRPr="00402E9C">
        <w:t>Pasin</w:t>
      </w:r>
      <w:proofErr w:type="spellEnd"/>
      <w:r w:rsidRPr="00402E9C">
        <w:t xml:space="preserve">, R. M. </w:t>
      </w:r>
      <w:r w:rsidR="00E60ACF" w:rsidRPr="00402E9C">
        <w:t xml:space="preserve">(2001). A geração de sinergias e seus impactos na rentabilidade das empresas nos casos de fusões e aquisições. </w:t>
      </w:r>
      <w:r w:rsidR="00E60ACF" w:rsidRPr="00402E9C">
        <w:rPr>
          <w:i/>
          <w:iCs/>
        </w:rPr>
        <w:t>Revista de Administração</w:t>
      </w:r>
      <w:r w:rsidR="00E60ACF" w:rsidRPr="00402E9C">
        <w:t>, São Paulo, v. 36 n. 1, p. 5-13.</w:t>
      </w:r>
    </w:p>
    <w:p w14:paraId="7952B472" w14:textId="2CE2297B" w:rsidR="00E60ACF" w:rsidRPr="00402E9C" w:rsidRDefault="00E60ACF" w:rsidP="00032E7B">
      <w:pPr>
        <w:ind w:left="851" w:hanging="851"/>
      </w:pPr>
      <w:proofErr w:type="spellStart"/>
      <w:r w:rsidRPr="00402E9C">
        <w:lastRenderedPageBreak/>
        <w:t>Pasin</w:t>
      </w:r>
      <w:proofErr w:type="spellEnd"/>
      <w:r w:rsidRPr="00402E9C">
        <w:t xml:space="preserve">, R. M. (2002). Fusões e aquisições na indústria de alimentos do Brasil: um estudo sobre a gestão financeira das empresas. </w:t>
      </w:r>
      <w:r w:rsidRPr="00402E9C">
        <w:rPr>
          <w:i/>
          <w:iCs/>
        </w:rPr>
        <w:t>Anais Eletrônicos</w:t>
      </w:r>
      <w:r w:rsidRPr="00402E9C">
        <w:t>. Flórida.</w:t>
      </w:r>
    </w:p>
    <w:p w14:paraId="74E180E2" w14:textId="7AD5503E" w:rsidR="00886769" w:rsidRPr="00402E9C" w:rsidRDefault="00886769" w:rsidP="00315C8D">
      <w:pPr>
        <w:ind w:left="851" w:hanging="851"/>
      </w:pPr>
      <w:r w:rsidRPr="00402E9C">
        <w:t xml:space="preserve">Porter, M. E. (1992). </w:t>
      </w:r>
      <w:r w:rsidRPr="00402E9C">
        <w:rPr>
          <w:i/>
          <w:iCs/>
        </w:rPr>
        <w:t>Estratégia competitiva</w:t>
      </w:r>
      <w:r w:rsidRPr="00402E9C">
        <w:t>: técnicas para análise de indústrias e da concorrência. Rio de Janeiro: Campus.</w:t>
      </w:r>
    </w:p>
    <w:p w14:paraId="647442AC" w14:textId="08DDCF36" w:rsidR="00FF3084" w:rsidRPr="00402E9C" w:rsidRDefault="00FF3084" w:rsidP="00FF3084">
      <w:pPr>
        <w:ind w:left="851" w:hanging="851"/>
        <w:rPr>
          <w:lang w:val="en-US"/>
        </w:rPr>
      </w:pPr>
      <w:r w:rsidRPr="00402E9C">
        <w:t>Ribeiro, H. C. M. &amp; Forte, S. H. A. C. (2019). Prospecção de Cenários para o período de 2019 a 2030 dos Programas de Stricto Sensu das Instituições do Brasil da Área de Administração Pública e de Empresas, Ciências Contábeis e Turismo. </w:t>
      </w:r>
      <w:r w:rsidRPr="00402E9C">
        <w:rPr>
          <w:i/>
          <w:iCs/>
          <w:lang w:val="en-US"/>
        </w:rPr>
        <w:t>Future Studies Research Journal</w:t>
      </w:r>
      <w:r w:rsidRPr="00402E9C">
        <w:rPr>
          <w:lang w:val="en-US"/>
        </w:rPr>
        <w:t>: Trends &amp; Strategies, 11(3), 255–280. https://doi.org/10.24023/FutureJournal/2175-5825/2019.v11i3.436</w:t>
      </w:r>
    </w:p>
    <w:p w14:paraId="0A1A4787" w14:textId="6519B577" w:rsidR="00886769" w:rsidRPr="00402E9C" w:rsidRDefault="00D460EC" w:rsidP="00315C8D">
      <w:pPr>
        <w:ind w:left="851" w:hanging="851"/>
      </w:pPr>
      <w:r w:rsidRPr="00402E9C">
        <w:t>Richardson</w:t>
      </w:r>
      <w:r w:rsidR="00886769" w:rsidRPr="00402E9C">
        <w:t xml:space="preserve">, R. J. e colaboradores. (1999). </w:t>
      </w:r>
      <w:r w:rsidR="00886769" w:rsidRPr="00402E9C">
        <w:rPr>
          <w:i/>
        </w:rPr>
        <w:t>Pesquisa social: métodos e técnicas</w:t>
      </w:r>
      <w:r w:rsidR="00226466" w:rsidRPr="00402E9C">
        <w:t>. São Paulo</w:t>
      </w:r>
      <w:r w:rsidR="000E6E88" w:rsidRPr="00402E9C">
        <w:t>.</w:t>
      </w:r>
    </w:p>
    <w:p w14:paraId="7A843709" w14:textId="77777777" w:rsidR="007B5918" w:rsidRPr="00402E9C" w:rsidRDefault="002667F5" w:rsidP="00CB000E">
      <w:pPr>
        <w:ind w:left="851" w:hanging="851"/>
      </w:pPr>
      <w:r w:rsidRPr="00402E9C">
        <w:t xml:space="preserve">Rocha, F; </w:t>
      </w:r>
      <w:proofErr w:type="spellStart"/>
      <w:r w:rsidRPr="00402E9C">
        <w:t>Iootty</w:t>
      </w:r>
      <w:proofErr w:type="spellEnd"/>
      <w:r w:rsidRPr="00402E9C">
        <w:t xml:space="preserve">, M; Ferraz, J. C. (2001). Desempenho Das Fusões E Aquisições Na Indústria Brasileira Na Década De </w:t>
      </w:r>
      <w:r w:rsidR="000E6E88" w:rsidRPr="00402E9C">
        <w:t xml:space="preserve">90: a ótica das empresas adquiridas. </w:t>
      </w:r>
      <w:r w:rsidR="000E6E88" w:rsidRPr="00402E9C">
        <w:rPr>
          <w:i/>
          <w:iCs/>
        </w:rPr>
        <w:t>Revista de Economia Contemporânea</w:t>
      </w:r>
      <w:r w:rsidR="000E6E88" w:rsidRPr="00402E9C">
        <w:t>, v. 5, n. especial, p. 69-102.</w:t>
      </w:r>
    </w:p>
    <w:p w14:paraId="2DA75D69" w14:textId="05684590" w:rsidR="007B5918" w:rsidRPr="00402E9C" w:rsidRDefault="007B5918" w:rsidP="00097828">
      <w:pPr>
        <w:ind w:left="851" w:hanging="851"/>
        <w:rPr>
          <w:lang w:val="en-US"/>
        </w:rPr>
      </w:pPr>
      <w:r w:rsidRPr="00402E9C">
        <w:t xml:space="preserve">Roney, Curtis. </w:t>
      </w:r>
      <w:r w:rsidRPr="00402E9C">
        <w:rPr>
          <w:lang w:val="en-US"/>
        </w:rPr>
        <w:t xml:space="preserve">(2013). Planning for Strategic Contingencies, </w:t>
      </w:r>
      <w:r w:rsidRPr="00402E9C">
        <w:rPr>
          <w:i/>
          <w:iCs/>
          <w:lang w:val="en-US"/>
        </w:rPr>
        <w:t>Business Horizons,</w:t>
      </w:r>
      <w:r w:rsidRPr="00402E9C">
        <w:rPr>
          <w:lang w:val="en-US"/>
        </w:rPr>
        <w:t xml:space="preserve"> 46 (2), 35–42. </w:t>
      </w:r>
    </w:p>
    <w:p w14:paraId="2D36CF66" w14:textId="26537DDC" w:rsidR="00886769" w:rsidRPr="00402E9C" w:rsidRDefault="00886769" w:rsidP="00097828">
      <w:pPr>
        <w:ind w:left="851" w:hanging="851"/>
      </w:pPr>
      <w:r w:rsidRPr="00402E9C">
        <w:rPr>
          <w:lang w:val="en-US"/>
        </w:rPr>
        <w:t xml:space="preserve">Ross, S., </w:t>
      </w:r>
      <w:proofErr w:type="spellStart"/>
      <w:r w:rsidRPr="00402E9C">
        <w:rPr>
          <w:lang w:val="en-US"/>
        </w:rPr>
        <w:t>Westerfield</w:t>
      </w:r>
      <w:proofErr w:type="spellEnd"/>
      <w:r w:rsidRPr="00402E9C">
        <w:rPr>
          <w:lang w:val="en-US"/>
        </w:rPr>
        <w:t xml:space="preserve">, R., &amp; Jaffe, J. (1995). </w:t>
      </w:r>
      <w:r w:rsidRPr="00402E9C">
        <w:rPr>
          <w:i/>
        </w:rPr>
        <w:t xml:space="preserve">Administração financeira: Corporate </w:t>
      </w:r>
      <w:proofErr w:type="spellStart"/>
      <w:r w:rsidRPr="00402E9C">
        <w:rPr>
          <w:i/>
        </w:rPr>
        <w:t>Finance</w:t>
      </w:r>
      <w:proofErr w:type="spellEnd"/>
      <w:r w:rsidRPr="00402E9C">
        <w:t>. São Paulo</w:t>
      </w:r>
      <w:r w:rsidR="00097828" w:rsidRPr="00402E9C">
        <w:t xml:space="preserve">, </w:t>
      </w:r>
      <w:r w:rsidRPr="00402E9C">
        <w:t>Atlas.</w:t>
      </w:r>
      <w:r w:rsidRPr="00402E9C">
        <w:rPr>
          <w:rFonts w:eastAsia="MS Gothic"/>
        </w:rPr>
        <w:t> </w:t>
      </w:r>
    </w:p>
    <w:p w14:paraId="2ABF4F3A" w14:textId="77777777" w:rsidR="00886769" w:rsidRPr="00402E9C" w:rsidRDefault="00886769" w:rsidP="00315C8D">
      <w:pPr>
        <w:ind w:left="851" w:hanging="851"/>
      </w:pPr>
      <w:proofErr w:type="spellStart"/>
      <w:r w:rsidRPr="00402E9C">
        <w:rPr>
          <w:lang w:val="en-US"/>
        </w:rPr>
        <w:t>Schoemaker</w:t>
      </w:r>
      <w:proofErr w:type="spellEnd"/>
      <w:r w:rsidRPr="00402E9C">
        <w:rPr>
          <w:lang w:val="en-US"/>
        </w:rPr>
        <w:t xml:space="preserve">, P. J. H. (1995). Scenario Planning: A Tool for Strategic Thinking. </w:t>
      </w:r>
      <w:proofErr w:type="spellStart"/>
      <w:r w:rsidRPr="00402E9C">
        <w:rPr>
          <w:i/>
        </w:rPr>
        <w:t>Sloan</w:t>
      </w:r>
      <w:proofErr w:type="spellEnd"/>
      <w:r w:rsidRPr="00402E9C">
        <w:rPr>
          <w:i/>
        </w:rPr>
        <w:t xml:space="preserve"> Management </w:t>
      </w:r>
      <w:proofErr w:type="spellStart"/>
      <w:r w:rsidRPr="00402E9C">
        <w:rPr>
          <w:i/>
        </w:rPr>
        <w:t>Review</w:t>
      </w:r>
      <w:proofErr w:type="spellEnd"/>
      <w:r w:rsidRPr="00402E9C">
        <w:t xml:space="preserve">, </w:t>
      </w:r>
      <w:r w:rsidRPr="00402E9C">
        <w:rPr>
          <w:i/>
        </w:rPr>
        <w:t>36</w:t>
      </w:r>
      <w:r w:rsidRPr="00402E9C">
        <w:t>(2).</w:t>
      </w:r>
    </w:p>
    <w:p w14:paraId="084F2F61" w14:textId="6C101C6A" w:rsidR="00886769" w:rsidRPr="00402E9C" w:rsidRDefault="00886769" w:rsidP="00315C8D">
      <w:pPr>
        <w:ind w:left="851" w:hanging="851"/>
      </w:pPr>
      <w:r w:rsidRPr="00402E9C">
        <w:t xml:space="preserve">Schwartz, P. (2006). </w:t>
      </w:r>
      <w:r w:rsidRPr="00402E9C">
        <w:rPr>
          <w:i/>
          <w:iCs/>
        </w:rPr>
        <w:t>A arte de visão de longo prazo</w:t>
      </w:r>
      <w:r w:rsidRPr="00402E9C">
        <w:t>: planejando um futuro em um mundo de incertezas (4a ed.). Rio de Janeiro</w:t>
      </w:r>
      <w:r w:rsidR="00097828" w:rsidRPr="00402E9C">
        <w:t xml:space="preserve">, </w:t>
      </w:r>
      <w:proofErr w:type="spellStart"/>
      <w:r w:rsidRPr="00402E9C">
        <w:t>BestSeller</w:t>
      </w:r>
      <w:proofErr w:type="spellEnd"/>
      <w:r w:rsidRPr="00402E9C">
        <w:t>.</w:t>
      </w:r>
    </w:p>
    <w:p w14:paraId="60D93E67" w14:textId="4D32E701" w:rsidR="00886769" w:rsidRPr="00402E9C" w:rsidRDefault="00886769" w:rsidP="00315C8D">
      <w:pPr>
        <w:ind w:left="851" w:hanging="851"/>
      </w:pPr>
      <w:r w:rsidRPr="00402E9C">
        <w:t>Silva</w:t>
      </w:r>
      <w:r w:rsidR="00226466" w:rsidRPr="00402E9C">
        <w:t>, A. T. B.</w:t>
      </w:r>
      <w:r w:rsidRPr="00402E9C">
        <w:t xml:space="preserve"> (2010). A Elaboração de Cenários na Gestão Estratégica das Organizações: um Estudo Bibliográfico. </w:t>
      </w:r>
      <w:r w:rsidRPr="00402E9C">
        <w:rPr>
          <w:i/>
        </w:rPr>
        <w:t>Anais do Seminário em Administração</w:t>
      </w:r>
      <w:r w:rsidR="00226466" w:rsidRPr="00402E9C">
        <w:t>, Brasil.</w:t>
      </w:r>
    </w:p>
    <w:p w14:paraId="7403328C" w14:textId="77777777" w:rsidR="00A7647E" w:rsidRPr="00402E9C" w:rsidRDefault="000927B4" w:rsidP="00A7647E">
      <w:pPr>
        <w:ind w:left="851" w:hanging="851"/>
      </w:pPr>
      <w:proofErr w:type="spellStart"/>
      <w:r w:rsidRPr="00402E9C">
        <w:t>Slusky</w:t>
      </w:r>
      <w:proofErr w:type="spellEnd"/>
      <w:r w:rsidRPr="00402E9C">
        <w:t xml:space="preserve">, A. </w:t>
      </w:r>
      <w:proofErr w:type="gramStart"/>
      <w:r w:rsidRPr="00402E9C">
        <w:t>R .</w:t>
      </w:r>
      <w:proofErr w:type="gramEnd"/>
      <w:r w:rsidRPr="00402E9C">
        <w:t xml:space="preserve"> Caves, R. E. (1991).  </w:t>
      </w:r>
      <w:r w:rsidRPr="00402E9C">
        <w:rPr>
          <w:lang w:val="en-US"/>
        </w:rPr>
        <w:t xml:space="preserve">Synergy, Agency, and the Determinants of Premia Paid in Mergers. </w:t>
      </w:r>
      <w:r w:rsidRPr="00402E9C">
        <w:rPr>
          <w:i/>
          <w:iCs/>
        </w:rPr>
        <w:t xml:space="preserve">The </w:t>
      </w:r>
      <w:proofErr w:type="spellStart"/>
      <w:r w:rsidRPr="00402E9C">
        <w:rPr>
          <w:i/>
          <w:iCs/>
        </w:rPr>
        <w:t>Journal</w:t>
      </w:r>
      <w:proofErr w:type="spellEnd"/>
      <w:r w:rsidRPr="00402E9C">
        <w:rPr>
          <w:i/>
          <w:iCs/>
        </w:rPr>
        <w:t xml:space="preserve"> </w:t>
      </w:r>
      <w:proofErr w:type="spellStart"/>
      <w:r w:rsidRPr="00402E9C">
        <w:rPr>
          <w:i/>
          <w:iCs/>
        </w:rPr>
        <w:t>of</w:t>
      </w:r>
      <w:proofErr w:type="spellEnd"/>
      <w:r w:rsidRPr="00402E9C">
        <w:rPr>
          <w:i/>
          <w:iCs/>
        </w:rPr>
        <w:t xml:space="preserve"> Industrial </w:t>
      </w:r>
      <w:proofErr w:type="spellStart"/>
      <w:r w:rsidRPr="00402E9C">
        <w:rPr>
          <w:i/>
          <w:iCs/>
        </w:rPr>
        <w:t>Economics</w:t>
      </w:r>
      <w:proofErr w:type="spellEnd"/>
      <w:r w:rsidRPr="00402E9C">
        <w:t>, Vol. 39, No. 3, pp. 277-296.</w:t>
      </w:r>
    </w:p>
    <w:p w14:paraId="08077757" w14:textId="211E599A" w:rsidR="00A7647E" w:rsidRPr="00402E9C" w:rsidRDefault="00A7647E" w:rsidP="00CB000E">
      <w:pPr>
        <w:pStyle w:val="NormalWeb"/>
        <w:shd w:val="clear" w:color="auto" w:fill="FFFFFF"/>
        <w:spacing w:before="0" w:beforeAutospacing="0" w:after="0" w:afterAutospacing="0"/>
        <w:ind w:left="993" w:hanging="993"/>
        <w:rPr>
          <w:color w:val="auto"/>
        </w:rPr>
      </w:pPr>
      <w:r w:rsidRPr="00402E9C">
        <w:rPr>
          <w:color w:val="auto"/>
        </w:rPr>
        <w:t>Silva, W. R., Machado Neto, A. J., &amp; de Guerra, J. A. de P.  </w:t>
      </w:r>
      <w:r w:rsidR="00276235" w:rsidRPr="00402E9C">
        <w:rPr>
          <w:color w:val="auto"/>
        </w:rPr>
        <w:t xml:space="preserve">(2020). </w:t>
      </w:r>
      <w:proofErr w:type="spellStart"/>
      <w:r w:rsidRPr="00402E9C">
        <w:rPr>
          <w:color w:val="auto"/>
        </w:rPr>
        <w:t>Cenários</w:t>
      </w:r>
      <w:proofErr w:type="spellEnd"/>
      <w:r w:rsidRPr="00402E9C">
        <w:rPr>
          <w:color w:val="auto"/>
        </w:rPr>
        <w:t xml:space="preserve"> Prospectivos como Ferramenta de </w:t>
      </w:r>
      <w:proofErr w:type="spellStart"/>
      <w:r w:rsidRPr="00402E9C">
        <w:rPr>
          <w:color w:val="auto"/>
        </w:rPr>
        <w:t>Gestão</w:t>
      </w:r>
      <w:proofErr w:type="spellEnd"/>
      <w:r w:rsidRPr="00402E9C">
        <w:rPr>
          <w:color w:val="auto"/>
        </w:rPr>
        <w:t xml:space="preserve"> para as </w:t>
      </w:r>
      <w:proofErr w:type="spellStart"/>
      <w:r w:rsidRPr="00402E9C">
        <w:rPr>
          <w:color w:val="auto"/>
        </w:rPr>
        <w:t>Instituições</w:t>
      </w:r>
      <w:proofErr w:type="spellEnd"/>
      <w:r w:rsidRPr="00402E9C">
        <w:rPr>
          <w:color w:val="auto"/>
        </w:rPr>
        <w:t xml:space="preserve"> de Ensino Superior</w:t>
      </w:r>
      <w:r w:rsidR="00276235" w:rsidRPr="00402E9C">
        <w:rPr>
          <w:color w:val="auto"/>
        </w:rPr>
        <w:t>,</w:t>
      </w:r>
      <w:r w:rsidRPr="00402E9C">
        <w:rPr>
          <w:color w:val="auto"/>
        </w:rPr>
        <w:t xml:space="preserve"> </w:t>
      </w:r>
      <w:r w:rsidRPr="00402E9C">
        <w:rPr>
          <w:i/>
          <w:iCs/>
          <w:color w:val="auto"/>
        </w:rPr>
        <w:t>Management in Perspective</w:t>
      </w:r>
      <w:r w:rsidR="00276235" w:rsidRPr="00402E9C">
        <w:rPr>
          <w:color w:val="auto"/>
        </w:rPr>
        <w:t>, v.1, n.2.</w:t>
      </w:r>
      <w:r w:rsidRPr="00402E9C">
        <w:rPr>
          <w:color w:val="auto"/>
        </w:rPr>
        <w:t> </w:t>
      </w:r>
    </w:p>
    <w:p w14:paraId="093BEF08" w14:textId="294360F8" w:rsidR="00886769" w:rsidRPr="00402E9C" w:rsidRDefault="00886769" w:rsidP="00315C8D">
      <w:pPr>
        <w:ind w:left="851" w:hanging="851"/>
      </w:pPr>
      <w:proofErr w:type="spellStart"/>
      <w:r w:rsidRPr="00402E9C">
        <w:t>Silverman</w:t>
      </w:r>
      <w:proofErr w:type="spellEnd"/>
      <w:r w:rsidRPr="00402E9C">
        <w:t xml:space="preserve">, D. (2009). Interpretação de dados qualitativos: métodos para análise de entrevistas, textos e interações. Porto Alegre: Artmed / </w:t>
      </w:r>
      <w:proofErr w:type="spellStart"/>
      <w:r w:rsidRPr="00402E9C">
        <w:t>Bookman</w:t>
      </w:r>
      <w:proofErr w:type="spellEnd"/>
      <w:r w:rsidRPr="00402E9C">
        <w:t>.</w:t>
      </w:r>
    </w:p>
    <w:p w14:paraId="18EBDE17" w14:textId="37F08837" w:rsidR="002667F5" w:rsidRPr="00402E9C" w:rsidRDefault="002667F5" w:rsidP="002667F5">
      <w:pPr>
        <w:ind w:left="851" w:hanging="851"/>
        <w:rPr>
          <w:lang w:val="en-US"/>
        </w:rPr>
      </w:pPr>
      <w:proofErr w:type="spellStart"/>
      <w:r w:rsidRPr="00402E9C">
        <w:t>Spada</w:t>
      </w:r>
      <w:proofErr w:type="spellEnd"/>
      <w:r w:rsidRPr="00402E9C">
        <w:t>, E., &amp; Forte, S. H. A. C.</w:t>
      </w:r>
      <w:r w:rsidR="00097828" w:rsidRPr="00402E9C">
        <w:t xml:space="preserve"> </w:t>
      </w:r>
      <w:r w:rsidRPr="00402E9C">
        <w:t>(2018). Cenários Prospectivos das Universidades Corporativas no Brasil - 2030. </w:t>
      </w:r>
      <w:r w:rsidRPr="00402E9C">
        <w:rPr>
          <w:i/>
          <w:iCs/>
          <w:lang w:val="en-US"/>
        </w:rPr>
        <w:t>Future Studies Research Journal: Trends &amp; Strategies</w:t>
      </w:r>
      <w:r w:rsidRPr="00402E9C">
        <w:rPr>
          <w:lang w:val="en-US"/>
        </w:rPr>
        <w:t>, 10(2), 188–213. https://doi.org/10.24023/futurejournal/2175-5825/2018.v10i2.368</w:t>
      </w:r>
    </w:p>
    <w:p w14:paraId="5B4DB1D0" w14:textId="77777777" w:rsidR="00886769" w:rsidRPr="00402E9C" w:rsidRDefault="00886769" w:rsidP="00315C8D">
      <w:pPr>
        <w:ind w:left="851" w:hanging="851"/>
      </w:pPr>
      <w:r w:rsidRPr="00402E9C">
        <w:rPr>
          <w:lang w:val="en-US"/>
        </w:rPr>
        <w:t xml:space="preserve">Straub, T. (2007). </w:t>
      </w:r>
      <w:r w:rsidRPr="00402E9C">
        <w:rPr>
          <w:i/>
          <w:iCs/>
          <w:lang w:val="en-US"/>
        </w:rPr>
        <w:t>Reasons for frequent failure in mergers and acquisitions</w:t>
      </w:r>
      <w:r w:rsidRPr="00402E9C">
        <w:rPr>
          <w:lang w:val="en-US"/>
        </w:rPr>
        <w:t xml:space="preserve">: a comprehensive analysis. </w:t>
      </w:r>
      <w:proofErr w:type="spellStart"/>
      <w:r w:rsidRPr="00402E9C">
        <w:t>Wiesbade</w:t>
      </w:r>
      <w:proofErr w:type="spellEnd"/>
      <w:r w:rsidRPr="00402E9C">
        <w:t>: Springer.</w:t>
      </w:r>
    </w:p>
    <w:p w14:paraId="4EAB6356" w14:textId="77777777" w:rsidR="00886769" w:rsidRPr="00402E9C" w:rsidRDefault="00886769" w:rsidP="00315C8D">
      <w:pPr>
        <w:ind w:left="851" w:hanging="851"/>
      </w:pPr>
      <w:proofErr w:type="spellStart"/>
      <w:r w:rsidRPr="00402E9C">
        <w:t>Tanure</w:t>
      </w:r>
      <w:proofErr w:type="spellEnd"/>
      <w:r w:rsidRPr="00402E9C">
        <w:t xml:space="preserve">, B., Vera L., &amp; </w:t>
      </w:r>
      <w:proofErr w:type="spellStart"/>
      <w:r w:rsidRPr="00402E9C">
        <w:t>Cançado</w:t>
      </w:r>
      <w:proofErr w:type="spellEnd"/>
      <w:r w:rsidRPr="00402E9C">
        <w:t xml:space="preserve">, V. L. (2005) Fusões e aquisições: aprendendo com a experiência brasileira. </w:t>
      </w:r>
      <w:r w:rsidRPr="00402E9C">
        <w:rPr>
          <w:i/>
        </w:rPr>
        <w:t>RAE - Revista de Administração de Empresas</w:t>
      </w:r>
      <w:r w:rsidRPr="00402E9C">
        <w:t xml:space="preserve">, </w:t>
      </w:r>
      <w:r w:rsidRPr="00402E9C">
        <w:rPr>
          <w:i/>
        </w:rPr>
        <w:t>45</w:t>
      </w:r>
      <w:r w:rsidRPr="00402E9C">
        <w:t>(45).</w:t>
      </w:r>
    </w:p>
    <w:p w14:paraId="200EADDD" w14:textId="5B0C2156" w:rsidR="00185883" w:rsidRPr="00402E9C" w:rsidRDefault="00185883" w:rsidP="00185883">
      <w:pPr>
        <w:ind w:left="851" w:hanging="851"/>
      </w:pPr>
      <w:proofErr w:type="spellStart"/>
      <w:r w:rsidRPr="00402E9C">
        <w:t>Viglioni</w:t>
      </w:r>
      <w:proofErr w:type="spellEnd"/>
      <w:r w:rsidRPr="00402E9C">
        <w:t xml:space="preserve">, M. T. D., Carvalho, F. M., </w:t>
      </w:r>
      <w:proofErr w:type="spellStart"/>
      <w:r w:rsidRPr="00402E9C">
        <w:t>Benedicto</w:t>
      </w:r>
      <w:proofErr w:type="spellEnd"/>
      <w:r w:rsidRPr="00402E9C">
        <w:t>, G. C., &amp; Prado, J. W. (2018). Indicadores Econômico-Financeiros Determinantes de Fusões e Aquisições: um Estudo na Indústria de Tecnologia no Brasi</w:t>
      </w:r>
      <w:r w:rsidR="00097828" w:rsidRPr="00402E9C">
        <w:t xml:space="preserve">l, </w:t>
      </w:r>
      <w:r w:rsidRPr="00402E9C">
        <w:rPr>
          <w:i/>
          <w:iCs/>
        </w:rPr>
        <w:t>Contabilidade, Gestão e Governança</w:t>
      </w:r>
      <w:r w:rsidRPr="00402E9C">
        <w:t>, 21(3), 420-438.</w:t>
      </w:r>
    </w:p>
    <w:p w14:paraId="6E30C608" w14:textId="77777777" w:rsidR="00886769" w:rsidRPr="00402E9C" w:rsidRDefault="00886769" w:rsidP="00315C8D">
      <w:pPr>
        <w:ind w:left="851" w:hanging="851"/>
      </w:pPr>
      <w:r w:rsidRPr="00402E9C">
        <w:t xml:space="preserve">Wood, T., Jr., Vasconcelos, F. C., &amp; Caldas, M. P. (2004). Fusões e Aquisições no Brasil. </w:t>
      </w:r>
      <w:r w:rsidRPr="00402E9C">
        <w:rPr>
          <w:i/>
        </w:rPr>
        <w:t>RAE Executivo</w:t>
      </w:r>
      <w:r w:rsidRPr="00402E9C">
        <w:t xml:space="preserve">, São Paulo, </w:t>
      </w:r>
      <w:r w:rsidRPr="00402E9C">
        <w:rPr>
          <w:i/>
        </w:rPr>
        <w:t>2</w:t>
      </w:r>
      <w:r w:rsidRPr="00402E9C">
        <w:t>(4), p. 41-45.</w:t>
      </w:r>
    </w:p>
    <w:p w14:paraId="4C457A38" w14:textId="7B67B728" w:rsidR="00032E7B" w:rsidRPr="00402E9C" w:rsidRDefault="008A0D5A" w:rsidP="00032E7B">
      <w:pPr>
        <w:ind w:left="851" w:hanging="851"/>
      </w:pPr>
      <w:r w:rsidRPr="00402E9C">
        <w:t xml:space="preserve">Wright, P., </w:t>
      </w:r>
      <w:proofErr w:type="spellStart"/>
      <w:r w:rsidRPr="00402E9C">
        <w:t>Kroll</w:t>
      </w:r>
      <w:proofErr w:type="spellEnd"/>
      <w:r w:rsidRPr="00402E9C">
        <w:t xml:space="preserve">, M. J., &amp; </w:t>
      </w:r>
      <w:proofErr w:type="spellStart"/>
      <w:r w:rsidRPr="00402E9C">
        <w:t>Parnell</w:t>
      </w:r>
      <w:proofErr w:type="spellEnd"/>
      <w:r w:rsidRPr="00402E9C">
        <w:t xml:space="preserve">, J. (2000). </w:t>
      </w:r>
      <w:r w:rsidR="00886769" w:rsidRPr="00402E9C">
        <w:rPr>
          <w:i/>
        </w:rPr>
        <w:t xml:space="preserve">Administração estratégica: </w:t>
      </w:r>
      <w:r w:rsidR="00886769" w:rsidRPr="00402E9C">
        <w:rPr>
          <w:iCs/>
        </w:rPr>
        <w:t>conceitos.</w:t>
      </w:r>
      <w:r w:rsidR="00886769" w:rsidRPr="00402E9C">
        <w:t xml:space="preserve"> São Paulo: Atlas.</w:t>
      </w:r>
    </w:p>
    <w:p w14:paraId="7321FFDD" w14:textId="47437539" w:rsidR="00032E7B" w:rsidRPr="00402E9C" w:rsidRDefault="00032E7B" w:rsidP="00CB000E">
      <w:pPr>
        <w:ind w:left="851" w:hanging="851"/>
      </w:pPr>
      <w:r w:rsidRPr="00402E9C">
        <w:rPr>
          <w:lang w:val="en-US"/>
        </w:rPr>
        <w:t xml:space="preserve">Wright, J. T. C.; Silva, A. T. B.; </w:t>
      </w:r>
      <w:proofErr w:type="spellStart"/>
      <w:r w:rsidRPr="00402E9C">
        <w:rPr>
          <w:lang w:val="en-US"/>
        </w:rPr>
        <w:t>Spers</w:t>
      </w:r>
      <w:proofErr w:type="spellEnd"/>
      <w:r w:rsidRPr="00402E9C">
        <w:rPr>
          <w:lang w:val="en-US"/>
        </w:rPr>
        <w:t xml:space="preserve">, R. G. (2010). </w:t>
      </w:r>
      <w:proofErr w:type="spellStart"/>
      <w:r w:rsidRPr="00402E9C">
        <w:t>Prospecção</w:t>
      </w:r>
      <w:proofErr w:type="spellEnd"/>
      <w:r w:rsidRPr="00402E9C">
        <w:t xml:space="preserve"> de </w:t>
      </w:r>
      <w:proofErr w:type="spellStart"/>
      <w:r w:rsidRPr="00402E9C">
        <w:t>cenários</w:t>
      </w:r>
      <w:proofErr w:type="spellEnd"/>
      <w:r w:rsidRPr="00402E9C">
        <w:t xml:space="preserve">: uma abordagem plural para o futuro do Brasil em 2020. </w:t>
      </w:r>
      <w:r w:rsidRPr="00402E9C">
        <w:rPr>
          <w:i/>
          <w:iCs/>
        </w:rPr>
        <w:t xml:space="preserve">Revista Ibero-Americana de </w:t>
      </w:r>
      <w:proofErr w:type="spellStart"/>
      <w:r w:rsidRPr="00402E9C">
        <w:rPr>
          <w:i/>
          <w:iCs/>
        </w:rPr>
        <w:t>Estratégia</w:t>
      </w:r>
      <w:proofErr w:type="spellEnd"/>
      <w:r w:rsidRPr="00402E9C">
        <w:rPr>
          <w:i/>
          <w:iCs/>
        </w:rPr>
        <w:t xml:space="preserve"> - RIAE</w:t>
      </w:r>
      <w:r w:rsidRPr="00402E9C">
        <w:t xml:space="preserve">, </w:t>
      </w:r>
      <w:proofErr w:type="spellStart"/>
      <w:r w:rsidRPr="00402E9C">
        <w:t>São</w:t>
      </w:r>
      <w:proofErr w:type="spellEnd"/>
      <w:r w:rsidRPr="00402E9C">
        <w:t xml:space="preserve"> Paulo, v. 9, n. 1, p. 56-76, jan./abr. </w:t>
      </w:r>
    </w:p>
    <w:p w14:paraId="4AB82755" w14:textId="77777777" w:rsidR="00E60ACF" w:rsidRPr="00402E9C" w:rsidRDefault="00E60ACF" w:rsidP="00E52A41">
      <w:pPr>
        <w:ind w:left="851" w:hanging="851"/>
      </w:pPr>
    </w:p>
    <w:sectPr w:rsidR="00E60ACF" w:rsidRPr="00402E9C" w:rsidSect="00BB616A">
      <w:headerReference w:type="default" r:id="rId11"/>
      <w:pgSz w:w="11907" w:h="16839" w:code="9"/>
      <w:pgMar w:top="1701" w:right="1134" w:bottom="1134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036F3" w14:textId="77777777" w:rsidR="000C733A" w:rsidRDefault="000C733A" w:rsidP="0037019D">
      <w:r>
        <w:separator/>
      </w:r>
    </w:p>
    <w:p w14:paraId="1148E544" w14:textId="77777777" w:rsidR="000C733A" w:rsidRDefault="000C733A" w:rsidP="0037019D"/>
    <w:p w14:paraId="34902524" w14:textId="77777777" w:rsidR="000C733A" w:rsidRDefault="000C733A" w:rsidP="0037019D"/>
    <w:p w14:paraId="18ED9BD7" w14:textId="77777777" w:rsidR="000C733A" w:rsidRDefault="000C733A" w:rsidP="0037019D"/>
    <w:p w14:paraId="6E803EB3" w14:textId="77777777" w:rsidR="000C733A" w:rsidRDefault="000C733A" w:rsidP="0037019D"/>
    <w:p w14:paraId="48F250B0" w14:textId="77777777" w:rsidR="000C733A" w:rsidRDefault="000C733A" w:rsidP="0037019D"/>
    <w:p w14:paraId="130E4CED" w14:textId="77777777" w:rsidR="000C733A" w:rsidRDefault="000C733A" w:rsidP="0037019D"/>
  </w:endnote>
  <w:endnote w:type="continuationSeparator" w:id="0">
    <w:p w14:paraId="5E8AC487" w14:textId="77777777" w:rsidR="000C733A" w:rsidRDefault="000C733A" w:rsidP="0037019D">
      <w:r>
        <w:continuationSeparator/>
      </w:r>
    </w:p>
    <w:p w14:paraId="0CA24D02" w14:textId="77777777" w:rsidR="000C733A" w:rsidRDefault="000C733A" w:rsidP="0037019D"/>
    <w:p w14:paraId="4970F0A9" w14:textId="77777777" w:rsidR="000C733A" w:rsidRDefault="000C733A" w:rsidP="0037019D"/>
    <w:p w14:paraId="0CCD604F" w14:textId="77777777" w:rsidR="000C733A" w:rsidRDefault="000C733A" w:rsidP="0037019D"/>
    <w:p w14:paraId="3DF4732B" w14:textId="77777777" w:rsidR="000C733A" w:rsidRDefault="000C733A" w:rsidP="0037019D"/>
    <w:p w14:paraId="65F30280" w14:textId="77777777" w:rsidR="000C733A" w:rsidRDefault="000C733A" w:rsidP="0037019D"/>
    <w:p w14:paraId="36B3C616" w14:textId="77777777" w:rsidR="000C733A" w:rsidRDefault="000C733A" w:rsidP="00370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Hiragino Mincho ProN W3"/>
    <w:panose1 w:val="020B0604020202020204"/>
    <w:charset w:val="80"/>
    <w:family w:val="roman"/>
    <w:notTrueType/>
    <w:pitch w:val="default"/>
    <w:sig w:usb0="00002A87" w:usb1="08070000" w:usb2="00000010" w:usb3="00000000" w:csb0="0002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ITC Officina Sans Book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43A6E" w14:textId="77777777" w:rsidR="000C733A" w:rsidRDefault="000C733A" w:rsidP="0037019D">
      <w:r>
        <w:separator/>
      </w:r>
    </w:p>
    <w:p w14:paraId="78225F68" w14:textId="77777777" w:rsidR="000C733A" w:rsidRDefault="000C733A" w:rsidP="0037019D"/>
    <w:p w14:paraId="59B303A1" w14:textId="77777777" w:rsidR="000C733A" w:rsidRDefault="000C733A" w:rsidP="0037019D"/>
    <w:p w14:paraId="439F123A" w14:textId="77777777" w:rsidR="000C733A" w:rsidRDefault="000C733A" w:rsidP="0037019D"/>
    <w:p w14:paraId="488B13A3" w14:textId="77777777" w:rsidR="000C733A" w:rsidRDefault="000C733A" w:rsidP="0037019D"/>
    <w:p w14:paraId="1A7D2284" w14:textId="77777777" w:rsidR="000C733A" w:rsidRDefault="000C733A" w:rsidP="0037019D"/>
    <w:p w14:paraId="4DA1F4AC" w14:textId="77777777" w:rsidR="000C733A" w:rsidRDefault="000C733A" w:rsidP="0037019D"/>
  </w:footnote>
  <w:footnote w:type="continuationSeparator" w:id="0">
    <w:p w14:paraId="483BD2A6" w14:textId="77777777" w:rsidR="000C733A" w:rsidRDefault="000C733A" w:rsidP="0037019D">
      <w:r>
        <w:continuationSeparator/>
      </w:r>
    </w:p>
    <w:p w14:paraId="3A0CFB4E" w14:textId="77777777" w:rsidR="000C733A" w:rsidRDefault="000C733A" w:rsidP="0037019D"/>
    <w:p w14:paraId="1F11A060" w14:textId="77777777" w:rsidR="000C733A" w:rsidRDefault="000C733A" w:rsidP="0037019D"/>
    <w:p w14:paraId="02424FD5" w14:textId="77777777" w:rsidR="000C733A" w:rsidRDefault="000C733A" w:rsidP="0037019D"/>
    <w:p w14:paraId="44FD4065" w14:textId="77777777" w:rsidR="000C733A" w:rsidRDefault="000C733A" w:rsidP="0037019D"/>
    <w:p w14:paraId="429C4E5E" w14:textId="77777777" w:rsidR="000C733A" w:rsidRDefault="000C733A" w:rsidP="0037019D"/>
    <w:p w14:paraId="0177374E" w14:textId="77777777" w:rsidR="000C733A" w:rsidRDefault="000C733A" w:rsidP="00370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C1CE7" w14:textId="5FEA7524" w:rsidR="00696E74" w:rsidRDefault="00696E74">
    <w:pPr>
      <w:pStyle w:val="Cabealh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E53BE"/>
    <w:multiLevelType w:val="hybridMultilevel"/>
    <w:tmpl w:val="6458E52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7E0152"/>
    <w:multiLevelType w:val="hybridMultilevel"/>
    <w:tmpl w:val="045A6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C0DDE"/>
    <w:multiLevelType w:val="hybridMultilevel"/>
    <w:tmpl w:val="5024DBF4"/>
    <w:lvl w:ilvl="0" w:tplc="B3A42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80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A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E0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6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0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4E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EB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C0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9161CB"/>
    <w:multiLevelType w:val="hybridMultilevel"/>
    <w:tmpl w:val="D6286E66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EB740D9"/>
    <w:multiLevelType w:val="hybridMultilevel"/>
    <w:tmpl w:val="32BCE6C0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0346CF"/>
    <w:multiLevelType w:val="multilevel"/>
    <w:tmpl w:val="21C0461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935A8D"/>
    <w:multiLevelType w:val="hybridMultilevel"/>
    <w:tmpl w:val="3EA0D9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151AAC"/>
    <w:multiLevelType w:val="hybridMultilevel"/>
    <w:tmpl w:val="ABD6E056"/>
    <w:lvl w:ilvl="0" w:tplc="538452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141F08"/>
    <w:multiLevelType w:val="multilevel"/>
    <w:tmpl w:val="46E071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2A3A16"/>
    <w:multiLevelType w:val="hybridMultilevel"/>
    <w:tmpl w:val="B50AAE7E"/>
    <w:lvl w:ilvl="0" w:tplc="EA2AD2F6">
      <w:numFmt w:val="bullet"/>
      <w:lvlText w:val="•"/>
      <w:lvlJc w:val="left"/>
      <w:pPr>
        <w:ind w:left="927" w:hanging="360"/>
      </w:pPr>
      <w:rPr>
        <w:rFonts w:ascii="Times New Roman" w:eastAsia="Times New Roman 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3A1310"/>
    <w:multiLevelType w:val="multilevel"/>
    <w:tmpl w:val="1F42AAD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3212EB9"/>
    <w:multiLevelType w:val="hybridMultilevel"/>
    <w:tmpl w:val="9AE86098"/>
    <w:lvl w:ilvl="0" w:tplc="73D06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73B6E"/>
    <w:multiLevelType w:val="hybridMultilevel"/>
    <w:tmpl w:val="A302FD5E"/>
    <w:lvl w:ilvl="0" w:tplc="6096C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74F82"/>
    <w:multiLevelType w:val="hybridMultilevel"/>
    <w:tmpl w:val="B300982A"/>
    <w:lvl w:ilvl="0" w:tplc="FBBCDF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E2F69"/>
    <w:multiLevelType w:val="hybridMultilevel"/>
    <w:tmpl w:val="AEB4E102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7" w15:restartNumberingAfterBreak="0">
    <w:nsid w:val="3F8A5495"/>
    <w:multiLevelType w:val="multilevel"/>
    <w:tmpl w:val="2C20318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408E5835"/>
    <w:multiLevelType w:val="hybridMultilevel"/>
    <w:tmpl w:val="7BD667B0"/>
    <w:lvl w:ilvl="0" w:tplc="04160017">
      <w:start w:val="1"/>
      <w:numFmt w:val="lowerLetter"/>
      <w:lvlText w:val="%1)"/>
      <w:lvlJc w:val="left"/>
      <w:pPr>
        <w:ind w:left="128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9" w15:restartNumberingAfterBreak="0">
    <w:nsid w:val="43457554"/>
    <w:multiLevelType w:val="hybridMultilevel"/>
    <w:tmpl w:val="04C0BDB4"/>
    <w:lvl w:ilvl="0" w:tplc="CF765750">
      <w:start w:val="1"/>
      <w:numFmt w:val="decimal"/>
      <w:lvlText w:val="%1-"/>
      <w:lvlJc w:val="left"/>
      <w:pPr>
        <w:ind w:left="962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0" w15:restartNumberingAfterBreak="0">
    <w:nsid w:val="536C1918"/>
    <w:multiLevelType w:val="hybridMultilevel"/>
    <w:tmpl w:val="F62229A8"/>
    <w:lvl w:ilvl="0" w:tplc="CFF8E7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F487B"/>
    <w:multiLevelType w:val="multilevel"/>
    <w:tmpl w:val="E11CA8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591F3BAC"/>
    <w:multiLevelType w:val="hybridMultilevel"/>
    <w:tmpl w:val="6458E52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A833FA"/>
    <w:multiLevelType w:val="hybridMultilevel"/>
    <w:tmpl w:val="6288813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C600E97"/>
    <w:multiLevelType w:val="hybridMultilevel"/>
    <w:tmpl w:val="BC64CA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7109F0"/>
    <w:multiLevelType w:val="hybridMultilevel"/>
    <w:tmpl w:val="9AE86098"/>
    <w:lvl w:ilvl="0" w:tplc="73D06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767252"/>
    <w:multiLevelType w:val="hybridMultilevel"/>
    <w:tmpl w:val="FAC64266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7" w15:restartNumberingAfterBreak="0">
    <w:nsid w:val="6AC56280"/>
    <w:multiLevelType w:val="hybridMultilevel"/>
    <w:tmpl w:val="05B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76E7D"/>
    <w:multiLevelType w:val="hybridMultilevel"/>
    <w:tmpl w:val="CD084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A7048"/>
    <w:multiLevelType w:val="hybridMultilevel"/>
    <w:tmpl w:val="7A5E0DCC"/>
    <w:lvl w:ilvl="0" w:tplc="9AFAED42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7A544312"/>
    <w:multiLevelType w:val="hybridMultilevel"/>
    <w:tmpl w:val="A544941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0B4E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1"/>
  </w:num>
  <w:num w:numId="3">
    <w:abstractNumId w:val="9"/>
  </w:num>
  <w:num w:numId="4">
    <w:abstractNumId w:val="0"/>
  </w:num>
  <w:num w:numId="5">
    <w:abstractNumId w:val="2"/>
  </w:num>
  <w:num w:numId="6">
    <w:abstractNumId w:val="21"/>
  </w:num>
  <w:num w:numId="7">
    <w:abstractNumId w:val="17"/>
  </w:num>
  <w:num w:numId="8">
    <w:abstractNumId w:val="25"/>
  </w:num>
  <w:num w:numId="9">
    <w:abstractNumId w:val="4"/>
  </w:num>
  <w:num w:numId="10">
    <w:abstractNumId w:val="13"/>
  </w:num>
  <w:num w:numId="11">
    <w:abstractNumId w:val="19"/>
  </w:num>
  <w:num w:numId="12">
    <w:abstractNumId w:val="26"/>
  </w:num>
  <w:num w:numId="13">
    <w:abstractNumId w:val="16"/>
  </w:num>
  <w:num w:numId="14">
    <w:abstractNumId w:val="15"/>
  </w:num>
  <w:num w:numId="15">
    <w:abstractNumId w:val="20"/>
  </w:num>
  <w:num w:numId="16">
    <w:abstractNumId w:val="14"/>
  </w:num>
  <w:num w:numId="17">
    <w:abstractNumId w:val="27"/>
  </w:num>
  <w:num w:numId="18">
    <w:abstractNumId w:val="8"/>
  </w:num>
  <w:num w:numId="19">
    <w:abstractNumId w:val="24"/>
  </w:num>
  <w:num w:numId="20">
    <w:abstractNumId w:val="11"/>
  </w:num>
  <w:num w:numId="21">
    <w:abstractNumId w:val="7"/>
  </w:num>
  <w:num w:numId="22">
    <w:abstractNumId w:val="28"/>
  </w:num>
  <w:num w:numId="23">
    <w:abstractNumId w:val="3"/>
  </w:num>
  <w:num w:numId="24">
    <w:abstractNumId w:val="22"/>
  </w:num>
  <w:num w:numId="25">
    <w:abstractNumId w:val="18"/>
  </w:num>
  <w:num w:numId="26">
    <w:abstractNumId w:val="12"/>
  </w:num>
  <w:num w:numId="27">
    <w:abstractNumId w:val="5"/>
  </w:num>
  <w:num w:numId="28">
    <w:abstractNumId w:val="29"/>
  </w:num>
  <w:num w:numId="29">
    <w:abstractNumId w:val="6"/>
  </w:num>
  <w:num w:numId="30">
    <w:abstractNumId w:val="23"/>
  </w:num>
  <w:num w:numId="3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F2"/>
    <w:rsid w:val="00000D49"/>
    <w:rsid w:val="00001277"/>
    <w:rsid w:val="00001F9A"/>
    <w:rsid w:val="00001FC3"/>
    <w:rsid w:val="00002249"/>
    <w:rsid w:val="000033AE"/>
    <w:rsid w:val="000034F1"/>
    <w:rsid w:val="00003EBE"/>
    <w:rsid w:val="00004144"/>
    <w:rsid w:val="000044A5"/>
    <w:rsid w:val="00004BC6"/>
    <w:rsid w:val="000057A0"/>
    <w:rsid w:val="00005C66"/>
    <w:rsid w:val="00006154"/>
    <w:rsid w:val="00006835"/>
    <w:rsid w:val="0000685D"/>
    <w:rsid w:val="00006A80"/>
    <w:rsid w:val="00006F53"/>
    <w:rsid w:val="000100F1"/>
    <w:rsid w:val="00010A3B"/>
    <w:rsid w:val="00010E57"/>
    <w:rsid w:val="00011F6D"/>
    <w:rsid w:val="000120BB"/>
    <w:rsid w:val="0001384C"/>
    <w:rsid w:val="0001480B"/>
    <w:rsid w:val="000154CD"/>
    <w:rsid w:val="00015B67"/>
    <w:rsid w:val="00015B96"/>
    <w:rsid w:val="00015F23"/>
    <w:rsid w:val="000173F8"/>
    <w:rsid w:val="00017CA8"/>
    <w:rsid w:val="00020E50"/>
    <w:rsid w:val="000211C2"/>
    <w:rsid w:val="000212C5"/>
    <w:rsid w:val="000218C3"/>
    <w:rsid w:val="000218C7"/>
    <w:rsid w:val="00021F83"/>
    <w:rsid w:val="000224FE"/>
    <w:rsid w:val="00022E5B"/>
    <w:rsid w:val="000231D4"/>
    <w:rsid w:val="000231F8"/>
    <w:rsid w:val="00023218"/>
    <w:rsid w:val="000238AA"/>
    <w:rsid w:val="00023DA6"/>
    <w:rsid w:val="0002426C"/>
    <w:rsid w:val="00024324"/>
    <w:rsid w:val="00024ADF"/>
    <w:rsid w:val="00024DA3"/>
    <w:rsid w:val="00025579"/>
    <w:rsid w:val="0002571B"/>
    <w:rsid w:val="0002573C"/>
    <w:rsid w:val="00026170"/>
    <w:rsid w:val="000263E2"/>
    <w:rsid w:val="00026AA7"/>
    <w:rsid w:val="00027619"/>
    <w:rsid w:val="00027739"/>
    <w:rsid w:val="000278EE"/>
    <w:rsid w:val="00030235"/>
    <w:rsid w:val="000303D0"/>
    <w:rsid w:val="00030579"/>
    <w:rsid w:val="00031DCB"/>
    <w:rsid w:val="00031EA7"/>
    <w:rsid w:val="00032129"/>
    <w:rsid w:val="000325D3"/>
    <w:rsid w:val="00032933"/>
    <w:rsid w:val="00032D3F"/>
    <w:rsid w:val="00032E7B"/>
    <w:rsid w:val="00032FBF"/>
    <w:rsid w:val="00033054"/>
    <w:rsid w:val="00033823"/>
    <w:rsid w:val="00033AD0"/>
    <w:rsid w:val="00033BB5"/>
    <w:rsid w:val="000341EF"/>
    <w:rsid w:val="00035E66"/>
    <w:rsid w:val="00036869"/>
    <w:rsid w:val="00036C3E"/>
    <w:rsid w:val="00036DC5"/>
    <w:rsid w:val="00037268"/>
    <w:rsid w:val="0003770E"/>
    <w:rsid w:val="00037922"/>
    <w:rsid w:val="00037AB0"/>
    <w:rsid w:val="00037D18"/>
    <w:rsid w:val="00040226"/>
    <w:rsid w:val="00040FB2"/>
    <w:rsid w:val="000411A6"/>
    <w:rsid w:val="00041429"/>
    <w:rsid w:val="00041CE9"/>
    <w:rsid w:val="00042B9A"/>
    <w:rsid w:val="00042C7B"/>
    <w:rsid w:val="000430F1"/>
    <w:rsid w:val="00043635"/>
    <w:rsid w:val="00043FE0"/>
    <w:rsid w:val="00044114"/>
    <w:rsid w:val="000446C1"/>
    <w:rsid w:val="0004509D"/>
    <w:rsid w:val="0004520C"/>
    <w:rsid w:val="000455AD"/>
    <w:rsid w:val="0004619A"/>
    <w:rsid w:val="00046432"/>
    <w:rsid w:val="00046FCD"/>
    <w:rsid w:val="00047FD1"/>
    <w:rsid w:val="0005003F"/>
    <w:rsid w:val="000502E8"/>
    <w:rsid w:val="00050BB1"/>
    <w:rsid w:val="00050CBD"/>
    <w:rsid w:val="00050D14"/>
    <w:rsid w:val="000513D0"/>
    <w:rsid w:val="0005155E"/>
    <w:rsid w:val="0005174F"/>
    <w:rsid w:val="00052C06"/>
    <w:rsid w:val="00052C7D"/>
    <w:rsid w:val="000535EE"/>
    <w:rsid w:val="000536EC"/>
    <w:rsid w:val="000537E1"/>
    <w:rsid w:val="00053A55"/>
    <w:rsid w:val="00054C41"/>
    <w:rsid w:val="0005598C"/>
    <w:rsid w:val="0005639D"/>
    <w:rsid w:val="00057284"/>
    <w:rsid w:val="00057C44"/>
    <w:rsid w:val="00057C62"/>
    <w:rsid w:val="00057E94"/>
    <w:rsid w:val="00057F05"/>
    <w:rsid w:val="0006070B"/>
    <w:rsid w:val="00061577"/>
    <w:rsid w:val="000617EF"/>
    <w:rsid w:val="00061908"/>
    <w:rsid w:val="00061F90"/>
    <w:rsid w:val="00062620"/>
    <w:rsid w:val="00062643"/>
    <w:rsid w:val="00062BA0"/>
    <w:rsid w:val="00062BFF"/>
    <w:rsid w:val="00062D18"/>
    <w:rsid w:val="00063024"/>
    <w:rsid w:val="0006340D"/>
    <w:rsid w:val="00063B62"/>
    <w:rsid w:val="00063CF3"/>
    <w:rsid w:val="00063F43"/>
    <w:rsid w:val="00063FCF"/>
    <w:rsid w:val="0006460B"/>
    <w:rsid w:val="0006463B"/>
    <w:rsid w:val="00064AFE"/>
    <w:rsid w:val="00064DAC"/>
    <w:rsid w:val="000651C7"/>
    <w:rsid w:val="0006574E"/>
    <w:rsid w:val="0006639A"/>
    <w:rsid w:val="00066789"/>
    <w:rsid w:val="0006713A"/>
    <w:rsid w:val="00067142"/>
    <w:rsid w:val="00067599"/>
    <w:rsid w:val="000678BC"/>
    <w:rsid w:val="00070517"/>
    <w:rsid w:val="00070735"/>
    <w:rsid w:val="00071009"/>
    <w:rsid w:val="0007124E"/>
    <w:rsid w:val="000718C7"/>
    <w:rsid w:val="00071C00"/>
    <w:rsid w:val="000729F1"/>
    <w:rsid w:val="00073691"/>
    <w:rsid w:val="00073C43"/>
    <w:rsid w:val="00073D1E"/>
    <w:rsid w:val="000741E0"/>
    <w:rsid w:val="0007477C"/>
    <w:rsid w:val="00074ADB"/>
    <w:rsid w:val="00075464"/>
    <w:rsid w:val="00075B88"/>
    <w:rsid w:val="00076A07"/>
    <w:rsid w:val="00076C6D"/>
    <w:rsid w:val="00077784"/>
    <w:rsid w:val="00077C54"/>
    <w:rsid w:val="00080067"/>
    <w:rsid w:val="0008038A"/>
    <w:rsid w:val="000809A7"/>
    <w:rsid w:val="00080BBF"/>
    <w:rsid w:val="00080F86"/>
    <w:rsid w:val="00081393"/>
    <w:rsid w:val="00081D5F"/>
    <w:rsid w:val="0008206C"/>
    <w:rsid w:val="000826DC"/>
    <w:rsid w:val="000832E6"/>
    <w:rsid w:val="000835C4"/>
    <w:rsid w:val="00083CD1"/>
    <w:rsid w:val="00084612"/>
    <w:rsid w:val="00084BBF"/>
    <w:rsid w:val="00085AAD"/>
    <w:rsid w:val="00085EAA"/>
    <w:rsid w:val="000861A2"/>
    <w:rsid w:val="00086272"/>
    <w:rsid w:val="000879BC"/>
    <w:rsid w:val="000900D0"/>
    <w:rsid w:val="0009181F"/>
    <w:rsid w:val="0009198A"/>
    <w:rsid w:val="0009276B"/>
    <w:rsid w:val="000927B4"/>
    <w:rsid w:val="0009287F"/>
    <w:rsid w:val="00093323"/>
    <w:rsid w:val="00093533"/>
    <w:rsid w:val="00093B98"/>
    <w:rsid w:val="00093FC3"/>
    <w:rsid w:val="000942E4"/>
    <w:rsid w:val="000948A1"/>
    <w:rsid w:val="00094C28"/>
    <w:rsid w:val="00094E21"/>
    <w:rsid w:val="00095AEF"/>
    <w:rsid w:val="00095CF8"/>
    <w:rsid w:val="00095D06"/>
    <w:rsid w:val="00095FA9"/>
    <w:rsid w:val="00096B80"/>
    <w:rsid w:val="00096E49"/>
    <w:rsid w:val="00097828"/>
    <w:rsid w:val="00097D59"/>
    <w:rsid w:val="000A0119"/>
    <w:rsid w:val="000A0206"/>
    <w:rsid w:val="000A08E0"/>
    <w:rsid w:val="000A0AF6"/>
    <w:rsid w:val="000A2064"/>
    <w:rsid w:val="000A249D"/>
    <w:rsid w:val="000A2BAE"/>
    <w:rsid w:val="000A3C05"/>
    <w:rsid w:val="000A3FE6"/>
    <w:rsid w:val="000A4724"/>
    <w:rsid w:val="000A47F3"/>
    <w:rsid w:val="000A48F0"/>
    <w:rsid w:val="000A4AF1"/>
    <w:rsid w:val="000A4E0B"/>
    <w:rsid w:val="000A54FE"/>
    <w:rsid w:val="000A5519"/>
    <w:rsid w:val="000A5830"/>
    <w:rsid w:val="000A58DE"/>
    <w:rsid w:val="000A6297"/>
    <w:rsid w:val="000A73B0"/>
    <w:rsid w:val="000A740E"/>
    <w:rsid w:val="000A7515"/>
    <w:rsid w:val="000A7CBA"/>
    <w:rsid w:val="000B0A53"/>
    <w:rsid w:val="000B0EB9"/>
    <w:rsid w:val="000B1D2C"/>
    <w:rsid w:val="000B1FF9"/>
    <w:rsid w:val="000B2407"/>
    <w:rsid w:val="000B2E39"/>
    <w:rsid w:val="000B31F1"/>
    <w:rsid w:val="000B3AA2"/>
    <w:rsid w:val="000B3AA8"/>
    <w:rsid w:val="000B427F"/>
    <w:rsid w:val="000B4945"/>
    <w:rsid w:val="000B4C74"/>
    <w:rsid w:val="000B4D64"/>
    <w:rsid w:val="000B51E7"/>
    <w:rsid w:val="000B5395"/>
    <w:rsid w:val="000B5728"/>
    <w:rsid w:val="000B62F5"/>
    <w:rsid w:val="000B6FD8"/>
    <w:rsid w:val="000B725C"/>
    <w:rsid w:val="000C04DA"/>
    <w:rsid w:val="000C144F"/>
    <w:rsid w:val="000C15BF"/>
    <w:rsid w:val="000C21F5"/>
    <w:rsid w:val="000C2B34"/>
    <w:rsid w:val="000C2F51"/>
    <w:rsid w:val="000C3DD9"/>
    <w:rsid w:val="000C4860"/>
    <w:rsid w:val="000C4DBE"/>
    <w:rsid w:val="000C5147"/>
    <w:rsid w:val="000C538C"/>
    <w:rsid w:val="000C5B36"/>
    <w:rsid w:val="000C65AB"/>
    <w:rsid w:val="000C65F0"/>
    <w:rsid w:val="000C6BBE"/>
    <w:rsid w:val="000C733A"/>
    <w:rsid w:val="000C74F2"/>
    <w:rsid w:val="000C7FC9"/>
    <w:rsid w:val="000D06DC"/>
    <w:rsid w:val="000D145B"/>
    <w:rsid w:val="000D1850"/>
    <w:rsid w:val="000D3A8D"/>
    <w:rsid w:val="000D482F"/>
    <w:rsid w:val="000D4CAA"/>
    <w:rsid w:val="000D51BF"/>
    <w:rsid w:val="000D57A9"/>
    <w:rsid w:val="000D5BDE"/>
    <w:rsid w:val="000D5DAB"/>
    <w:rsid w:val="000D5EAB"/>
    <w:rsid w:val="000D6020"/>
    <w:rsid w:val="000D60E2"/>
    <w:rsid w:val="000D6240"/>
    <w:rsid w:val="000D7A7C"/>
    <w:rsid w:val="000E0364"/>
    <w:rsid w:val="000E0723"/>
    <w:rsid w:val="000E09E8"/>
    <w:rsid w:val="000E0F15"/>
    <w:rsid w:val="000E1295"/>
    <w:rsid w:val="000E13EC"/>
    <w:rsid w:val="000E192B"/>
    <w:rsid w:val="000E1DAE"/>
    <w:rsid w:val="000E22FF"/>
    <w:rsid w:val="000E267F"/>
    <w:rsid w:val="000E309F"/>
    <w:rsid w:val="000E32FC"/>
    <w:rsid w:val="000E3D53"/>
    <w:rsid w:val="000E4AC9"/>
    <w:rsid w:val="000E5CB5"/>
    <w:rsid w:val="000E5E1D"/>
    <w:rsid w:val="000E60DF"/>
    <w:rsid w:val="000E67E8"/>
    <w:rsid w:val="000E6B3D"/>
    <w:rsid w:val="000E6E88"/>
    <w:rsid w:val="000E764D"/>
    <w:rsid w:val="000E7A6D"/>
    <w:rsid w:val="000E7BFD"/>
    <w:rsid w:val="000E7DDC"/>
    <w:rsid w:val="000F06C1"/>
    <w:rsid w:val="000F06E4"/>
    <w:rsid w:val="000F0713"/>
    <w:rsid w:val="000F150D"/>
    <w:rsid w:val="000F169A"/>
    <w:rsid w:val="000F185F"/>
    <w:rsid w:val="000F1EC9"/>
    <w:rsid w:val="000F2142"/>
    <w:rsid w:val="000F21A2"/>
    <w:rsid w:val="000F32DB"/>
    <w:rsid w:val="000F3782"/>
    <w:rsid w:val="000F3CB6"/>
    <w:rsid w:val="000F4377"/>
    <w:rsid w:val="000F49F9"/>
    <w:rsid w:val="000F4CB5"/>
    <w:rsid w:val="000F4E2B"/>
    <w:rsid w:val="000F4F00"/>
    <w:rsid w:val="000F58CE"/>
    <w:rsid w:val="000F59E1"/>
    <w:rsid w:val="000F6213"/>
    <w:rsid w:val="000F7003"/>
    <w:rsid w:val="000F73F5"/>
    <w:rsid w:val="000F7AC6"/>
    <w:rsid w:val="001002B3"/>
    <w:rsid w:val="001003F6"/>
    <w:rsid w:val="00100492"/>
    <w:rsid w:val="00100907"/>
    <w:rsid w:val="001009E6"/>
    <w:rsid w:val="00100DEC"/>
    <w:rsid w:val="00101316"/>
    <w:rsid w:val="0010141E"/>
    <w:rsid w:val="0010206D"/>
    <w:rsid w:val="0010227F"/>
    <w:rsid w:val="0010317A"/>
    <w:rsid w:val="0010333C"/>
    <w:rsid w:val="0010368F"/>
    <w:rsid w:val="00103FBB"/>
    <w:rsid w:val="00104858"/>
    <w:rsid w:val="0010493A"/>
    <w:rsid w:val="001066F9"/>
    <w:rsid w:val="00106EB4"/>
    <w:rsid w:val="00107097"/>
    <w:rsid w:val="00107667"/>
    <w:rsid w:val="00110F35"/>
    <w:rsid w:val="001110FD"/>
    <w:rsid w:val="00111720"/>
    <w:rsid w:val="00111766"/>
    <w:rsid w:val="00111E76"/>
    <w:rsid w:val="00112D0C"/>
    <w:rsid w:val="00113A2A"/>
    <w:rsid w:val="00113EFC"/>
    <w:rsid w:val="00114096"/>
    <w:rsid w:val="001141AF"/>
    <w:rsid w:val="001141C8"/>
    <w:rsid w:val="00114FB9"/>
    <w:rsid w:val="001150B3"/>
    <w:rsid w:val="001151E7"/>
    <w:rsid w:val="00115B00"/>
    <w:rsid w:val="00115B25"/>
    <w:rsid w:val="001169A3"/>
    <w:rsid w:val="0011769E"/>
    <w:rsid w:val="001179D9"/>
    <w:rsid w:val="00117CD4"/>
    <w:rsid w:val="00117E6F"/>
    <w:rsid w:val="001202A9"/>
    <w:rsid w:val="00120C46"/>
    <w:rsid w:val="001210EE"/>
    <w:rsid w:val="0012141D"/>
    <w:rsid w:val="001215C3"/>
    <w:rsid w:val="00121647"/>
    <w:rsid w:val="001218AF"/>
    <w:rsid w:val="00121D79"/>
    <w:rsid w:val="0012238D"/>
    <w:rsid w:val="001231A7"/>
    <w:rsid w:val="00123F5F"/>
    <w:rsid w:val="00123FCA"/>
    <w:rsid w:val="0012534E"/>
    <w:rsid w:val="00125C81"/>
    <w:rsid w:val="00126703"/>
    <w:rsid w:val="0012698B"/>
    <w:rsid w:val="001269D7"/>
    <w:rsid w:val="00126D1A"/>
    <w:rsid w:val="00127D64"/>
    <w:rsid w:val="0013092A"/>
    <w:rsid w:val="00130EF6"/>
    <w:rsid w:val="00130F64"/>
    <w:rsid w:val="00132493"/>
    <w:rsid w:val="0013356D"/>
    <w:rsid w:val="001339E3"/>
    <w:rsid w:val="00135010"/>
    <w:rsid w:val="00135376"/>
    <w:rsid w:val="00135584"/>
    <w:rsid w:val="00135B20"/>
    <w:rsid w:val="00135BB1"/>
    <w:rsid w:val="00135C21"/>
    <w:rsid w:val="00135E85"/>
    <w:rsid w:val="001368F6"/>
    <w:rsid w:val="0014002F"/>
    <w:rsid w:val="00140D67"/>
    <w:rsid w:val="0014157C"/>
    <w:rsid w:val="00141686"/>
    <w:rsid w:val="0014185B"/>
    <w:rsid w:val="00141A24"/>
    <w:rsid w:val="00141B00"/>
    <w:rsid w:val="001420BD"/>
    <w:rsid w:val="0014249B"/>
    <w:rsid w:val="00142A02"/>
    <w:rsid w:val="001432D4"/>
    <w:rsid w:val="001436C3"/>
    <w:rsid w:val="001437F8"/>
    <w:rsid w:val="00143B11"/>
    <w:rsid w:val="00143D4F"/>
    <w:rsid w:val="00144C44"/>
    <w:rsid w:val="00144FB2"/>
    <w:rsid w:val="0014546C"/>
    <w:rsid w:val="00145CB5"/>
    <w:rsid w:val="00146511"/>
    <w:rsid w:val="001472CD"/>
    <w:rsid w:val="0015038E"/>
    <w:rsid w:val="00150748"/>
    <w:rsid w:val="00151058"/>
    <w:rsid w:val="001513E8"/>
    <w:rsid w:val="00151CDB"/>
    <w:rsid w:val="00151E9D"/>
    <w:rsid w:val="00151FC7"/>
    <w:rsid w:val="001520B6"/>
    <w:rsid w:val="00152172"/>
    <w:rsid w:val="00152815"/>
    <w:rsid w:val="00152D51"/>
    <w:rsid w:val="00152D8E"/>
    <w:rsid w:val="001536C7"/>
    <w:rsid w:val="00153D1D"/>
    <w:rsid w:val="001559E8"/>
    <w:rsid w:val="00155E4B"/>
    <w:rsid w:val="001560A2"/>
    <w:rsid w:val="00156229"/>
    <w:rsid w:val="00157238"/>
    <w:rsid w:val="00160892"/>
    <w:rsid w:val="00160D08"/>
    <w:rsid w:val="00161B42"/>
    <w:rsid w:val="00161B96"/>
    <w:rsid w:val="0016227F"/>
    <w:rsid w:val="00162C8E"/>
    <w:rsid w:val="001639D6"/>
    <w:rsid w:val="00163C8E"/>
    <w:rsid w:val="0016403F"/>
    <w:rsid w:val="00164475"/>
    <w:rsid w:val="001646EE"/>
    <w:rsid w:val="00164CB5"/>
    <w:rsid w:val="00165A7B"/>
    <w:rsid w:val="00165E79"/>
    <w:rsid w:val="00165FF7"/>
    <w:rsid w:val="001666D9"/>
    <w:rsid w:val="00166A0E"/>
    <w:rsid w:val="00166F15"/>
    <w:rsid w:val="00167088"/>
    <w:rsid w:val="0016734C"/>
    <w:rsid w:val="001673A9"/>
    <w:rsid w:val="00167B61"/>
    <w:rsid w:val="00167BCC"/>
    <w:rsid w:val="00167FEB"/>
    <w:rsid w:val="00170148"/>
    <w:rsid w:val="00170726"/>
    <w:rsid w:val="00170E6F"/>
    <w:rsid w:val="00171735"/>
    <w:rsid w:val="0017186B"/>
    <w:rsid w:val="00171A1F"/>
    <w:rsid w:val="00171C1A"/>
    <w:rsid w:val="00172484"/>
    <w:rsid w:val="00172CE3"/>
    <w:rsid w:val="00172D5D"/>
    <w:rsid w:val="00173450"/>
    <w:rsid w:val="00173E32"/>
    <w:rsid w:val="00174165"/>
    <w:rsid w:val="0017420D"/>
    <w:rsid w:val="00174686"/>
    <w:rsid w:val="001753C4"/>
    <w:rsid w:val="00175934"/>
    <w:rsid w:val="0017617F"/>
    <w:rsid w:val="00176784"/>
    <w:rsid w:val="0017699C"/>
    <w:rsid w:val="00176B40"/>
    <w:rsid w:val="00177179"/>
    <w:rsid w:val="00177272"/>
    <w:rsid w:val="00177455"/>
    <w:rsid w:val="0017758A"/>
    <w:rsid w:val="0017762F"/>
    <w:rsid w:val="00177CC1"/>
    <w:rsid w:val="00177ECD"/>
    <w:rsid w:val="0018062A"/>
    <w:rsid w:val="001808C6"/>
    <w:rsid w:val="00180EA4"/>
    <w:rsid w:val="00181330"/>
    <w:rsid w:val="0018187C"/>
    <w:rsid w:val="00181D04"/>
    <w:rsid w:val="00181F6B"/>
    <w:rsid w:val="00182ED4"/>
    <w:rsid w:val="0018322B"/>
    <w:rsid w:val="00183ED5"/>
    <w:rsid w:val="00185284"/>
    <w:rsid w:val="00185883"/>
    <w:rsid w:val="001860B4"/>
    <w:rsid w:val="00186AAD"/>
    <w:rsid w:val="00187069"/>
    <w:rsid w:val="0019080E"/>
    <w:rsid w:val="00191637"/>
    <w:rsid w:val="00191BD4"/>
    <w:rsid w:val="00191FFE"/>
    <w:rsid w:val="0019231E"/>
    <w:rsid w:val="00192BFE"/>
    <w:rsid w:val="00193175"/>
    <w:rsid w:val="00193F07"/>
    <w:rsid w:val="0019416F"/>
    <w:rsid w:val="0019450C"/>
    <w:rsid w:val="00194717"/>
    <w:rsid w:val="00194829"/>
    <w:rsid w:val="00194C07"/>
    <w:rsid w:val="00194DA9"/>
    <w:rsid w:val="00195A90"/>
    <w:rsid w:val="00195E17"/>
    <w:rsid w:val="001962EB"/>
    <w:rsid w:val="0019742E"/>
    <w:rsid w:val="001974F6"/>
    <w:rsid w:val="00197500"/>
    <w:rsid w:val="001978D2"/>
    <w:rsid w:val="00197C79"/>
    <w:rsid w:val="001A00FF"/>
    <w:rsid w:val="001A0565"/>
    <w:rsid w:val="001A2F41"/>
    <w:rsid w:val="001A35EB"/>
    <w:rsid w:val="001A375A"/>
    <w:rsid w:val="001A37BC"/>
    <w:rsid w:val="001A3A24"/>
    <w:rsid w:val="001A4950"/>
    <w:rsid w:val="001A4BB1"/>
    <w:rsid w:val="001A5022"/>
    <w:rsid w:val="001A6492"/>
    <w:rsid w:val="001A6995"/>
    <w:rsid w:val="001A6ABC"/>
    <w:rsid w:val="001A798F"/>
    <w:rsid w:val="001B0BA1"/>
    <w:rsid w:val="001B1226"/>
    <w:rsid w:val="001B22AB"/>
    <w:rsid w:val="001B309B"/>
    <w:rsid w:val="001B3AD7"/>
    <w:rsid w:val="001B4248"/>
    <w:rsid w:val="001B4E09"/>
    <w:rsid w:val="001B5A3F"/>
    <w:rsid w:val="001B5B72"/>
    <w:rsid w:val="001B61C0"/>
    <w:rsid w:val="001B6647"/>
    <w:rsid w:val="001B68B3"/>
    <w:rsid w:val="001C0DE5"/>
    <w:rsid w:val="001C1084"/>
    <w:rsid w:val="001C17E6"/>
    <w:rsid w:val="001C1A8E"/>
    <w:rsid w:val="001C1AF0"/>
    <w:rsid w:val="001C2826"/>
    <w:rsid w:val="001C2896"/>
    <w:rsid w:val="001C3790"/>
    <w:rsid w:val="001C38B9"/>
    <w:rsid w:val="001C3FAF"/>
    <w:rsid w:val="001C44DB"/>
    <w:rsid w:val="001C4938"/>
    <w:rsid w:val="001C5405"/>
    <w:rsid w:val="001C5730"/>
    <w:rsid w:val="001C631E"/>
    <w:rsid w:val="001C6332"/>
    <w:rsid w:val="001C6454"/>
    <w:rsid w:val="001C679E"/>
    <w:rsid w:val="001C6823"/>
    <w:rsid w:val="001C6E29"/>
    <w:rsid w:val="001C798C"/>
    <w:rsid w:val="001C7C78"/>
    <w:rsid w:val="001D029E"/>
    <w:rsid w:val="001D0556"/>
    <w:rsid w:val="001D0C2B"/>
    <w:rsid w:val="001D0EEA"/>
    <w:rsid w:val="001D19D2"/>
    <w:rsid w:val="001D1C17"/>
    <w:rsid w:val="001D1F87"/>
    <w:rsid w:val="001D2F64"/>
    <w:rsid w:val="001D3EC6"/>
    <w:rsid w:val="001D3F11"/>
    <w:rsid w:val="001D4462"/>
    <w:rsid w:val="001D46BA"/>
    <w:rsid w:val="001D5AA0"/>
    <w:rsid w:val="001D5E13"/>
    <w:rsid w:val="001D73C0"/>
    <w:rsid w:val="001E087C"/>
    <w:rsid w:val="001E1447"/>
    <w:rsid w:val="001E237F"/>
    <w:rsid w:val="001E2F0E"/>
    <w:rsid w:val="001E30EF"/>
    <w:rsid w:val="001E3CA4"/>
    <w:rsid w:val="001E4524"/>
    <w:rsid w:val="001E477B"/>
    <w:rsid w:val="001E4FAD"/>
    <w:rsid w:val="001E5256"/>
    <w:rsid w:val="001E569F"/>
    <w:rsid w:val="001E5A92"/>
    <w:rsid w:val="001E5B9E"/>
    <w:rsid w:val="001E6A42"/>
    <w:rsid w:val="001E7681"/>
    <w:rsid w:val="001E799F"/>
    <w:rsid w:val="001E7C00"/>
    <w:rsid w:val="001F03C3"/>
    <w:rsid w:val="001F0A67"/>
    <w:rsid w:val="001F0B4D"/>
    <w:rsid w:val="001F30E8"/>
    <w:rsid w:val="001F32C7"/>
    <w:rsid w:val="001F32F1"/>
    <w:rsid w:val="001F3410"/>
    <w:rsid w:val="001F3631"/>
    <w:rsid w:val="001F3644"/>
    <w:rsid w:val="001F3B13"/>
    <w:rsid w:val="001F3E5D"/>
    <w:rsid w:val="001F3FFF"/>
    <w:rsid w:val="001F523C"/>
    <w:rsid w:val="001F5275"/>
    <w:rsid w:val="001F6166"/>
    <w:rsid w:val="001F62A8"/>
    <w:rsid w:val="001F62CA"/>
    <w:rsid w:val="001F64E2"/>
    <w:rsid w:val="001F6524"/>
    <w:rsid w:val="001F6EC1"/>
    <w:rsid w:val="001F7511"/>
    <w:rsid w:val="001F7708"/>
    <w:rsid w:val="001F7D0B"/>
    <w:rsid w:val="00200648"/>
    <w:rsid w:val="00200B61"/>
    <w:rsid w:val="00200E8A"/>
    <w:rsid w:val="00201A02"/>
    <w:rsid w:val="00201B33"/>
    <w:rsid w:val="0020287E"/>
    <w:rsid w:val="00202D4B"/>
    <w:rsid w:val="002044D2"/>
    <w:rsid w:val="0020473A"/>
    <w:rsid w:val="00204CAF"/>
    <w:rsid w:val="002050EB"/>
    <w:rsid w:val="002053B8"/>
    <w:rsid w:val="00205462"/>
    <w:rsid w:val="002055FF"/>
    <w:rsid w:val="00206369"/>
    <w:rsid w:val="0020666D"/>
    <w:rsid w:val="002066A3"/>
    <w:rsid w:val="002067E3"/>
    <w:rsid w:val="00206DC4"/>
    <w:rsid w:val="00206F1A"/>
    <w:rsid w:val="0020704D"/>
    <w:rsid w:val="002072D0"/>
    <w:rsid w:val="0020730B"/>
    <w:rsid w:val="002103AE"/>
    <w:rsid w:val="00211772"/>
    <w:rsid w:val="002125E0"/>
    <w:rsid w:val="00212646"/>
    <w:rsid w:val="00212E5F"/>
    <w:rsid w:val="00212F45"/>
    <w:rsid w:val="002138B2"/>
    <w:rsid w:val="00214BBF"/>
    <w:rsid w:val="002154EA"/>
    <w:rsid w:val="00216D17"/>
    <w:rsid w:val="0022026A"/>
    <w:rsid w:val="00220454"/>
    <w:rsid w:val="00220BE9"/>
    <w:rsid w:val="00220CDE"/>
    <w:rsid w:val="002214B4"/>
    <w:rsid w:val="002215EF"/>
    <w:rsid w:val="00221620"/>
    <w:rsid w:val="00223B01"/>
    <w:rsid w:val="00223B63"/>
    <w:rsid w:val="00223EAA"/>
    <w:rsid w:val="00223FDA"/>
    <w:rsid w:val="002242BD"/>
    <w:rsid w:val="002243F2"/>
    <w:rsid w:val="00224A8B"/>
    <w:rsid w:val="00224FBB"/>
    <w:rsid w:val="0022596E"/>
    <w:rsid w:val="002261A1"/>
    <w:rsid w:val="002261FE"/>
    <w:rsid w:val="00226437"/>
    <w:rsid w:val="00226466"/>
    <w:rsid w:val="00230440"/>
    <w:rsid w:val="002307E7"/>
    <w:rsid w:val="002310C9"/>
    <w:rsid w:val="0023165A"/>
    <w:rsid w:val="00232811"/>
    <w:rsid w:val="00232885"/>
    <w:rsid w:val="00232A85"/>
    <w:rsid w:val="002335D3"/>
    <w:rsid w:val="00233DD7"/>
    <w:rsid w:val="002340B2"/>
    <w:rsid w:val="00234B54"/>
    <w:rsid w:val="00234FC9"/>
    <w:rsid w:val="00236280"/>
    <w:rsid w:val="00236975"/>
    <w:rsid w:val="00237602"/>
    <w:rsid w:val="00237932"/>
    <w:rsid w:val="00240B10"/>
    <w:rsid w:val="00240FA6"/>
    <w:rsid w:val="00241917"/>
    <w:rsid w:val="002419DC"/>
    <w:rsid w:val="00241A26"/>
    <w:rsid w:val="0024277E"/>
    <w:rsid w:val="00242DC8"/>
    <w:rsid w:val="0024314F"/>
    <w:rsid w:val="00243466"/>
    <w:rsid w:val="00243795"/>
    <w:rsid w:val="0024381B"/>
    <w:rsid w:val="0024418D"/>
    <w:rsid w:val="00244472"/>
    <w:rsid w:val="0024491A"/>
    <w:rsid w:val="00245116"/>
    <w:rsid w:val="002452F0"/>
    <w:rsid w:val="002453E6"/>
    <w:rsid w:val="00245DF2"/>
    <w:rsid w:val="00245E68"/>
    <w:rsid w:val="002464FD"/>
    <w:rsid w:val="00246EA8"/>
    <w:rsid w:val="00247009"/>
    <w:rsid w:val="00247135"/>
    <w:rsid w:val="00247201"/>
    <w:rsid w:val="002478C0"/>
    <w:rsid w:val="0024793E"/>
    <w:rsid w:val="00247FA8"/>
    <w:rsid w:val="00250BB1"/>
    <w:rsid w:val="0025158C"/>
    <w:rsid w:val="00252524"/>
    <w:rsid w:val="00252E2A"/>
    <w:rsid w:val="00253417"/>
    <w:rsid w:val="0025378D"/>
    <w:rsid w:val="00253FBB"/>
    <w:rsid w:val="00255AC8"/>
    <w:rsid w:val="00255DE9"/>
    <w:rsid w:val="00256C92"/>
    <w:rsid w:val="0025789F"/>
    <w:rsid w:val="00257CE6"/>
    <w:rsid w:val="00260094"/>
    <w:rsid w:val="00260411"/>
    <w:rsid w:val="0026058C"/>
    <w:rsid w:val="00260909"/>
    <w:rsid w:val="00261377"/>
    <w:rsid w:val="00262FEA"/>
    <w:rsid w:val="002636DE"/>
    <w:rsid w:val="00264022"/>
    <w:rsid w:val="0026434C"/>
    <w:rsid w:val="002654ED"/>
    <w:rsid w:val="002667F5"/>
    <w:rsid w:val="002671AD"/>
    <w:rsid w:val="00267888"/>
    <w:rsid w:val="00267E75"/>
    <w:rsid w:val="00270468"/>
    <w:rsid w:val="00270B08"/>
    <w:rsid w:val="00270D95"/>
    <w:rsid w:val="00270ECD"/>
    <w:rsid w:val="00270FBF"/>
    <w:rsid w:val="002710A4"/>
    <w:rsid w:val="00271160"/>
    <w:rsid w:val="002714E3"/>
    <w:rsid w:val="00271FAB"/>
    <w:rsid w:val="00272695"/>
    <w:rsid w:val="002728A7"/>
    <w:rsid w:val="0027394A"/>
    <w:rsid w:val="00273BF4"/>
    <w:rsid w:val="00273C75"/>
    <w:rsid w:val="00273D8E"/>
    <w:rsid w:val="00274443"/>
    <w:rsid w:val="00274982"/>
    <w:rsid w:val="00274A69"/>
    <w:rsid w:val="002750B3"/>
    <w:rsid w:val="00275109"/>
    <w:rsid w:val="00275484"/>
    <w:rsid w:val="00275E59"/>
    <w:rsid w:val="00276235"/>
    <w:rsid w:val="0027630C"/>
    <w:rsid w:val="00276B36"/>
    <w:rsid w:val="002777A9"/>
    <w:rsid w:val="00280082"/>
    <w:rsid w:val="002803E9"/>
    <w:rsid w:val="00280471"/>
    <w:rsid w:val="00280894"/>
    <w:rsid w:val="00280DFC"/>
    <w:rsid w:val="00281188"/>
    <w:rsid w:val="002811C5"/>
    <w:rsid w:val="00281338"/>
    <w:rsid w:val="00282005"/>
    <w:rsid w:val="002821AA"/>
    <w:rsid w:val="00282542"/>
    <w:rsid w:val="0028265E"/>
    <w:rsid w:val="00282960"/>
    <w:rsid w:val="00283183"/>
    <w:rsid w:val="002832B7"/>
    <w:rsid w:val="002836A4"/>
    <w:rsid w:val="002841D1"/>
    <w:rsid w:val="002843A4"/>
    <w:rsid w:val="00284B03"/>
    <w:rsid w:val="002858AF"/>
    <w:rsid w:val="00285AC7"/>
    <w:rsid w:val="002860DA"/>
    <w:rsid w:val="002867D1"/>
    <w:rsid w:val="00287352"/>
    <w:rsid w:val="0029012C"/>
    <w:rsid w:val="00290515"/>
    <w:rsid w:val="00290CE7"/>
    <w:rsid w:val="00291AE3"/>
    <w:rsid w:val="00291DB6"/>
    <w:rsid w:val="00292825"/>
    <w:rsid w:val="00292B72"/>
    <w:rsid w:val="00292CD0"/>
    <w:rsid w:val="0029306E"/>
    <w:rsid w:val="002931D4"/>
    <w:rsid w:val="00293310"/>
    <w:rsid w:val="00293CFA"/>
    <w:rsid w:val="002945E3"/>
    <w:rsid w:val="0029471E"/>
    <w:rsid w:val="002952B8"/>
    <w:rsid w:val="00295C84"/>
    <w:rsid w:val="00295CB7"/>
    <w:rsid w:val="00295DED"/>
    <w:rsid w:val="00296679"/>
    <w:rsid w:val="00296C8B"/>
    <w:rsid w:val="00297202"/>
    <w:rsid w:val="0029731C"/>
    <w:rsid w:val="0029764F"/>
    <w:rsid w:val="002A06F4"/>
    <w:rsid w:val="002A111A"/>
    <w:rsid w:val="002A187B"/>
    <w:rsid w:val="002A27FE"/>
    <w:rsid w:val="002A2B92"/>
    <w:rsid w:val="002A2EA2"/>
    <w:rsid w:val="002A2FFF"/>
    <w:rsid w:val="002A35A7"/>
    <w:rsid w:val="002A3621"/>
    <w:rsid w:val="002A5103"/>
    <w:rsid w:val="002A5410"/>
    <w:rsid w:val="002A613E"/>
    <w:rsid w:val="002A664C"/>
    <w:rsid w:val="002A6E70"/>
    <w:rsid w:val="002A71AA"/>
    <w:rsid w:val="002B0472"/>
    <w:rsid w:val="002B09B9"/>
    <w:rsid w:val="002B0CDD"/>
    <w:rsid w:val="002B31FB"/>
    <w:rsid w:val="002B3CBE"/>
    <w:rsid w:val="002B414D"/>
    <w:rsid w:val="002B45E4"/>
    <w:rsid w:val="002B4A8D"/>
    <w:rsid w:val="002B4EBA"/>
    <w:rsid w:val="002B54B3"/>
    <w:rsid w:val="002B5BFD"/>
    <w:rsid w:val="002B6530"/>
    <w:rsid w:val="002B6826"/>
    <w:rsid w:val="002B6EC8"/>
    <w:rsid w:val="002B7759"/>
    <w:rsid w:val="002B7A82"/>
    <w:rsid w:val="002C02DB"/>
    <w:rsid w:val="002C0733"/>
    <w:rsid w:val="002C0D35"/>
    <w:rsid w:val="002C0F62"/>
    <w:rsid w:val="002C100D"/>
    <w:rsid w:val="002C1144"/>
    <w:rsid w:val="002C138A"/>
    <w:rsid w:val="002C16AC"/>
    <w:rsid w:val="002C1F40"/>
    <w:rsid w:val="002C2227"/>
    <w:rsid w:val="002C24C5"/>
    <w:rsid w:val="002C29C5"/>
    <w:rsid w:val="002C2FB6"/>
    <w:rsid w:val="002C363D"/>
    <w:rsid w:val="002C394C"/>
    <w:rsid w:val="002C39AC"/>
    <w:rsid w:val="002C3BE2"/>
    <w:rsid w:val="002C3BEB"/>
    <w:rsid w:val="002C3C89"/>
    <w:rsid w:val="002C461A"/>
    <w:rsid w:val="002C4BC5"/>
    <w:rsid w:val="002C5FDD"/>
    <w:rsid w:val="002C5FF9"/>
    <w:rsid w:val="002C6557"/>
    <w:rsid w:val="002C7E94"/>
    <w:rsid w:val="002D067F"/>
    <w:rsid w:val="002D076B"/>
    <w:rsid w:val="002D1118"/>
    <w:rsid w:val="002D122A"/>
    <w:rsid w:val="002D1390"/>
    <w:rsid w:val="002D1A27"/>
    <w:rsid w:val="002D20DD"/>
    <w:rsid w:val="002D23AC"/>
    <w:rsid w:val="002D2669"/>
    <w:rsid w:val="002D269C"/>
    <w:rsid w:val="002D287C"/>
    <w:rsid w:val="002D2D53"/>
    <w:rsid w:val="002D2DB2"/>
    <w:rsid w:val="002D31C1"/>
    <w:rsid w:val="002D3E76"/>
    <w:rsid w:val="002D475B"/>
    <w:rsid w:val="002D5016"/>
    <w:rsid w:val="002D5479"/>
    <w:rsid w:val="002D6370"/>
    <w:rsid w:val="002D66F8"/>
    <w:rsid w:val="002D67CB"/>
    <w:rsid w:val="002D6942"/>
    <w:rsid w:val="002D70CA"/>
    <w:rsid w:val="002D7D10"/>
    <w:rsid w:val="002E0719"/>
    <w:rsid w:val="002E07DD"/>
    <w:rsid w:val="002E0AB9"/>
    <w:rsid w:val="002E0B3A"/>
    <w:rsid w:val="002E0DD2"/>
    <w:rsid w:val="002E1121"/>
    <w:rsid w:val="002E11BE"/>
    <w:rsid w:val="002E152E"/>
    <w:rsid w:val="002E2019"/>
    <w:rsid w:val="002E2560"/>
    <w:rsid w:val="002E28E0"/>
    <w:rsid w:val="002E3147"/>
    <w:rsid w:val="002E3BBE"/>
    <w:rsid w:val="002E42ED"/>
    <w:rsid w:val="002E4AE2"/>
    <w:rsid w:val="002E54D3"/>
    <w:rsid w:val="002E5538"/>
    <w:rsid w:val="002E6318"/>
    <w:rsid w:val="002E68B2"/>
    <w:rsid w:val="002E6F06"/>
    <w:rsid w:val="002E7310"/>
    <w:rsid w:val="002E79E1"/>
    <w:rsid w:val="002E7BC9"/>
    <w:rsid w:val="002F013B"/>
    <w:rsid w:val="002F0B3B"/>
    <w:rsid w:val="002F0E38"/>
    <w:rsid w:val="002F0F0F"/>
    <w:rsid w:val="002F1301"/>
    <w:rsid w:val="002F132F"/>
    <w:rsid w:val="002F18BD"/>
    <w:rsid w:val="002F1C40"/>
    <w:rsid w:val="002F2827"/>
    <w:rsid w:val="002F283E"/>
    <w:rsid w:val="002F3182"/>
    <w:rsid w:val="002F38A8"/>
    <w:rsid w:val="002F3CF9"/>
    <w:rsid w:val="002F3E24"/>
    <w:rsid w:val="002F41A2"/>
    <w:rsid w:val="002F4BDF"/>
    <w:rsid w:val="002F4E64"/>
    <w:rsid w:val="002F5D35"/>
    <w:rsid w:val="002F62BD"/>
    <w:rsid w:val="002F68A5"/>
    <w:rsid w:val="002F790F"/>
    <w:rsid w:val="002F7D3E"/>
    <w:rsid w:val="002F7E3B"/>
    <w:rsid w:val="002F7FB9"/>
    <w:rsid w:val="003005B0"/>
    <w:rsid w:val="00300981"/>
    <w:rsid w:val="00300BF2"/>
    <w:rsid w:val="00301546"/>
    <w:rsid w:val="003019CF"/>
    <w:rsid w:val="00301A1E"/>
    <w:rsid w:val="00301E05"/>
    <w:rsid w:val="00304073"/>
    <w:rsid w:val="003042C6"/>
    <w:rsid w:val="00304347"/>
    <w:rsid w:val="00304670"/>
    <w:rsid w:val="0030488B"/>
    <w:rsid w:val="003052D8"/>
    <w:rsid w:val="003053A6"/>
    <w:rsid w:val="00305435"/>
    <w:rsid w:val="00305587"/>
    <w:rsid w:val="00305947"/>
    <w:rsid w:val="003059CC"/>
    <w:rsid w:val="00305A87"/>
    <w:rsid w:val="0030624B"/>
    <w:rsid w:val="00307E16"/>
    <w:rsid w:val="003103B4"/>
    <w:rsid w:val="00311463"/>
    <w:rsid w:val="00311612"/>
    <w:rsid w:val="003118CC"/>
    <w:rsid w:val="00311CC5"/>
    <w:rsid w:val="0031280C"/>
    <w:rsid w:val="003139BF"/>
    <w:rsid w:val="00313C29"/>
    <w:rsid w:val="00313E49"/>
    <w:rsid w:val="00315C8D"/>
    <w:rsid w:val="00315D7F"/>
    <w:rsid w:val="00316782"/>
    <w:rsid w:val="00316CA3"/>
    <w:rsid w:val="00317974"/>
    <w:rsid w:val="00317E7A"/>
    <w:rsid w:val="0032000D"/>
    <w:rsid w:val="003211FE"/>
    <w:rsid w:val="00321CAB"/>
    <w:rsid w:val="00322246"/>
    <w:rsid w:val="003241C2"/>
    <w:rsid w:val="0032437F"/>
    <w:rsid w:val="00324A28"/>
    <w:rsid w:val="00324A71"/>
    <w:rsid w:val="00326050"/>
    <w:rsid w:val="0032638A"/>
    <w:rsid w:val="003271A5"/>
    <w:rsid w:val="00327241"/>
    <w:rsid w:val="00327996"/>
    <w:rsid w:val="00327BBB"/>
    <w:rsid w:val="0033000A"/>
    <w:rsid w:val="003306E7"/>
    <w:rsid w:val="00330830"/>
    <w:rsid w:val="0033083B"/>
    <w:rsid w:val="00330E47"/>
    <w:rsid w:val="00330F22"/>
    <w:rsid w:val="003311AD"/>
    <w:rsid w:val="00332036"/>
    <w:rsid w:val="003320EC"/>
    <w:rsid w:val="003323DF"/>
    <w:rsid w:val="003328FA"/>
    <w:rsid w:val="00332E2A"/>
    <w:rsid w:val="003330D0"/>
    <w:rsid w:val="0033325F"/>
    <w:rsid w:val="00333790"/>
    <w:rsid w:val="003338E3"/>
    <w:rsid w:val="0033432B"/>
    <w:rsid w:val="003343EE"/>
    <w:rsid w:val="00334B3E"/>
    <w:rsid w:val="00335029"/>
    <w:rsid w:val="003357F7"/>
    <w:rsid w:val="00335970"/>
    <w:rsid w:val="003359E0"/>
    <w:rsid w:val="003364C7"/>
    <w:rsid w:val="00336874"/>
    <w:rsid w:val="003369EF"/>
    <w:rsid w:val="00336AF1"/>
    <w:rsid w:val="00337FBA"/>
    <w:rsid w:val="0034017B"/>
    <w:rsid w:val="003408C8"/>
    <w:rsid w:val="00340D8E"/>
    <w:rsid w:val="0034112D"/>
    <w:rsid w:val="003412E0"/>
    <w:rsid w:val="003413CB"/>
    <w:rsid w:val="003418A8"/>
    <w:rsid w:val="003419F9"/>
    <w:rsid w:val="003422C2"/>
    <w:rsid w:val="00342DCC"/>
    <w:rsid w:val="00343271"/>
    <w:rsid w:val="00343DA4"/>
    <w:rsid w:val="00343FDC"/>
    <w:rsid w:val="003446E8"/>
    <w:rsid w:val="00344E62"/>
    <w:rsid w:val="00345BCE"/>
    <w:rsid w:val="003472B7"/>
    <w:rsid w:val="00350518"/>
    <w:rsid w:val="0035090C"/>
    <w:rsid w:val="00350B4D"/>
    <w:rsid w:val="00350D44"/>
    <w:rsid w:val="00350DB1"/>
    <w:rsid w:val="00350E7A"/>
    <w:rsid w:val="00351731"/>
    <w:rsid w:val="00351760"/>
    <w:rsid w:val="00351B38"/>
    <w:rsid w:val="00351D84"/>
    <w:rsid w:val="003528D6"/>
    <w:rsid w:val="00352E96"/>
    <w:rsid w:val="00353C4D"/>
    <w:rsid w:val="00354338"/>
    <w:rsid w:val="0035591A"/>
    <w:rsid w:val="003560EE"/>
    <w:rsid w:val="0035656E"/>
    <w:rsid w:val="00356E1C"/>
    <w:rsid w:val="00357F80"/>
    <w:rsid w:val="00361208"/>
    <w:rsid w:val="00361437"/>
    <w:rsid w:val="00361594"/>
    <w:rsid w:val="003616A6"/>
    <w:rsid w:val="00361975"/>
    <w:rsid w:val="00361EC2"/>
    <w:rsid w:val="00362027"/>
    <w:rsid w:val="00362553"/>
    <w:rsid w:val="00362603"/>
    <w:rsid w:val="00362DF2"/>
    <w:rsid w:val="003649AF"/>
    <w:rsid w:val="00365479"/>
    <w:rsid w:val="003656E3"/>
    <w:rsid w:val="0036589C"/>
    <w:rsid w:val="00366062"/>
    <w:rsid w:val="00366258"/>
    <w:rsid w:val="00366571"/>
    <w:rsid w:val="0036665C"/>
    <w:rsid w:val="003673AB"/>
    <w:rsid w:val="003678F4"/>
    <w:rsid w:val="00367C9D"/>
    <w:rsid w:val="0037019D"/>
    <w:rsid w:val="00370857"/>
    <w:rsid w:val="00370C64"/>
    <w:rsid w:val="00370C7B"/>
    <w:rsid w:val="00371E18"/>
    <w:rsid w:val="003723F3"/>
    <w:rsid w:val="00372B6B"/>
    <w:rsid w:val="003731AD"/>
    <w:rsid w:val="00373A5E"/>
    <w:rsid w:val="00373A91"/>
    <w:rsid w:val="00373CD8"/>
    <w:rsid w:val="00373F2A"/>
    <w:rsid w:val="00374432"/>
    <w:rsid w:val="003745F9"/>
    <w:rsid w:val="0037479A"/>
    <w:rsid w:val="00374ABB"/>
    <w:rsid w:val="00374AFB"/>
    <w:rsid w:val="00374FBF"/>
    <w:rsid w:val="003753B5"/>
    <w:rsid w:val="0037548F"/>
    <w:rsid w:val="003754C8"/>
    <w:rsid w:val="0037571B"/>
    <w:rsid w:val="00375A8E"/>
    <w:rsid w:val="00375C1E"/>
    <w:rsid w:val="00376054"/>
    <w:rsid w:val="00376613"/>
    <w:rsid w:val="00376AD3"/>
    <w:rsid w:val="003771FA"/>
    <w:rsid w:val="00377723"/>
    <w:rsid w:val="00377D53"/>
    <w:rsid w:val="0038075A"/>
    <w:rsid w:val="003807E6"/>
    <w:rsid w:val="00380D6F"/>
    <w:rsid w:val="00381CFE"/>
    <w:rsid w:val="003823ED"/>
    <w:rsid w:val="00382B73"/>
    <w:rsid w:val="00382D66"/>
    <w:rsid w:val="003833BD"/>
    <w:rsid w:val="003845CE"/>
    <w:rsid w:val="003856CE"/>
    <w:rsid w:val="00385AD2"/>
    <w:rsid w:val="00385D9F"/>
    <w:rsid w:val="00386233"/>
    <w:rsid w:val="003862AC"/>
    <w:rsid w:val="00386553"/>
    <w:rsid w:val="0038705F"/>
    <w:rsid w:val="00387119"/>
    <w:rsid w:val="003872A8"/>
    <w:rsid w:val="003906BD"/>
    <w:rsid w:val="00390DB5"/>
    <w:rsid w:val="00391BEE"/>
    <w:rsid w:val="00391EB1"/>
    <w:rsid w:val="00391F7F"/>
    <w:rsid w:val="0039244E"/>
    <w:rsid w:val="003926C9"/>
    <w:rsid w:val="0039304B"/>
    <w:rsid w:val="003938E4"/>
    <w:rsid w:val="0039413E"/>
    <w:rsid w:val="00394974"/>
    <w:rsid w:val="00394DD1"/>
    <w:rsid w:val="00395A5F"/>
    <w:rsid w:val="00395A94"/>
    <w:rsid w:val="00395BBA"/>
    <w:rsid w:val="00395EEA"/>
    <w:rsid w:val="0039697A"/>
    <w:rsid w:val="003974B0"/>
    <w:rsid w:val="0039795B"/>
    <w:rsid w:val="003A025F"/>
    <w:rsid w:val="003A0880"/>
    <w:rsid w:val="003A0E78"/>
    <w:rsid w:val="003A12C5"/>
    <w:rsid w:val="003A14A6"/>
    <w:rsid w:val="003A1A89"/>
    <w:rsid w:val="003A2478"/>
    <w:rsid w:val="003A2A3C"/>
    <w:rsid w:val="003A2F98"/>
    <w:rsid w:val="003A3301"/>
    <w:rsid w:val="003A36E3"/>
    <w:rsid w:val="003A3EB3"/>
    <w:rsid w:val="003A402C"/>
    <w:rsid w:val="003A406A"/>
    <w:rsid w:val="003A406E"/>
    <w:rsid w:val="003A46BA"/>
    <w:rsid w:val="003A4706"/>
    <w:rsid w:val="003A57E0"/>
    <w:rsid w:val="003A57EA"/>
    <w:rsid w:val="003A599C"/>
    <w:rsid w:val="003A5D39"/>
    <w:rsid w:val="003A606E"/>
    <w:rsid w:val="003A6329"/>
    <w:rsid w:val="003A7300"/>
    <w:rsid w:val="003A7323"/>
    <w:rsid w:val="003B0758"/>
    <w:rsid w:val="003B0B20"/>
    <w:rsid w:val="003B11D5"/>
    <w:rsid w:val="003B230A"/>
    <w:rsid w:val="003B272A"/>
    <w:rsid w:val="003B3240"/>
    <w:rsid w:val="003B3839"/>
    <w:rsid w:val="003B4266"/>
    <w:rsid w:val="003B4726"/>
    <w:rsid w:val="003B4769"/>
    <w:rsid w:val="003B4CBC"/>
    <w:rsid w:val="003B562C"/>
    <w:rsid w:val="003B57FF"/>
    <w:rsid w:val="003B6767"/>
    <w:rsid w:val="003B6864"/>
    <w:rsid w:val="003B6FCA"/>
    <w:rsid w:val="003B733E"/>
    <w:rsid w:val="003B7507"/>
    <w:rsid w:val="003B76A6"/>
    <w:rsid w:val="003B77EC"/>
    <w:rsid w:val="003B7955"/>
    <w:rsid w:val="003B7BD4"/>
    <w:rsid w:val="003C09D5"/>
    <w:rsid w:val="003C0ACA"/>
    <w:rsid w:val="003C1746"/>
    <w:rsid w:val="003C22D0"/>
    <w:rsid w:val="003C253B"/>
    <w:rsid w:val="003C40B5"/>
    <w:rsid w:val="003C465C"/>
    <w:rsid w:val="003C506C"/>
    <w:rsid w:val="003C5204"/>
    <w:rsid w:val="003C53B1"/>
    <w:rsid w:val="003C5694"/>
    <w:rsid w:val="003C5A80"/>
    <w:rsid w:val="003C6456"/>
    <w:rsid w:val="003C6711"/>
    <w:rsid w:val="003C6979"/>
    <w:rsid w:val="003C6BD4"/>
    <w:rsid w:val="003C7E3D"/>
    <w:rsid w:val="003C7FD6"/>
    <w:rsid w:val="003D02AE"/>
    <w:rsid w:val="003D0BEC"/>
    <w:rsid w:val="003D10FF"/>
    <w:rsid w:val="003D13DC"/>
    <w:rsid w:val="003D39AE"/>
    <w:rsid w:val="003D4282"/>
    <w:rsid w:val="003D4CDB"/>
    <w:rsid w:val="003D5D62"/>
    <w:rsid w:val="003D6847"/>
    <w:rsid w:val="003D6FFA"/>
    <w:rsid w:val="003D7403"/>
    <w:rsid w:val="003D78C6"/>
    <w:rsid w:val="003D7F71"/>
    <w:rsid w:val="003E0132"/>
    <w:rsid w:val="003E015A"/>
    <w:rsid w:val="003E0501"/>
    <w:rsid w:val="003E082A"/>
    <w:rsid w:val="003E08A2"/>
    <w:rsid w:val="003E134D"/>
    <w:rsid w:val="003E1778"/>
    <w:rsid w:val="003E1991"/>
    <w:rsid w:val="003E29F7"/>
    <w:rsid w:val="003E31D4"/>
    <w:rsid w:val="003E3AEA"/>
    <w:rsid w:val="003E429E"/>
    <w:rsid w:val="003E43C5"/>
    <w:rsid w:val="003E43CC"/>
    <w:rsid w:val="003E4501"/>
    <w:rsid w:val="003E455F"/>
    <w:rsid w:val="003E50F0"/>
    <w:rsid w:val="003E5669"/>
    <w:rsid w:val="003E6DD5"/>
    <w:rsid w:val="003E6F20"/>
    <w:rsid w:val="003E77D3"/>
    <w:rsid w:val="003E798A"/>
    <w:rsid w:val="003E7EEC"/>
    <w:rsid w:val="003F0274"/>
    <w:rsid w:val="003F03CF"/>
    <w:rsid w:val="003F0557"/>
    <w:rsid w:val="003F1035"/>
    <w:rsid w:val="003F17A6"/>
    <w:rsid w:val="003F2C97"/>
    <w:rsid w:val="003F3A1C"/>
    <w:rsid w:val="003F3E7C"/>
    <w:rsid w:val="003F3EE1"/>
    <w:rsid w:val="003F4230"/>
    <w:rsid w:val="003F4774"/>
    <w:rsid w:val="003F4AAF"/>
    <w:rsid w:val="003F4AC9"/>
    <w:rsid w:val="003F50A3"/>
    <w:rsid w:val="003F55B6"/>
    <w:rsid w:val="003F562E"/>
    <w:rsid w:val="003F5BAF"/>
    <w:rsid w:val="003F5C07"/>
    <w:rsid w:val="003F5CC7"/>
    <w:rsid w:val="003F5E1A"/>
    <w:rsid w:val="003F6838"/>
    <w:rsid w:val="003F6B9D"/>
    <w:rsid w:val="003F7642"/>
    <w:rsid w:val="003F76B0"/>
    <w:rsid w:val="003F77DD"/>
    <w:rsid w:val="004001D2"/>
    <w:rsid w:val="0040060B"/>
    <w:rsid w:val="00400B1A"/>
    <w:rsid w:val="0040245B"/>
    <w:rsid w:val="00402CED"/>
    <w:rsid w:val="00402D7F"/>
    <w:rsid w:val="00402E9C"/>
    <w:rsid w:val="00402EF5"/>
    <w:rsid w:val="0040312A"/>
    <w:rsid w:val="00403450"/>
    <w:rsid w:val="0040397D"/>
    <w:rsid w:val="00403FD7"/>
    <w:rsid w:val="004041CD"/>
    <w:rsid w:val="00404D23"/>
    <w:rsid w:val="00404F1C"/>
    <w:rsid w:val="004053ED"/>
    <w:rsid w:val="00405837"/>
    <w:rsid w:val="00406BB6"/>
    <w:rsid w:val="00406CF4"/>
    <w:rsid w:val="0040792F"/>
    <w:rsid w:val="00407BBC"/>
    <w:rsid w:val="00410275"/>
    <w:rsid w:val="0041041C"/>
    <w:rsid w:val="004106B8"/>
    <w:rsid w:val="00410BF6"/>
    <w:rsid w:val="004113AD"/>
    <w:rsid w:val="00411A4D"/>
    <w:rsid w:val="004125FB"/>
    <w:rsid w:val="00413498"/>
    <w:rsid w:val="00413636"/>
    <w:rsid w:val="00413D65"/>
    <w:rsid w:val="004150DF"/>
    <w:rsid w:val="00415461"/>
    <w:rsid w:val="004154DD"/>
    <w:rsid w:val="0041576F"/>
    <w:rsid w:val="00415EFA"/>
    <w:rsid w:val="004169C9"/>
    <w:rsid w:val="00416CB1"/>
    <w:rsid w:val="00416CCF"/>
    <w:rsid w:val="00420288"/>
    <w:rsid w:val="004202DB"/>
    <w:rsid w:val="0042057B"/>
    <w:rsid w:val="004210D1"/>
    <w:rsid w:val="0042149D"/>
    <w:rsid w:val="00421DD0"/>
    <w:rsid w:val="00421E52"/>
    <w:rsid w:val="0042217E"/>
    <w:rsid w:val="00422C18"/>
    <w:rsid w:val="0042353A"/>
    <w:rsid w:val="00423DFC"/>
    <w:rsid w:val="00424B1F"/>
    <w:rsid w:val="00424CF3"/>
    <w:rsid w:val="00424DF2"/>
    <w:rsid w:val="00424F95"/>
    <w:rsid w:val="00425866"/>
    <w:rsid w:val="00425EC1"/>
    <w:rsid w:val="0042620E"/>
    <w:rsid w:val="004277CE"/>
    <w:rsid w:val="00431093"/>
    <w:rsid w:val="004311FD"/>
    <w:rsid w:val="0043148B"/>
    <w:rsid w:val="00431701"/>
    <w:rsid w:val="00431A10"/>
    <w:rsid w:val="00431A73"/>
    <w:rsid w:val="00431C70"/>
    <w:rsid w:val="0043268D"/>
    <w:rsid w:val="0043316E"/>
    <w:rsid w:val="004332D2"/>
    <w:rsid w:val="0043395C"/>
    <w:rsid w:val="00433EE0"/>
    <w:rsid w:val="00435280"/>
    <w:rsid w:val="004358D3"/>
    <w:rsid w:val="00435F40"/>
    <w:rsid w:val="00435FEC"/>
    <w:rsid w:val="004362B1"/>
    <w:rsid w:val="00436739"/>
    <w:rsid w:val="004371FC"/>
    <w:rsid w:val="0044012D"/>
    <w:rsid w:val="00440256"/>
    <w:rsid w:val="00440BAE"/>
    <w:rsid w:val="0044108F"/>
    <w:rsid w:val="00441115"/>
    <w:rsid w:val="00441889"/>
    <w:rsid w:val="00441A22"/>
    <w:rsid w:val="00442030"/>
    <w:rsid w:val="00442C83"/>
    <w:rsid w:val="00442E6E"/>
    <w:rsid w:val="00442EE2"/>
    <w:rsid w:val="0044337C"/>
    <w:rsid w:val="0044349D"/>
    <w:rsid w:val="0044362C"/>
    <w:rsid w:val="00444C0C"/>
    <w:rsid w:val="0044566F"/>
    <w:rsid w:val="00445DAB"/>
    <w:rsid w:val="00446239"/>
    <w:rsid w:val="00446B55"/>
    <w:rsid w:val="00446B75"/>
    <w:rsid w:val="004472FF"/>
    <w:rsid w:val="0044754F"/>
    <w:rsid w:val="00447855"/>
    <w:rsid w:val="00447BAD"/>
    <w:rsid w:val="00450C64"/>
    <w:rsid w:val="0045159D"/>
    <w:rsid w:val="00451764"/>
    <w:rsid w:val="00452765"/>
    <w:rsid w:val="00452EE9"/>
    <w:rsid w:val="0045445D"/>
    <w:rsid w:val="004549C0"/>
    <w:rsid w:val="00456520"/>
    <w:rsid w:val="00456598"/>
    <w:rsid w:val="004566D6"/>
    <w:rsid w:val="00456B95"/>
    <w:rsid w:val="004571FF"/>
    <w:rsid w:val="00457590"/>
    <w:rsid w:val="00457E43"/>
    <w:rsid w:val="004602A8"/>
    <w:rsid w:val="00460C0B"/>
    <w:rsid w:val="00460C1A"/>
    <w:rsid w:val="004624CC"/>
    <w:rsid w:val="004639EC"/>
    <w:rsid w:val="00464097"/>
    <w:rsid w:val="00464128"/>
    <w:rsid w:val="004645FD"/>
    <w:rsid w:val="00464F57"/>
    <w:rsid w:val="0046548A"/>
    <w:rsid w:val="00465636"/>
    <w:rsid w:val="0046567C"/>
    <w:rsid w:val="00465F18"/>
    <w:rsid w:val="00466368"/>
    <w:rsid w:val="00466BDE"/>
    <w:rsid w:val="00466D81"/>
    <w:rsid w:val="004670F6"/>
    <w:rsid w:val="0046723C"/>
    <w:rsid w:val="00470028"/>
    <w:rsid w:val="00470213"/>
    <w:rsid w:val="00470689"/>
    <w:rsid w:val="004713F4"/>
    <w:rsid w:val="004714D3"/>
    <w:rsid w:val="00471A3F"/>
    <w:rsid w:val="00472DB9"/>
    <w:rsid w:val="004743E3"/>
    <w:rsid w:val="00475358"/>
    <w:rsid w:val="00476309"/>
    <w:rsid w:val="004769AA"/>
    <w:rsid w:val="00476F27"/>
    <w:rsid w:val="00477AAE"/>
    <w:rsid w:val="004800D8"/>
    <w:rsid w:val="004801B7"/>
    <w:rsid w:val="004808FF"/>
    <w:rsid w:val="00480A10"/>
    <w:rsid w:val="00480C15"/>
    <w:rsid w:val="00480F3D"/>
    <w:rsid w:val="0048101C"/>
    <w:rsid w:val="00481936"/>
    <w:rsid w:val="00482C2C"/>
    <w:rsid w:val="00482C2E"/>
    <w:rsid w:val="00482C7D"/>
    <w:rsid w:val="00482E41"/>
    <w:rsid w:val="00483A74"/>
    <w:rsid w:val="00483FC0"/>
    <w:rsid w:val="00484903"/>
    <w:rsid w:val="004861AD"/>
    <w:rsid w:val="0048687F"/>
    <w:rsid w:val="004878F2"/>
    <w:rsid w:val="00487D14"/>
    <w:rsid w:val="00487DFE"/>
    <w:rsid w:val="00490AD3"/>
    <w:rsid w:val="00491103"/>
    <w:rsid w:val="00491477"/>
    <w:rsid w:val="00491563"/>
    <w:rsid w:val="00491A78"/>
    <w:rsid w:val="00491F8C"/>
    <w:rsid w:val="004920D5"/>
    <w:rsid w:val="004921D2"/>
    <w:rsid w:val="00492569"/>
    <w:rsid w:val="00492963"/>
    <w:rsid w:val="00492F6E"/>
    <w:rsid w:val="00492FE1"/>
    <w:rsid w:val="00493141"/>
    <w:rsid w:val="0049348E"/>
    <w:rsid w:val="004934FE"/>
    <w:rsid w:val="00493E33"/>
    <w:rsid w:val="00493F52"/>
    <w:rsid w:val="0049420D"/>
    <w:rsid w:val="004944DB"/>
    <w:rsid w:val="00494743"/>
    <w:rsid w:val="00494D7A"/>
    <w:rsid w:val="004950B6"/>
    <w:rsid w:val="004953A8"/>
    <w:rsid w:val="00495626"/>
    <w:rsid w:val="00495D22"/>
    <w:rsid w:val="00495F0C"/>
    <w:rsid w:val="00496847"/>
    <w:rsid w:val="00496A93"/>
    <w:rsid w:val="0049733A"/>
    <w:rsid w:val="004977FA"/>
    <w:rsid w:val="004A029F"/>
    <w:rsid w:val="004A09E7"/>
    <w:rsid w:val="004A1EBA"/>
    <w:rsid w:val="004A24FE"/>
    <w:rsid w:val="004A2A20"/>
    <w:rsid w:val="004A2BA1"/>
    <w:rsid w:val="004A33E6"/>
    <w:rsid w:val="004A340D"/>
    <w:rsid w:val="004A3D19"/>
    <w:rsid w:val="004A3F02"/>
    <w:rsid w:val="004A411A"/>
    <w:rsid w:val="004A4853"/>
    <w:rsid w:val="004A5DD6"/>
    <w:rsid w:val="004A6D3F"/>
    <w:rsid w:val="004A7289"/>
    <w:rsid w:val="004A77D5"/>
    <w:rsid w:val="004A79C9"/>
    <w:rsid w:val="004B004C"/>
    <w:rsid w:val="004B09F4"/>
    <w:rsid w:val="004B2353"/>
    <w:rsid w:val="004B264B"/>
    <w:rsid w:val="004B2E29"/>
    <w:rsid w:val="004B321E"/>
    <w:rsid w:val="004B40F4"/>
    <w:rsid w:val="004B4BCB"/>
    <w:rsid w:val="004B4C99"/>
    <w:rsid w:val="004B71FB"/>
    <w:rsid w:val="004B7927"/>
    <w:rsid w:val="004C02E0"/>
    <w:rsid w:val="004C046E"/>
    <w:rsid w:val="004C1078"/>
    <w:rsid w:val="004C13C7"/>
    <w:rsid w:val="004C1B8A"/>
    <w:rsid w:val="004C2F17"/>
    <w:rsid w:val="004C2FD7"/>
    <w:rsid w:val="004C3370"/>
    <w:rsid w:val="004C3390"/>
    <w:rsid w:val="004C33D1"/>
    <w:rsid w:val="004C40BE"/>
    <w:rsid w:val="004C4260"/>
    <w:rsid w:val="004C42A7"/>
    <w:rsid w:val="004C43F2"/>
    <w:rsid w:val="004C4973"/>
    <w:rsid w:val="004C4BA7"/>
    <w:rsid w:val="004C4D47"/>
    <w:rsid w:val="004C582F"/>
    <w:rsid w:val="004C60CA"/>
    <w:rsid w:val="004C6EA6"/>
    <w:rsid w:val="004C7773"/>
    <w:rsid w:val="004C7B89"/>
    <w:rsid w:val="004C7CD3"/>
    <w:rsid w:val="004D023E"/>
    <w:rsid w:val="004D051B"/>
    <w:rsid w:val="004D084F"/>
    <w:rsid w:val="004D08D4"/>
    <w:rsid w:val="004D1277"/>
    <w:rsid w:val="004D1C87"/>
    <w:rsid w:val="004D33F5"/>
    <w:rsid w:val="004D4701"/>
    <w:rsid w:val="004D4751"/>
    <w:rsid w:val="004D4CAE"/>
    <w:rsid w:val="004D5DE0"/>
    <w:rsid w:val="004D62A7"/>
    <w:rsid w:val="004D70EE"/>
    <w:rsid w:val="004D742D"/>
    <w:rsid w:val="004D78AE"/>
    <w:rsid w:val="004E00D5"/>
    <w:rsid w:val="004E020B"/>
    <w:rsid w:val="004E043E"/>
    <w:rsid w:val="004E07A9"/>
    <w:rsid w:val="004E0D44"/>
    <w:rsid w:val="004E0F19"/>
    <w:rsid w:val="004E1633"/>
    <w:rsid w:val="004E1743"/>
    <w:rsid w:val="004E17F7"/>
    <w:rsid w:val="004E1CFD"/>
    <w:rsid w:val="004E20E1"/>
    <w:rsid w:val="004E2C1D"/>
    <w:rsid w:val="004E3D29"/>
    <w:rsid w:val="004E4781"/>
    <w:rsid w:val="004E4920"/>
    <w:rsid w:val="004E4AD1"/>
    <w:rsid w:val="004E519E"/>
    <w:rsid w:val="004E5B9A"/>
    <w:rsid w:val="004E676B"/>
    <w:rsid w:val="004E6C95"/>
    <w:rsid w:val="004E6CA1"/>
    <w:rsid w:val="004E7681"/>
    <w:rsid w:val="004E7F8B"/>
    <w:rsid w:val="004F10B0"/>
    <w:rsid w:val="004F13B5"/>
    <w:rsid w:val="004F1402"/>
    <w:rsid w:val="004F142A"/>
    <w:rsid w:val="004F1527"/>
    <w:rsid w:val="004F1C54"/>
    <w:rsid w:val="004F2B6E"/>
    <w:rsid w:val="004F2C64"/>
    <w:rsid w:val="004F3710"/>
    <w:rsid w:val="004F3CE2"/>
    <w:rsid w:val="004F4180"/>
    <w:rsid w:val="004F4938"/>
    <w:rsid w:val="004F566F"/>
    <w:rsid w:val="004F5710"/>
    <w:rsid w:val="004F5EF4"/>
    <w:rsid w:val="004F64B7"/>
    <w:rsid w:val="004F687B"/>
    <w:rsid w:val="004F6B05"/>
    <w:rsid w:val="004F7137"/>
    <w:rsid w:val="004F7F46"/>
    <w:rsid w:val="00500136"/>
    <w:rsid w:val="00500282"/>
    <w:rsid w:val="0050079B"/>
    <w:rsid w:val="00500C4E"/>
    <w:rsid w:val="00500E76"/>
    <w:rsid w:val="00501737"/>
    <w:rsid w:val="00501A50"/>
    <w:rsid w:val="00502B73"/>
    <w:rsid w:val="00502F60"/>
    <w:rsid w:val="005033B5"/>
    <w:rsid w:val="00503A7C"/>
    <w:rsid w:val="00503BF6"/>
    <w:rsid w:val="00504C25"/>
    <w:rsid w:val="005056E4"/>
    <w:rsid w:val="00505781"/>
    <w:rsid w:val="00505B00"/>
    <w:rsid w:val="00506A84"/>
    <w:rsid w:val="00506B1A"/>
    <w:rsid w:val="005072B4"/>
    <w:rsid w:val="00507438"/>
    <w:rsid w:val="00507A5F"/>
    <w:rsid w:val="005110DB"/>
    <w:rsid w:val="00512180"/>
    <w:rsid w:val="005126CF"/>
    <w:rsid w:val="00512F83"/>
    <w:rsid w:val="005133B6"/>
    <w:rsid w:val="00513573"/>
    <w:rsid w:val="005137CF"/>
    <w:rsid w:val="00513958"/>
    <w:rsid w:val="005140E5"/>
    <w:rsid w:val="005148C2"/>
    <w:rsid w:val="00515CEB"/>
    <w:rsid w:val="0051665D"/>
    <w:rsid w:val="0051741A"/>
    <w:rsid w:val="00517641"/>
    <w:rsid w:val="00522184"/>
    <w:rsid w:val="005223C4"/>
    <w:rsid w:val="00522A78"/>
    <w:rsid w:val="00522F2E"/>
    <w:rsid w:val="005234E9"/>
    <w:rsid w:val="00523A7C"/>
    <w:rsid w:val="00523B2A"/>
    <w:rsid w:val="005246CC"/>
    <w:rsid w:val="0052560B"/>
    <w:rsid w:val="005263D8"/>
    <w:rsid w:val="00526766"/>
    <w:rsid w:val="00526A0D"/>
    <w:rsid w:val="00526B35"/>
    <w:rsid w:val="00526F80"/>
    <w:rsid w:val="0053081D"/>
    <w:rsid w:val="005309A2"/>
    <w:rsid w:val="00530F00"/>
    <w:rsid w:val="005313DD"/>
    <w:rsid w:val="005315A9"/>
    <w:rsid w:val="005326D9"/>
    <w:rsid w:val="005327A4"/>
    <w:rsid w:val="00532F94"/>
    <w:rsid w:val="005336E5"/>
    <w:rsid w:val="0053456D"/>
    <w:rsid w:val="00534A35"/>
    <w:rsid w:val="005361C8"/>
    <w:rsid w:val="00536212"/>
    <w:rsid w:val="0053676E"/>
    <w:rsid w:val="00536B37"/>
    <w:rsid w:val="005372C3"/>
    <w:rsid w:val="00537691"/>
    <w:rsid w:val="00537745"/>
    <w:rsid w:val="00537801"/>
    <w:rsid w:val="0053798E"/>
    <w:rsid w:val="00537BF7"/>
    <w:rsid w:val="00537D8D"/>
    <w:rsid w:val="0054008C"/>
    <w:rsid w:val="0054022D"/>
    <w:rsid w:val="005402AB"/>
    <w:rsid w:val="005407A7"/>
    <w:rsid w:val="005409CA"/>
    <w:rsid w:val="00541B42"/>
    <w:rsid w:val="00541DAB"/>
    <w:rsid w:val="0054226A"/>
    <w:rsid w:val="0054267A"/>
    <w:rsid w:val="00542841"/>
    <w:rsid w:val="00542931"/>
    <w:rsid w:val="00543BAD"/>
    <w:rsid w:val="00544087"/>
    <w:rsid w:val="005440B7"/>
    <w:rsid w:val="005443D3"/>
    <w:rsid w:val="00544883"/>
    <w:rsid w:val="00544AAB"/>
    <w:rsid w:val="00544AD0"/>
    <w:rsid w:val="00544B8E"/>
    <w:rsid w:val="00545452"/>
    <w:rsid w:val="005454F9"/>
    <w:rsid w:val="00545C6F"/>
    <w:rsid w:val="00545D55"/>
    <w:rsid w:val="00546688"/>
    <w:rsid w:val="00546DB6"/>
    <w:rsid w:val="00546FBF"/>
    <w:rsid w:val="005472A7"/>
    <w:rsid w:val="0054768C"/>
    <w:rsid w:val="00547929"/>
    <w:rsid w:val="00550229"/>
    <w:rsid w:val="00550629"/>
    <w:rsid w:val="00550E6A"/>
    <w:rsid w:val="00552426"/>
    <w:rsid w:val="00553249"/>
    <w:rsid w:val="005532BF"/>
    <w:rsid w:val="0055446E"/>
    <w:rsid w:val="005546E2"/>
    <w:rsid w:val="005553C1"/>
    <w:rsid w:val="00556176"/>
    <w:rsid w:val="00556480"/>
    <w:rsid w:val="00557018"/>
    <w:rsid w:val="0055710B"/>
    <w:rsid w:val="00557384"/>
    <w:rsid w:val="00557711"/>
    <w:rsid w:val="00557C0A"/>
    <w:rsid w:val="0056000B"/>
    <w:rsid w:val="005608A0"/>
    <w:rsid w:val="00560EFA"/>
    <w:rsid w:val="00561766"/>
    <w:rsid w:val="00561C82"/>
    <w:rsid w:val="00563701"/>
    <w:rsid w:val="00563B22"/>
    <w:rsid w:val="00563BB6"/>
    <w:rsid w:val="0056442D"/>
    <w:rsid w:val="00564673"/>
    <w:rsid w:val="005659F7"/>
    <w:rsid w:val="00565B32"/>
    <w:rsid w:val="00566D9B"/>
    <w:rsid w:val="00566DD0"/>
    <w:rsid w:val="00567537"/>
    <w:rsid w:val="005676FF"/>
    <w:rsid w:val="00567BF5"/>
    <w:rsid w:val="0057020D"/>
    <w:rsid w:val="00570281"/>
    <w:rsid w:val="005706C6"/>
    <w:rsid w:val="00570A88"/>
    <w:rsid w:val="0057299B"/>
    <w:rsid w:val="00572A1D"/>
    <w:rsid w:val="00572B48"/>
    <w:rsid w:val="005730AC"/>
    <w:rsid w:val="005740EB"/>
    <w:rsid w:val="00574192"/>
    <w:rsid w:val="00575212"/>
    <w:rsid w:val="00575294"/>
    <w:rsid w:val="00575791"/>
    <w:rsid w:val="00575A27"/>
    <w:rsid w:val="00575EB2"/>
    <w:rsid w:val="0057643B"/>
    <w:rsid w:val="005765BA"/>
    <w:rsid w:val="00576F26"/>
    <w:rsid w:val="00576F3D"/>
    <w:rsid w:val="005771D4"/>
    <w:rsid w:val="00577C77"/>
    <w:rsid w:val="00577FAD"/>
    <w:rsid w:val="0058097B"/>
    <w:rsid w:val="00580B9F"/>
    <w:rsid w:val="00580CE7"/>
    <w:rsid w:val="00580ED2"/>
    <w:rsid w:val="00580FFD"/>
    <w:rsid w:val="00582883"/>
    <w:rsid w:val="005828FD"/>
    <w:rsid w:val="00582D6C"/>
    <w:rsid w:val="005830CA"/>
    <w:rsid w:val="005834B9"/>
    <w:rsid w:val="005834C4"/>
    <w:rsid w:val="005834D4"/>
    <w:rsid w:val="0058376B"/>
    <w:rsid w:val="00583BD1"/>
    <w:rsid w:val="0058463E"/>
    <w:rsid w:val="00584ADA"/>
    <w:rsid w:val="00584BFC"/>
    <w:rsid w:val="005854C5"/>
    <w:rsid w:val="00585613"/>
    <w:rsid w:val="005859C1"/>
    <w:rsid w:val="00586086"/>
    <w:rsid w:val="005862D6"/>
    <w:rsid w:val="00586BE2"/>
    <w:rsid w:val="00587343"/>
    <w:rsid w:val="005904E6"/>
    <w:rsid w:val="00590F09"/>
    <w:rsid w:val="00591C7D"/>
    <w:rsid w:val="00591EBE"/>
    <w:rsid w:val="00592333"/>
    <w:rsid w:val="00592955"/>
    <w:rsid w:val="00592F1E"/>
    <w:rsid w:val="00592F96"/>
    <w:rsid w:val="0059427F"/>
    <w:rsid w:val="00595177"/>
    <w:rsid w:val="005961F1"/>
    <w:rsid w:val="005963D9"/>
    <w:rsid w:val="00596661"/>
    <w:rsid w:val="00596B25"/>
    <w:rsid w:val="00596D64"/>
    <w:rsid w:val="0059702D"/>
    <w:rsid w:val="005977B3"/>
    <w:rsid w:val="00597B02"/>
    <w:rsid w:val="00597FD7"/>
    <w:rsid w:val="005A02B5"/>
    <w:rsid w:val="005A0968"/>
    <w:rsid w:val="005A0D84"/>
    <w:rsid w:val="005A0FC3"/>
    <w:rsid w:val="005A151E"/>
    <w:rsid w:val="005A1C6B"/>
    <w:rsid w:val="005A259A"/>
    <w:rsid w:val="005A27D1"/>
    <w:rsid w:val="005A4115"/>
    <w:rsid w:val="005A4AC7"/>
    <w:rsid w:val="005A4FE9"/>
    <w:rsid w:val="005A52D0"/>
    <w:rsid w:val="005A5EAD"/>
    <w:rsid w:val="005A628A"/>
    <w:rsid w:val="005A6307"/>
    <w:rsid w:val="005A68E2"/>
    <w:rsid w:val="005A7276"/>
    <w:rsid w:val="005A7431"/>
    <w:rsid w:val="005A7F8C"/>
    <w:rsid w:val="005A7F9F"/>
    <w:rsid w:val="005B00C1"/>
    <w:rsid w:val="005B03E5"/>
    <w:rsid w:val="005B0794"/>
    <w:rsid w:val="005B0DE7"/>
    <w:rsid w:val="005B0E85"/>
    <w:rsid w:val="005B1C60"/>
    <w:rsid w:val="005B1D57"/>
    <w:rsid w:val="005B2331"/>
    <w:rsid w:val="005B2499"/>
    <w:rsid w:val="005B26A3"/>
    <w:rsid w:val="005B2CA4"/>
    <w:rsid w:val="005B3163"/>
    <w:rsid w:val="005B351E"/>
    <w:rsid w:val="005B3714"/>
    <w:rsid w:val="005B3C59"/>
    <w:rsid w:val="005B4EFB"/>
    <w:rsid w:val="005B5490"/>
    <w:rsid w:val="005B756E"/>
    <w:rsid w:val="005B7847"/>
    <w:rsid w:val="005B7D08"/>
    <w:rsid w:val="005C0E58"/>
    <w:rsid w:val="005C1421"/>
    <w:rsid w:val="005C158E"/>
    <w:rsid w:val="005C1FAB"/>
    <w:rsid w:val="005C2186"/>
    <w:rsid w:val="005C2740"/>
    <w:rsid w:val="005C3494"/>
    <w:rsid w:val="005C3838"/>
    <w:rsid w:val="005C3E58"/>
    <w:rsid w:val="005C4A62"/>
    <w:rsid w:val="005C4BF6"/>
    <w:rsid w:val="005C4F70"/>
    <w:rsid w:val="005C51EA"/>
    <w:rsid w:val="005C5E76"/>
    <w:rsid w:val="005C62F1"/>
    <w:rsid w:val="005C6DBA"/>
    <w:rsid w:val="005C702F"/>
    <w:rsid w:val="005C7BE6"/>
    <w:rsid w:val="005C7DD9"/>
    <w:rsid w:val="005D07FE"/>
    <w:rsid w:val="005D0B64"/>
    <w:rsid w:val="005D0E5E"/>
    <w:rsid w:val="005D1BD5"/>
    <w:rsid w:val="005D211B"/>
    <w:rsid w:val="005D2974"/>
    <w:rsid w:val="005D2A5F"/>
    <w:rsid w:val="005D2A7F"/>
    <w:rsid w:val="005D2B97"/>
    <w:rsid w:val="005D3498"/>
    <w:rsid w:val="005D363D"/>
    <w:rsid w:val="005D375B"/>
    <w:rsid w:val="005D45AD"/>
    <w:rsid w:val="005D4AE9"/>
    <w:rsid w:val="005D54F4"/>
    <w:rsid w:val="005D5708"/>
    <w:rsid w:val="005D5834"/>
    <w:rsid w:val="005D674A"/>
    <w:rsid w:val="005D6CD7"/>
    <w:rsid w:val="005D7482"/>
    <w:rsid w:val="005D7664"/>
    <w:rsid w:val="005D7A3F"/>
    <w:rsid w:val="005E048C"/>
    <w:rsid w:val="005E070A"/>
    <w:rsid w:val="005E09A9"/>
    <w:rsid w:val="005E0A3F"/>
    <w:rsid w:val="005E0A80"/>
    <w:rsid w:val="005E16CA"/>
    <w:rsid w:val="005E1A2F"/>
    <w:rsid w:val="005E1CAE"/>
    <w:rsid w:val="005E1D16"/>
    <w:rsid w:val="005E1EEA"/>
    <w:rsid w:val="005E213B"/>
    <w:rsid w:val="005E2776"/>
    <w:rsid w:val="005E2A7B"/>
    <w:rsid w:val="005E2BE7"/>
    <w:rsid w:val="005E30B8"/>
    <w:rsid w:val="005E3124"/>
    <w:rsid w:val="005E3462"/>
    <w:rsid w:val="005E3D38"/>
    <w:rsid w:val="005E6209"/>
    <w:rsid w:val="005E627E"/>
    <w:rsid w:val="005E6C5B"/>
    <w:rsid w:val="005E6CEE"/>
    <w:rsid w:val="005E7000"/>
    <w:rsid w:val="005E79F2"/>
    <w:rsid w:val="005E7BE4"/>
    <w:rsid w:val="005F0119"/>
    <w:rsid w:val="005F0464"/>
    <w:rsid w:val="005F0755"/>
    <w:rsid w:val="005F0A36"/>
    <w:rsid w:val="005F113E"/>
    <w:rsid w:val="005F1776"/>
    <w:rsid w:val="005F20F1"/>
    <w:rsid w:val="005F237C"/>
    <w:rsid w:val="005F2C8D"/>
    <w:rsid w:val="005F3707"/>
    <w:rsid w:val="005F3DF0"/>
    <w:rsid w:val="005F3FA0"/>
    <w:rsid w:val="005F42D2"/>
    <w:rsid w:val="005F5648"/>
    <w:rsid w:val="005F698E"/>
    <w:rsid w:val="005F6E6F"/>
    <w:rsid w:val="005F708F"/>
    <w:rsid w:val="005F70E1"/>
    <w:rsid w:val="005F7489"/>
    <w:rsid w:val="005F772A"/>
    <w:rsid w:val="0060043A"/>
    <w:rsid w:val="006005B9"/>
    <w:rsid w:val="00601801"/>
    <w:rsid w:val="0060195F"/>
    <w:rsid w:val="00601985"/>
    <w:rsid w:val="00601F82"/>
    <w:rsid w:val="00602C5E"/>
    <w:rsid w:val="00603B03"/>
    <w:rsid w:val="006040CF"/>
    <w:rsid w:val="00604413"/>
    <w:rsid w:val="00605420"/>
    <w:rsid w:val="0060554E"/>
    <w:rsid w:val="0060565D"/>
    <w:rsid w:val="006057D9"/>
    <w:rsid w:val="00605F1C"/>
    <w:rsid w:val="00606B4F"/>
    <w:rsid w:val="00607757"/>
    <w:rsid w:val="006078B5"/>
    <w:rsid w:val="00610582"/>
    <w:rsid w:val="00611032"/>
    <w:rsid w:val="00611076"/>
    <w:rsid w:val="00611788"/>
    <w:rsid w:val="00612333"/>
    <w:rsid w:val="00612692"/>
    <w:rsid w:val="00612996"/>
    <w:rsid w:val="00612C5B"/>
    <w:rsid w:val="00612D5A"/>
    <w:rsid w:val="00613461"/>
    <w:rsid w:val="0061388C"/>
    <w:rsid w:val="0061406B"/>
    <w:rsid w:val="006143B5"/>
    <w:rsid w:val="00614C58"/>
    <w:rsid w:val="0061544F"/>
    <w:rsid w:val="006160FE"/>
    <w:rsid w:val="00617526"/>
    <w:rsid w:val="00617CE0"/>
    <w:rsid w:val="00617E0F"/>
    <w:rsid w:val="00617F3C"/>
    <w:rsid w:val="00620593"/>
    <w:rsid w:val="00620858"/>
    <w:rsid w:val="00620960"/>
    <w:rsid w:val="00620BA2"/>
    <w:rsid w:val="00620C0F"/>
    <w:rsid w:val="00620DA5"/>
    <w:rsid w:val="006213A3"/>
    <w:rsid w:val="006216FC"/>
    <w:rsid w:val="00621F65"/>
    <w:rsid w:val="00622738"/>
    <w:rsid w:val="0062279F"/>
    <w:rsid w:val="006230FC"/>
    <w:rsid w:val="006232A5"/>
    <w:rsid w:val="006236A5"/>
    <w:rsid w:val="006236D7"/>
    <w:rsid w:val="006237E1"/>
    <w:rsid w:val="0062402E"/>
    <w:rsid w:val="0062436C"/>
    <w:rsid w:val="00624A7F"/>
    <w:rsid w:val="006250FB"/>
    <w:rsid w:val="00625296"/>
    <w:rsid w:val="00625636"/>
    <w:rsid w:val="00625B4B"/>
    <w:rsid w:val="006262C9"/>
    <w:rsid w:val="00626882"/>
    <w:rsid w:val="00626FA7"/>
    <w:rsid w:val="006270EF"/>
    <w:rsid w:val="00627D72"/>
    <w:rsid w:val="006308E5"/>
    <w:rsid w:val="00630966"/>
    <w:rsid w:val="006313D6"/>
    <w:rsid w:val="00631BE5"/>
    <w:rsid w:val="00631EC5"/>
    <w:rsid w:val="00633176"/>
    <w:rsid w:val="00633269"/>
    <w:rsid w:val="00634A9C"/>
    <w:rsid w:val="00634E61"/>
    <w:rsid w:val="00635651"/>
    <w:rsid w:val="00635EFC"/>
    <w:rsid w:val="0063609D"/>
    <w:rsid w:val="006360D0"/>
    <w:rsid w:val="00637088"/>
    <w:rsid w:val="006370C6"/>
    <w:rsid w:val="00637378"/>
    <w:rsid w:val="006374EF"/>
    <w:rsid w:val="00637A5E"/>
    <w:rsid w:val="00637CF5"/>
    <w:rsid w:val="00640FB7"/>
    <w:rsid w:val="0064152B"/>
    <w:rsid w:val="00641666"/>
    <w:rsid w:val="0064180A"/>
    <w:rsid w:val="00641B14"/>
    <w:rsid w:val="00641D93"/>
    <w:rsid w:val="00642187"/>
    <w:rsid w:val="0064248C"/>
    <w:rsid w:val="00642AD2"/>
    <w:rsid w:val="00643503"/>
    <w:rsid w:val="0064354A"/>
    <w:rsid w:val="00643DB7"/>
    <w:rsid w:val="006441CD"/>
    <w:rsid w:val="00644A9A"/>
    <w:rsid w:val="006452BC"/>
    <w:rsid w:val="00646ADB"/>
    <w:rsid w:val="00646EE7"/>
    <w:rsid w:val="006470AA"/>
    <w:rsid w:val="0064718A"/>
    <w:rsid w:val="0064718E"/>
    <w:rsid w:val="006502CE"/>
    <w:rsid w:val="006506BE"/>
    <w:rsid w:val="0065174C"/>
    <w:rsid w:val="00652625"/>
    <w:rsid w:val="00652A09"/>
    <w:rsid w:val="0065377C"/>
    <w:rsid w:val="00653D1F"/>
    <w:rsid w:val="006547C4"/>
    <w:rsid w:val="00654DFA"/>
    <w:rsid w:val="00655736"/>
    <w:rsid w:val="00655A1E"/>
    <w:rsid w:val="006565FF"/>
    <w:rsid w:val="00656648"/>
    <w:rsid w:val="00656975"/>
    <w:rsid w:val="00656CA7"/>
    <w:rsid w:val="0065735D"/>
    <w:rsid w:val="00657FF0"/>
    <w:rsid w:val="00660E3D"/>
    <w:rsid w:val="00661462"/>
    <w:rsid w:val="0066166C"/>
    <w:rsid w:val="0066185E"/>
    <w:rsid w:val="00661971"/>
    <w:rsid w:val="006619A4"/>
    <w:rsid w:val="00661B05"/>
    <w:rsid w:val="00662039"/>
    <w:rsid w:val="006625CA"/>
    <w:rsid w:val="00662988"/>
    <w:rsid w:val="00663B6C"/>
    <w:rsid w:val="006645BF"/>
    <w:rsid w:val="006647F2"/>
    <w:rsid w:val="00664A85"/>
    <w:rsid w:val="00664A9A"/>
    <w:rsid w:val="00664BE8"/>
    <w:rsid w:val="00664D1A"/>
    <w:rsid w:val="00664D1D"/>
    <w:rsid w:val="006651E3"/>
    <w:rsid w:val="0066611C"/>
    <w:rsid w:val="006661D4"/>
    <w:rsid w:val="00666D8A"/>
    <w:rsid w:val="00666EF7"/>
    <w:rsid w:val="006700CC"/>
    <w:rsid w:val="00670401"/>
    <w:rsid w:val="00670AE8"/>
    <w:rsid w:val="00670D5E"/>
    <w:rsid w:val="0067103E"/>
    <w:rsid w:val="0067219C"/>
    <w:rsid w:val="0067227A"/>
    <w:rsid w:val="00672544"/>
    <w:rsid w:val="00672625"/>
    <w:rsid w:val="00672A74"/>
    <w:rsid w:val="00673082"/>
    <w:rsid w:val="006730F2"/>
    <w:rsid w:val="00673B5F"/>
    <w:rsid w:val="00673D49"/>
    <w:rsid w:val="00675177"/>
    <w:rsid w:val="00675AE9"/>
    <w:rsid w:val="00675CF0"/>
    <w:rsid w:val="006766D6"/>
    <w:rsid w:val="00676FDB"/>
    <w:rsid w:val="0067761F"/>
    <w:rsid w:val="00677BF0"/>
    <w:rsid w:val="00680309"/>
    <w:rsid w:val="0068064B"/>
    <w:rsid w:val="006825A7"/>
    <w:rsid w:val="006827AB"/>
    <w:rsid w:val="00683790"/>
    <w:rsid w:val="006837A1"/>
    <w:rsid w:val="00683E4A"/>
    <w:rsid w:val="00683F19"/>
    <w:rsid w:val="0068479E"/>
    <w:rsid w:val="0068550E"/>
    <w:rsid w:val="00685DEC"/>
    <w:rsid w:val="00686598"/>
    <w:rsid w:val="00686A77"/>
    <w:rsid w:val="00687168"/>
    <w:rsid w:val="0068755C"/>
    <w:rsid w:val="00690B23"/>
    <w:rsid w:val="00690E35"/>
    <w:rsid w:val="00690E8F"/>
    <w:rsid w:val="00690E9F"/>
    <w:rsid w:val="006913F1"/>
    <w:rsid w:val="00691709"/>
    <w:rsid w:val="006917AA"/>
    <w:rsid w:val="006919E1"/>
    <w:rsid w:val="00691D5F"/>
    <w:rsid w:val="00692697"/>
    <w:rsid w:val="00693963"/>
    <w:rsid w:val="00693B0B"/>
    <w:rsid w:val="00693C7A"/>
    <w:rsid w:val="00694274"/>
    <w:rsid w:val="00694815"/>
    <w:rsid w:val="00696803"/>
    <w:rsid w:val="00696A38"/>
    <w:rsid w:val="00696E74"/>
    <w:rsid w:val="00696F3F"/>
    <w:rsid w:val="00696FAF"/>
    <w:rsid w:val="006972B9"/>
    <w:rsid w:val="00697463"/>
    <w:rsid w:val="006A1528"/>
    <w:rsid w:val="006A1622"/>
    <w:rsid w:val="006A1B09"/>
    <w:rsid w:val="006A2313"/>
    <w:rsid w:val="006A245A"/>
    <w:rsid w:val="006A2EA6"/>
    <w:rsid w:val="006A31EF"/>
    <w:rsid w:val="006A374D"/>
    <w:rsid w:val="006A375A"/>
    <w:rsid w:val="006A381F"/>
    <w:rsid w:val="006A4689"/>
    <w:rsid w:val="006A5420"/>
    <w:rsid w:val="006A5D07"/>
    <w:rsid w:val="006A6907"/>
    <w:rsid w:val="006A6AFA"/>
    <w:rsid w:val="006A7358"/>
    <w:rsid w:val="006A788A"/>
    <w:rsid w:val="006B044F"/>
    <w:rsid w:val="006B07EC"/>
    <w:rsid w:val="006B0B56"/>
    <w:rsid w:val="006B0CBA"/>
    <w:rsid w:val="006B1FF1"/>
    <w:rsid w:val="006B3BD5"/>
    <w:rsid w:val="006B5DB5"/>
    <w:rsid w:val="006B5FEF"/>
    <w:rsid w:val="006B5FFD"/>
    <w:rsid w:val="006B617D"/>
    <w:rsid w:val="006B64EB"/>
    <w:rsid w:val="006B672D"/>
    <w:rsid w:val="006B6D11"/>
    <w:rsid w:val="006B7661"/>
    <w:rsid w:val="006B7A22"/>
    <w:rsid w:val="006B7CFE"/>
    <w:rsid w:val="006B7E08"/>
    <w:rsid w:val="006C00AA"/>
    <w:rsid w:val="006C02FE"/>
    <w:rsid w:val="006C0575"/>
    <w:rsid w:val="006C08B7"/>
    <w:rsid w:val="006C0A85"/>
    <w:rsid w:val="006C0F33"/>
    <w:rsid w:val="006C1303"/>
    <w:rsid w:val="006C1377"/>
    <w:rsid w:val="006C1445"/>
    <w:rsid w:val="006C1894"/>
    <w:rsid w:val="006C1DEE"/>
    <w:rsid w:val="006C2408"/>
    <w:rsid w:val="006C2936"/>
    <w:rsid w:val="006C2BC0"/>
    <w:rsid w:val="006C2F1E"/>
    <w:rsid w:val="006C2F8E"/>
    <w:rsid w:val="006C3132"/>
    <w:rsid w:val="006C3843"/>
    <w:rsid w:val="006C3A0E"/>
    <w:rsid w:val="006C3A29"/>
    <w:rsid w:val="006C3A54"/>
    <w:rsid w:val="006C3D7E"/>
    <w:rsid w:val="006C3F4C"/>
    <w:rsid w:val="006C42CB"/>
    <w:rsid w:val="006C4ACC"/>
    <w:rsid w:val="006C527F"/>
    <w:rsid w:val="006C533C"/>
    <w:rsid w:val="006C5458"/>
    <w:rsid w:val="006C5541"/>
    <w:rsid w:val="006C55CE"/>
    <w:rsid w:val="006C5A05"/>
    <w:rsid w:val="006C5E5F"/>
    <w:rsid w:val="006C5F3D"/>
    <w:rsid w:val="006C68D3"/>
    <w:rsid w:val="006C7012"/>
    <w:rsid w:val="006C70F2"/>
    <w:rsid w:val="006C71DF"/>
    <w:rsid w:val="006C7482"/>
    <w:rsid w:val="006C7A5F"/>
    <w:rsid w:val="006C7F8E"/>
    <w:rsid w:val="006D03C4"/>
    <w:rsid w:val="006D0729"/>
    <w:rsid w:val="006D0F30"/>
    <w:rsid w:val="006D1037"/>
    <w:rsid w:val="006D1146"/>
    <w:rsid w:val="006D1C33"/>
    <w:rsid w:val="006D1CA9"/>
    <w:rsid w:val="006D255E"/>
    <w:rsid w:val="006D31D3"/>
    <w:rsid w:val="006D3B02"/>
    <w:rsid w:val="006D3E13"/>
    <w:rsid w:val="006D4639"/>
    <w:rsid w:val="006D469E"/>
    <w:rsid w:val="006D4BAA"/>
    <w:rsid w:val="006D51BE"/>
    <w:rsid w:val="006D5403"/>
    <w:rsid w:val="006D5DEB"/>
    <w:rsid w:val="006D6A3B"/>
    <w:rsid w:val="006D7215"/>
    <w:rsid w:val="006D7401"/>
    <w:rsid w:val="006D7827"/>
    <w:rsid w:val="006D785F"/>
    <w:rsid w:val="006D7944"/>
    <w:rsid w:val="006D7EA8"/>
    <w:rsid w:val="006E0186"/>
    <w:rsid w:val="006E07F7"/>
    <w:rsid w:val="006E0F8C"/>
    <w:rsid w:val="006E16E9"/>
    <w:rsid w:val="006E1976"/>
    <w:rsid w:val="006E22BA"/>
    <w:rsid w:val="006E25BD"/>
    <w:rsid w:val="006E28FC"/>
    <w:rsid w:val="006E3CE8"/>
    <w:rsid w:val="006E56E9"/>
    <w:rsid w:val="006E7B50"/>
    <w:rsid w:val="006F026E"/>
    <w:rsid w:val="006F1624"/>
    <w:rsid w:val="006F1745"/>
    <w:rsid w:val="006F182D"/>
    <w:rsid w:val="006F1A1A"/>
    <w:rsid w:val="006F1C22"/>
    <w:rsid w:val="006F1FDA"/>
    <w:rsid w:val="006F2926"/>
    <w:rsid w:val="006F2DBC"/>
    <w:rsid w:val="006F2E2D"/>
    <w:rsid w:val="006F3684"/>
    <w:rsid w:val="006F3A52"/>
    <w:rsid w:val="006F401B"/>
    <w:rsid w:val="006F48DC"/>
    <w:rsid w:val="006F55E9"/>
    <w:rsid w:val="006F6420"/>
    <w:rsid w:val="006F64D7"/>
    <w:rsid w:val="006F6A1F"/>
    <w:rsid w:val="006F7257"/>
    <w:rsid w:val="006F72BC"/>
    <w:rsid w:val="0070021B"/>
    <w:rsid w:val="00700304"/>
    <w:rsid w:val="00700567"/>
    <w:rsid w:val="00700AAA"/>
    <w:rsid w:val="00701784"/>
    <w:rsid w:val="007017D7"/>
    <w:rsid w:val="00702065"/>
    <w:rsid w:val="00702390"/>
    <w:rsid w:val="0070274F"/>
    <w:rsid w:val="00702AB8"/>
    <w:rsid w:val="00703320"/>
    <w:rsid w:val="00704759"/>
    <w:rsid w:val="00704E6C"/>
    <w:rsid w:val="00705798"/>
    <w:rsid w:val="00706563"/>
    <w:rsid w:val="007075B4"/>
    <w:rsid w:val="00707A89"/>
    <w:rsid w:val="00707F4A"/>
    <w:rsid w:val="00710401"/>
    <w:rsid w:val="00710C23"/>
    <w:rsid w:val="00710DD1"/>
    <w:rsid w:val="007111A3"/>
    <w:rsid w:val="0071153C"/>
    <w:rsid w:val="00711DA9"/>
    <w:rsid w:val="00711F1B"/>
    <w:rsid w:val="007124D9"/>
    <w:rsid w:val="00712BB2"/>
    <w:rsid w:val="00712DB3"/>
    <w:rsid w:val="0071360F"/>
    <w:rsid w:val="00713A75"/>
    <w:rsid w:val="00713DF4"/>
    <w:rsid w:val="007140FE"/>
    <w:rsid w:val="00714892"/>
    <w:rsid w:val="00715CBF"/>
    <w:rsid w:val="00716499"/>
    <w:rsid w:val="00716E6B"/>
    <w:rsid w:val="0071770E"/>
    <w:rsid w:val="00717A66"/>
    <w:rsid w:val="0072000C"/>
    <w:rsid w:val="00720FA0"/>
    <w:rsid w:val="00721D3F"/>
    <w:rsid w:val="00721DE1"/>
    <w:rsid w:val="00723009"/>
    <w:rsid w:val="0072319D"/>
    <w:rsid w:val="00723F4B"/>
    <w:rsid w:val="00724593"/>
    <w:rsid w:val="0072467A"/>
    <w:rsid w:val="00724DE9"/>
    <w:rsid w:val="00724EB2"/>
    <w:rsid w:val="007252C1"/>
    <w:rsid w:val="0072640B"/>
    <w:rsid w:val="0072711A"/>
    <w:rsid w:val="00727668"/>
    <w:rsid w:val="00727EF0"/>
    <w:rsid w:val="007310BA"/>
    <w:rsid w:val="0073162A"/>
    <w:rsid w:val="00731678"/>
    <w:rsid w:val="007323B7"/>
    <w:rsid w:val="00732692"/>
    <w:rsid w:val="00732BAE"/>
    <w:rsid w:val="00732C56"/>
    <w:rsid w:val="00733F17"/>
    <w:rsid w:val="0073552E"/>
    <w:rsid w:val="007363AB"/>
    <w:rsid w:val="007368D4"/>
    <w:rsid w:val="00736A35"/>
    <w:rsid w:val="00736B92"/>
    <w:rsid w:val="00736C9F"/>
    <w:rsid w:val="00736DE0"/>
    <w:rsid w:val="00736F4C"/>
    <w:rsid w:val="00737891"/>
    <w:rsid w:val="00737BFC"/>
    <w:rsid w:val="00737E21"/>
    <w:rsid w:val="00740516"/>
    <w:rsid w:val="007418F6"/>
    <w:rsid w:val="00741A44"/>
    <w:rsid w:val="00741EA8"/>
    <w:rsid w:val="00742530"/>
    <w:rsid w:val="00742545"/>
    <w:rsid w:val="007443B5"/>
    <w:rsid w:val="00744E31"/>
    <w:rsid w:val="007452E7"/>
    <w:rsid w:val="007457AD"/>
    <w:rsid w:val="00745836"/>
    <w:rsid w:val="00745D5D"/>
    <w:rsid w:val="007462B2"/>
    <w:rsid w:val="0074649D"/>
    <w:rsid w:val="00746561"/>
    <w:rsid w:val="007466BD"/>
    <w:rsid w:val="00746CB9"/>
    <w:rsid w:val="00746FEC"/>
    <w:rsid w:val="007470DE"/>
    <w:rsid w:val="007474F7"/>
    <w:rsid w:val="00747522"/>
    <w:rsid w:val="00747BA4"/>
    <w:rsid w:val="00747C19"/>
    <w:rsid w:val="00747DCE"/>
    <w:rsid w:val="00751057"/>
    <w:rsid w:val="007511B6"/>
    <w:rsid w:val="007528FD"/>
    <w:rsid w:val="00753326"/>
    <w:rsid w:val="00753680"/>
    <w:rsid w:val="00753AA1"/>
    <w:rsid w:val="00753E32"/>
    <w:rsid w:val="00753E44"/>
    <w:rsid w:val="00754165"/>
    <w:rsid w:val="00754862"/>
    <w:rsid w:val="00754A1F"/>
    <w:rsid w:val="00755357"/>
    <w:rsid w:val="0075563A"/>
    <w:rsid w:val="00755702"/>
    <w:rsid w:val="00755F28"/>
    <w:rsid w:val="00755FCC"/>
    <w:rsid w:val="007560A7"/>
    <w:rsid w:val="0075635D"/>
    <w:rsid w:val="00756375"/>
    <w:rsid w:val="00756507"/>
    <w:rsid w:val="0075655C"/>
    <w:rsid w:val="00756969"/>
    <w:rsid w:val="00756AE5"/>
    <w:rsid w:val="007579E8"/>
    <w:rsid w:val="00757A90"/>
    <w:rsid w:val="00762A3F"/>
    <w:rsid w:val="00763507"/>
    <w:rsid w:val="00763532"/>
    <w:rsid w:val="00763871"/>
    <w:rsid w:val="007638B6"/>
    <w:rsid w:val="00763909"/>
    <w:rsid w:val="007639FC"/>
    <w:rsid w:val="00764B8B"/>
    <w:rsid w:val="0076563E"/>
    <w:rsid w:val="00765862"/>
    <w:rsid w:val="00766561"/>
    <w:rsid w:val="0076730D"/>
    <w:rsid w:val="00767A1D"/>
    <w:rsid w:val="00770B0A"/>
    <w:rsid w:val="00770FA9"/>
    <w:rsid w:val="0077166C"/>
    <w:rsid w:val="00771B01"/>
    <w:rsid w:val="00772927"/>
    <w:rsid w:val="00772A92"/>
    <w:rsid w:val="007734A7"/>
    <w:rsid w:val="00773A27"/>
    <w:rsid w:val="00774644"/>
    <w:rsid w:val="007747F4"/>
    <w:rsid w:val="00774AD6"/>
    <w:rsid w:val="00775360"/>
    <w:rsid w:val="00776224"/>
    <w:rsid w:val="00776315"/>
    <w:rsid w:val="0077634B"/>
    <w:rsid w:val="00776E95"/>
    <w:rsid w:val="00777FBA"/>
    <w:rsid w:val="007803A5"/>
    <w:rsid w:val="0078041B"/>
    <w:rsid w:val="0078060C"/>
    <w:rsid w:val="00780CC1"/>
    <w:rsid w:val="00780EA0"/>
    <w:rsid w:val="007813E4"/>
    <w:rsid w:val="007815DF"/>
    <w:rsid w:val="0078168A"/>
    <w:rsid w:val="007816D0"/>
    <w:rsid w:val="007816F0"/>
    <w:rsid w:val="0078187C"/>
    <w:rsid w:val="00782261"/>
    <w:rsid w:val="00782938"/>
    <w:rsid w:val="00782E06"/>
    <w:rsid w:val="007834D3"/>
    <w:rsid w:val="007838B4"/>
    <w:rsid w:val="00783D1D"/>
    <w:rsid w:val="007840D3"/>
    <w:rsid w:val="007875A4"/>
    <w:rsid w:val="00787802"/>
    <w:rsid w:val="00787873"/>
    <w:rsid w:val="00787AB5"/>
    <w:rsid w:val="007906A9"/>
    <w:rsid w:val="00790F09"/>
    <w:rsid w:val="007921E0"/>
    <w:rsid w:val="00793BDC"/>
    <w:rsid w:val="0079525A"/>
    <w:rsid w:val="007956EB"/>
    <w:rsid w:val="007958CA"/>
    <w:rsid w:val="00795B37"/>
    <w:rsid w:val="00796102"/>
    <w:rsid w:val="00796125"/>
    <w:rsid w:val="00796D6B"/>
    <w:rsid w:val="007977B2"/>
    <w:rsid w:val="00797923"/>
    <w:rsid w:val="00797E07"/>
    <w:rsid w:val="007A07A8"/>
    <w:rsid w:val="007A128B"/>
    <w:rsid w:val="007A12D3"/>
    <w:rsid w:val="007A13A4"/>
    <w:rsid w:val="007A1880"/>
    <w:rsid w:val="007A1934"/>
    <w:rsid w:val="007A1CA4"/>
    <w:rsid w:val="007A1E6B"/>
    <w:rsid w:val="007A2A5D"/>
    <w:rsid w:val="007A2CF7"/>
    <w:rsid w:val="007A3116"/>
    <w:rsid w:val="007A370E"/>
    <w:rsid w:val="007A3B62"/>
    <w:rsid w:val="007A4388"/>
    <w:rsid w:val="007A456A"/>
    <w:rsid w:val="007A4A4D"/>
    <w:rsid w:val="007A4DA0"/>
    <w:rsid w:val="007A5159"/>
    <w:rsid w:val="007A663C"/>
    <w:rsid w:val="007A706A"/>
    <w:rsid w:val="007A70FF"/>
    <w:rsid w:val="007B02DB"/>
    <w:rsid w:val="007B12A0"/>
    <w:rsid w:val="007B1A3D"/>
    <w:rsid w:val="007B1F69"/>
    <w:rsid w:val="007B22C9"/>
    <w:rsid w:val="007B25B6"/>
    <w:rsid w:val="007B26B6"/>
    <w:rsid w:val="007B350E"/>
    <w:rsid w:val="007B380C"/>
    <w:rsid w:val="007B3BD3"/>
    <w:rsid w:val="007B470B"/>
    <w:rsid w:val="007B4FB5"/>
    <w:rsid w:val="007B5428"/>
    <w:rsid w:val="007B5918"/>
    <w:rsid w:val="007B59D5"/>
    <w:rsid w:val="007B5DA9"/>
    <w:rsid w:val="007B63FB"/>
    <w:rsid w:val="007B658A"/>
    <w:rsid w:val="007B69D6"/>
    <w:rsid w:val="007B6CE1"/>
    <w:rsid w:val="007B721F"/>
    <w:rsid w:val="007B7260"/>
    <w:rsid w:val="007B7F2F"/>
    <w:rsid w:val="007C017E"/>
    <w:rsid w:val="007C0220"/>
    <w:rsid w:val="007C03EC"/>
    <w:rsid w:val="007C04AB"/>
    <w:rsid w:val="007C080C"/>
    <w:rsid w:val="007C0E12"/>
    <w:rsid w:val="007C0F31"/>
    <w:rsid w:val="007C15DB"/>
    <w:rsid w:val="007C1A85"/>
    <w:rsid w:val="007C3024"/>
    <w:rsid w:val="007C3874"/>
    <w:rsid w:val="007C3FB1"/>
    <w:rsid w:val="007C46D0"/>
    <w:rsid w:val="007C4E5A"/>
    <w:rsid w:val="007C503A"/>
    <w:rsid w:val="007C53CF"/>
    <w:rsid w:val="007C652E"/>
    <w:rsid w:val="007C76D7"/>
    <w:rsid w:val="007D17AB"/>
    <w:rsid w:val="007D1DE3"/>
    <w:rsid w:val="007D2013"/>
    <w:rsid w:val="007D28F9"/>
    <w:rsid w:val="007D45B4"/>
    <w:rsid w:val="007D4956"/>
    <w:rsid w:val="007D4F74"/>
    <w:rsid w:val="007D50CE"/>
    <w:rsid w:val="007D544B"/>
    <w:rsid w:val="007D5639"/>
    <w:rsid w:val="007D5F50"/>
    <w:rsid w:val="007D6317"/>
    <w:rsid w:val="007D69A0"/>
    <w:rsid w:val="007D715D"/>
    <w:rsid w:val="007E0330"/>
    <w:rsid w:val="007E0331"/>
    <w:rsid w:val="007E0484"/>
    <w:rsid w:val="007E054B"/>
    <w:rsid w:val="007E0808"/>
    <w:rsid w:val="007E0F90"/>
    <w:rsid w:val="007E1577"/>
    <w:rsid w:val="007E36BF"/>
    <w:rsid w:val="007E377C"/>
    <w:rsid w:val="007E3814"/>
    <w:rsid w:val="007E3A61"/>
    <w:rsid w:val="007E429D"/>
    <w:rsid w:val="007E44A9"/>
    <w:rsid w:val="007E47A5"/>
    <w:rsid w:val="007E4D09"/>
    <w:rsid w:val="007E51AC"/>
    <w:rsid w:val="007E70C2"/>
    <w:rsid w:val="007E714E"/>
    <w:rsid w:val="007E7ADE"/>
    <w:rsid w:val="007F05A4"/>
    <w:rsid w:val="007F0D72"/>
    <w:rsid w:val="007F281C"/>
    <w:rsid w:val="007F295D"/>
    <w:rsid w:val="007F2B6B"/>
    <w:rsid w:val="007F3080"/>
    <w:rsid w:val="007F32B7"/>
    <w:rsid w:val="007F3652"/>
    <w:rsid w:val="007F385F"/>
    <w:rsid w:val="007F42BE"/>
    <w:rsid w:val="007F50EA"/>
    <w:rsid w:val="007F51FA"/>
    <w:rsid w:val="007F5C92"/>
    <w:rsid w:val="007F683F"/>
    <w:rsid w:val="007F6C07"/>
    <w:rsid w:val="0080005A"/>
    <w:rsid w:val="00800261"/>
    <w:rsid w:val="008002C9"/>
    <w:rsid w:val="008003AF"/>
    <w:rsid w:val="00800782"/>
    <w:rsid w:val="00800A10"/>
    <w:rsid w:val="00800A15"/>
    <w:rsid w:val="00800A2B"/>
    <w:rsid w:val="00801271"/>
    <w:rsid w:val="0080151A"/>
    <w:rsid w:val="00801544"/>
    <w:rsid w:val="00801F5E"/>
    <w:rsid w:val="008020B4"/>
    <w:rsid w:val="00802548"/>
    <w:rsid w:val="00803285"/>
    <w:rsid w:val="00803619"/>
    <w:rsid w:val="00803937"/>
    <w:rsid w:val="00804B6E"/>
    <w:rsid w:val="008056FC"/>
    <w:rsid w:val="00805BF9"/>
    <w:rsid w:val="00806AE3"/>
    <w:rsid w:val="008078BD"/>
    <w:rsid w:val="008102C0"/>
    <w:rsid w:val="0081058C"/>
    <w:rsid w:val="0081080D"/>
    <w:rsid w:val="00810F4C"/>
    <w:rsid w:val="008122ED"/>
    <w:rsid w:val="00812A72"/>
    <w:rsid w:val="00813056"/>
    <w:rsid w:val="0081307B"/>
    <w:rsid w:val="0081308B"/>
    <w:rsid w:val="008137F9"/>
    <w:rsid w:val="00813DAA"/>
    <w:rsid w:val="00813E3C"/>
    <w:rsid w:val="008141FC"/>
    <w:rsid w:val="0081495F"/>
    <w:rsid w:val="00815727"/>
    <w:rsid w:val="00815B5A"/>
    <w:rsid w:val="008167AF"/>
    <w:rsid w:val="00816CA5"/>
    <w:rsid w:val="00816DE7"/>
    <w:rsid w:val="00816F64"/>
    <w:rsid w:val="00817206"/>
    <w:rsid w:val="008174E2"/>
    <w:rsid w:val="0081794D"/>
    <w:rsid w:val="00820397"/>
    <w:rsid w:val="008208E5"/>
    <w:rsid w:val="00821288"/>
    <w:rsid w:val="008214D7"/>
    <w:rsid w:val="00821865"/>
    <w:rsid w:val="00821BDE"/>
    <w:rsid w:val="00822698"/>
    <w:rsid w:val="00822BC7"/>
    <w:rsid w:val="00822C3E"/>
    <w:rsid w:val="00822E14"/>
    <w:rsid w:val="008232B0"/>
    <w:rsid w:val="008243F9"/>
    <w:rsid w:val="0082473D"/>
    <w:rsid w:val="008252EA"/>
    <w:rsid w:val="0082536B"/>
    <w:rsid w:val="00826062"/>
    <w:rsid w:val="008261F6"/>
    <w:rsid w:val="00826EB5"/>
    <w:rsid w:val="008272C3"/>
    <w:rsid w:val="00827740"/>
    <w:rsid w:val="008278C7"/>
    <w:rsid w:val="00827F28"/>
    <w:rsid w:val="00830634"/>
    <w:rsid w:val="00830E21"/>
    <w:rsid w:val="008324A5"/>
    <w:rsid w:val="008324EE"/>
    <w:rsid w:val="00832D97"/>
    <w:rsid w:val="00833013"/>
    <w:rsid w:val="00833357"/>
    <w:rsid w:val="00833FA6"/>
    <w:rsid w:val="00834476"/>
    <w:rsid w:val="00834E8D"/>
    <w:rsid w:val="00834F2A"/>
    <w:rsid w:val="00835634"/>
    <w:rsid w:val="0083587D"/>
    <w:rsid w:val="00835BC1"/>
    <w:rsid w:val="00836682"/>
    <w:rsid w:val="00836F98"/>
    <w:rsid w:val="008370F8"/>
    <w:rsid w:val="00837276"/>
    <w:rsid w:val="00837278"/>
    <w:rsid w:val="00837C12"/>
    <w:rsid w:val="008406E2"/>
    <w:rsid w:val="008406E8"/>
    <w:rsid w:val="00841EE8"/>
    <w:rsid w:val="008422B5"/>
    <w:rsid w:val="00842BC3"/>
    <w:rsid w:val="008430CA"/>
    <w:rsid w:val="00843902"/>
    <w:rsid w:val="00843AFD"/>
    <w:rsid w:val="00843B35"/>
    <w:rsid w:val="00843D6A"/>
    <w:rsid w:val="0084459D"/>
    <w:rsid w:val="00844781"/>
    <w:rsid w:val="008448B7"/>
    <w:rsid w:val="00844DAC"/>
    <w:rsid w:val="0084629E"/>
    <w:rsid w:val="00846ECC"/>
    <w:rsid w:val="008470AD"/>
    <w:rsid w:val="00847437"/>
    <w:rsid w:val="0084758E"/>
    <w:rsid w:val="00850021"/>
    <w:rsid w:val="008506F2"/>
    <w:rsid w:val="00850CFB"/>
    <w:rsid w:val="008512BB"/>
    <w:rsid w:val="008516D7"/>
    <w:rsid w:val="00851F71"/>
    <w:rsid w:val="00852240"/>
    <w:rsid w:val="00852EAE"/>
    <w:rsid w:val="008537AA"/>
    <w:rsid w:val="00853976"/>
    <w:rsid w:val="00853D16"/>
    <w:rsid w:val="008544E3"/>
    <w:rsid w:val="00854F7F"/>
    <w:rsid w:val="00855130"/>
    <w:rsid w:val="008553B9"/>
    <w:rsid w:val="00855E20"/>
    <w:rsid w:val="00855FE2"/>
    <w:rsid w:val="00856189"/>
    <w:rsid w:val="00856416"/>
    <w:rsid w:val="00856663"/>
    <w:rsid w:val="008574D6"/>
    <w:rsid w:val="00860264"/>
    <w:rsid w:val="00860843"/>
    <w:rsid w:val="0086113B"/>
    <w:rsid w:val="00861B20"/>
    <w:rsid w:val="0086228C"/>
    <w:rsid w:val="008624CA"/>
    <w:rsid w:val="008627A8"/>
    <w:rsid w:val="00862B2D"/>
    <w:rsid w:val="008636FC"/>
    <w:rsid w:val="00863C54"/>
    <w:rsid w:val="00863FA5"/>
    <w:rsid w:val="00865A16"/>
    <w:rsid w:val="00865B0B"/>
    <w:rsid w:val="00866143"/>
    <w:rsid w:val="0086679A"/>
    <w:rsid w:val="00866AD9"/>
    <w:rsid w:val="00866B63"/>
    <w:rsid w:val="00867C13"/>
    <w:rsid w:val="0087096E"/>
    <w:rsid w:val="00870FBF"/>
    <w:rsid w:val="008713C8"/>
    <w:rsid w:val="008717EE"/>
    <w:rsid w:val="008718E8"/>
    <w:rsid w:val="008725AD"/>
    <w:rsid w:val="00873AE5"/>
    <w:rsid w:val="00874010"/>
    <w:rsid w:val="008747B7"/>
    <w:rsid w:val="00875327"/>
    <w:rsid w:val="00875534"/>
    <w:rsid w:val="0087609D"/>
    <w:rsid w:val="008761E6"/>
    <w:rsid w:val="008779E6"/>
    <w:rsid w:val="00880348"/>
    <w:rsid w:val="00881602"/>
    <w:rsid w:val="008818AD"/>
    <w:rsid w:val="00881ACB"/>
    <w:rsid w:val="00881EF1"/>
    <w:rsid w:val="0088251D"/>
    <w:rsid w:val="008829F0"/>
    <w:rsid w:val="00883A94"/>
    <w:rsid w:val="00884002"/>
    <w:rsid w:val="00884356"/>
    <w:rsid w:val="00884735"/>
    <w:rsid w:val="0088499D"/>
    <w:rsid w:val="0088551A"/>
    <w:rsid w:val="00885F25"/>
    <w:rsid w:val="00886769"/>
    <w:rsid w:val="00886A08"/>
    <w:rsid w:val="008877A3"/>
    <w:rsid w:val="00887DFE"/>
    <w:rsid w:val="00891390"/>
    <w:rsid w:val="00891560"/>
    <w:rsid w:val="00892049"/>
    <w:rsid w:val="008929A4"/>
    <w:rsid w:val="00892D14"/>
    <w:rsid w:val="00893B73"/>
    <w:rsid w:val="00893F32"/>
    <w:rsid w:val="00893F81"/>
    <w:rsid w:val="00894862"/>
    <w:rsid w:val="00894B9F"/>
    <w:rsid w:val="00895A87"/>
    <w:rsid w:val="0089624D"/>
    <w:rsid w:val="00896884"/>
    <w:rsid w:val="00896A71"/>
    <w:rsid w:val="00896A85"/>
    <w:rsid w:val="00896C6F"/>
    <w:rsid w:val="00896EC4"/>
    <w:rsid w:val="00896F2D"/>
    <w:rsid w:val="008972CA"/>
    <w:rsid w:val="00897B40"/>
    <w:rsid w:val="008A056D"/>
    <w:rsid w:val="008A08A4"/>
    <w:rsid w:val="008A0D5A"/>
    <w:rsid w:val="008A28FC"/>
    <w:rsid w:val="008A2C02"/>
    <w:rsid w:val="008A3A8F"/>
    <w:rsid w:val="008A3F6C"/>
    <w:rsid w:val="008A5366"/>
    <w:rsid w:val="008A5DC7"/>
    <w:rsid w:val="008A62A8"/>
    <w:rsid w:val="008A65C7"/>
    <w:rsid w:val="008A6DF1"/>
    <w:rsid w:val="008A6ECD"/>
    <w:rsid w:val="008A7135"/>
    <w:rsid w:val="008A7A89"/>
    <w:rsid w:val="008A7BCE"/>
    <w:rsid w:val="008B0072"/>
    <w:rsid w:val="008B0181"/>
    <w:rsid w:val="008B0374"/>
    <w:rsid w:val="008B0666"/>
    <w:rsid w:val="008B08BB"/>
    <w:rsid w:val="008B0A0D"/>
    <w:rsid w:val="008B116D"/>
    <w:rsid w:val="008B1700"/>
    <w:rsid w:val="008B1776"/>
    <w:rsid w:val="008B3775"/>
    <w:rsid w:val="008B3B26"/>
    <w:rsid w:val="008B3B4D"/>
    <w:rsid w:val="008B3B71"/>
    <w:rsid w:val="008B3B9F"/>
    <w:rsid w:val="008B3BFD"/>
    <w:rsid w:val="008B3FD0"/>
    <w:rsid w:val="008B3FE9"/>
    <w:rsid w:val="008B4165"/>
    <w:rsid w:val="008B47CB"/>
    <w:rsid w:val="008B56A7"/>
    <w:rsid w:val="008B5934"/>
    <w:rsid w:val="008B5CAD"/>
    <w:rsid w:val="008B5F7F"/>
    <w:rsid w:val="008B61C6"/>
    <w:rsid w:val="008B66A5"/>
    <w:rsid w:val="008B6A96"/>
    <w:rsid w:val="008B6EA2"/>
    <w:rsid w:val="008B708D"/>
    <w:rsid w:val="008B74D6"/>
    <w:rsid w:val="008B7903"/>
    <w:rsid w:val="008B7D6B"/>
    <w:rsid w:val="008C0B5F"/>
    <w:rsid w:val="008C0D18"/>
    <w:rsid w:val="008C0F08"/>
    <w:rsid w:val="008C0F3F"/>
    <w:rsid w:val="008C0F80"/>
    <w:rsid w:val="008C15EF"/>
    <w:rsid w:val="008C16AD"/>
    <w:rsid w:val="008C17A4"/>
    <w:rsid w:val="008C17FF"/>
    <w:rsid w:val="008C18B3"/>
    <w:rsid w:val="008C2416"/>
    <w:rsid w:val="008C38C9"/>
    <w:rsid w:val="008C3F13"/>
    <w:rsid w:val="008C48F5"/>
    <w:rsid w:val="008C5354"/>
    <w:rsid w:val="008C5A58"/>
    <w:rsid w:val="008C5DC2"/>
    <w:rsid w:val="008C631E"/>
    <w:rsid w:val="008C6FE5"/>
    <w:rsid w:val="008C70EA"/>
    <w:rsid w:val="008C7379"/>
    <w:rsid w:val="008C7485"/>
    <w:rsid w:val="008C7AB3"/>
    <w:rsid w:val="008C7CB9"/>
    <w:rsid w:val="008D094A"/>
    <w:rsid w:val="008D0A32"/>
    <w:rsid w:val="008D0E4A"/>
    <w:rsid w:val="008D0FB1"/>
    <w:rsid w:val="008D119A"/>
    <w:rsid w:val="008D156B"/>
    <w:rsid w:val="008D15A3"/>
    <w:rsid w:val="008D1CBC"/>
    <w:rsid w:val="008D1D8F"/>
    <w:rsid w:val="008D1DA5"/>
    <w:rsid w:val="008D2772"/>
    <w:rsid w:val="008D2EF6"/>
    <w:rsid w:val="008D33AD"/>
    <w:rsid w:val="008D33BA"/>
    <w:rsid w:val="008D351D"/>
    <w:rsid w:val="008D3FD4"/>
    <w:rsid w:val="008D4349"/>
    <w:rsid w:val="008D4810"/>
    <w:rsid w:val="008D57CE"/>
    <w:rsid w:val="008D5DAC"/>
    <w:rsid w:val="008E01E2"/>
    <w:rsid w:val="008E0A64"/>
    <w:rsid w:val="008E0C02"/>
    <w:rsid w:val="008E14AC"/>
    <w:rsid w:val="008E1B2E"/>
    <w:rsid w:val="008E1CF2"/>
    <w:rsid w:val="008E1E9D"/>
    <w:rsid w:val="008E246C"/>
    <w:rsid w:val="008E2C59"/>
    <w:rsid w:val="008E2E86"/>
    <w:rsid w:val="008E31D6"/>
    <w:rsid w:val="008E33DC"/>
    <w:rsid w:val="008E3BFC"/>
    <w:rsid w:val="008E5D6E"/>
    <w:rsid w:val="008E63C9"/>
    <w:rsid w:val="008E6545"/>
    <w:rsid w:val="008E66AC"/>
    <w:rsid w:val="008E70F2"/>
    <w:rsid w:val="008F04F3"/>
    <w:rsid w:val="008F0948"/>
    <w:rsid w:val="008F10E2"/>
    <w:rsid w:val="008F1104"/>
    <w:rsid w:val="008F15A9"/>
    <w:rsid w:val="008F2150"/>
    <w:rsid w:val="008F3223"/>
    <w:rsid w:val="008F34DE"/>
    <w:rsid w:val="008F35AB"/>
    <w:rsid w:val="008F400C"/>
    <w:rsid w:val="008F4363"/>
    <w:rsid w:val="008F49B9"/>
    <w:rsid w:val="008F4BF6"/>
    <w:rsid w:val="008F4F53"/>
    <w:rsid w:val="008F51E4"/>
    <w:rsid w:val="008F54F3"/>
    <w:rsid w:val="008F56BC"/>
    <w:rsid w:val="008F6C0F"/>
    <w:rsid w:val="008F6FA7"/>
    <w:rsid w:val="008F7398"/>
    <w:rsid w:val="008F7457"/>
    <w:rsid w:val="008F7A8D"/>
    <w:rsid w:val="008F7A92"/>
    <w:rsid w:val="0090000B"/>
    <w:rsid w:val="009001D7"/>
    <w:rsid w:val="009006F6"/>
    <w:rsid w:val="00900F58"/>
    <w:rsid w:val="00901592"/>
    <w:rsid w:val="00901A9D"/>
    <w:rsid w:val="009025C4"/>
    <w:rsid w:val="0090277E"/>
    <w:rsid w:val="009027CE"/>
    <w:rsid w:val="00902C04"/>
    <w:rsid w:val="00902D41"/>
    <w:rsid w:val="00903232"/>
    <w:rsid w:val="00903368"/>
    <w:rsid w:val="00903E8B"/>
    <w:rsid w:val="00903E9C"/>
    <w:rsid w:val="00903F66"/>
    <w:rsid w:val="00904562"/>
    <w:rsid w:val="0090469C"/>
    <w:rsid w:val="00905156"/>
    <w:rsid w:val="0090549E"/>
    <w:rsid w:val="00905596"/>
    <w:rsid w:val="00905769"/>
    <w:rsid w:val="00905E2B"/>
    <w:rsid w:val="00906245"/>
    <w:rsid w:val="00906960"/>
    <w:rsid w:val="00906CBB"/>
    <w:rsid w:val="00906D94"/>
    <w:rsid w:val="00906ECD"/>
    <w:rsid w:val="00910718"/>
    <w:rsid w:val="00911036"/>
    <w:rsid w:val="00911497"/>
    <w:rsid w:val="009116F6"/>
    <w:rsid w:val="00911900"/>
    <w:rsid w:val="00911DFA"/>
    <w:rsid w:val="009132D2"/>
    <w:rsid w:val="0091364C"/>
    <w:rsid w:val="009141D7"/>
    <w:rsid w:val="009141FB"/>
    <w:rsid w:val="00914F32"/>
    <w:rsid w:val="0091536F"/>
    <w:rsid w:val="009153C3"/>
    <w:rsid w:val="00915DCB"/>
    <w:rsid w:val="00916344"/>
    <w:rsid w:val="00916497"/>
    <w:rsid w:val="009167E7"/>
    <w:rsid w:val="00916A41"/>
    <w:rsid w:val="00916FD3"/>
    <w:rsid w:val="00917582"/>
    <w:rsid w:val="009179E4"/>
    <w:rsid w:val="00917ABA"/>
    <w:rsid w:val="00917BAD"/>
    <w:rsid w:val="0092008B"/>
    <w:rsid w:val="00920486"/>
    <w:rsid w:val="00920C81"/>
    <w:rsid w:val="0092136E"/>
    <w:rsid w:val="00921804"/>
    <w:rsid w:val="00921F1F"/>
    <w:rsid w:val="009234A2"/>
    <w:rsid w:val="00924E73"/>
    <w:rsid w:val="00924F9C"/>
    <w:rsid w:val="0092574F"/>
    <w:rsid w:val="0092658A"/>
    <w:rsid w:val="00926CE3"/>
    <w:rsid w:val="00926D2B"/>
    <w:rsid w:val="00926F50"/>
    <w:rsid w:val="00926FCE"/>
    <w:rsid w:val="00927094"/>
    <w:rsid w:val="00927226"/>
    <w:rsid w:val="0092732F"/>
    <w:rsid w:val="00927361"/>
    <w:rsid w:val="009276F8"/>
    <w:rsid w:val="0093010C"/>
    <w:rsid w:val="0093096D"/>
    <w:rsid w:val="00930CA6"/>
    <w:rsid w:val="00931627"/>
    <w:rsid w:val="00931AE7"/>
    <w:rsid w:val="00931CD9"/>
    <w:rsid w:val="00933243"/>
    <w:rsid w:val="00933C9A"/>
    <w:rsid w:val="009341FD"/>
    <w:rsid w:val="009350C0"/>
    <w:rsid w:val="00935124"/>
    <w:rsid w:val="0093630B"/>
    <w:rsid w:val="00936541"/>
    <w:rsid w:val="0093685D"/>
    <w:rsid w:val="00936996"/>
    <w:rsid w:val="00937102"/>
    <w:rsid w:val="009378EB"/>
    <w:rsid w:val="00937BD1"/>
    <w:rsid w:val="009408D6"/>
    <w:rsid w:val="00941A6C"/>
    <w:rsid w:val="00942710"/>
    <w:rsid w:val="00942932"/>
    <w:rsid w:val="009432A2"/>
    <w:rsid w:val="0094469A"/>
    <w:rsid w:val="009446E1"/>
    <w:rsid w:val="00945D61"/>
    <w:rsid w:val="00946368"/>
    <w:rsid w:val="00946951"/>
    <w:rsid w:val="00946E52"/>
    <w:rsid w:val="00947BA5"/>
    <w:rsid w:val="00950085"/>
    <w:rsid w:val="00950841"/>
    <w:rsid w:val="00950D65"/>
    <w:rsid w:val="009511AE"/>
    <w:rsid w:val="009519CF"/>
    <w:rsid w:val="00951C5E"/>
    <w:rsid w:val="00951E7E"/>
    <w:rsid w:val="00951E88"/>
    <w:rsid w:val="0095210E"/>
    <w:rsid w:val="0095261B"/>
    <w:rsid w:val="0095335E"/>
    <w:rsid w:val="00954048"/>
    <w:rsid w:val="009545C1"/>
    <w:rsid w:val="00954BA8"/>
    <w:rsid w:val="00954BBE"/>
    <w:rsid w:val="00954DCB"/>
    <w:rsid w:val="0095515B"/>
    <w:rsid w:val="00955700"/>
    <w:rsid w:val="00956299"/>
    <w:rsid w:val="00957533"/>
    <w:rsid w:val="00957B3F"/>
    <w:rsid w:val="0096051D"/>
    <w:rsid w:val="009606D9"/>
    <w:rsid w:val="009608EA"/>
    <w:rsid w:val="0096113C"/>
    <w:rsid w:val="0096150D"/>
    <w:rsid w:val="0096218F"/>
    <w:rsid w:val="0096369D"/>
    <w:rsid w:val="00963F6D"/>
    <w:rsid w:val="009646C0"/>
    <w:rsid w:val="00964AAC"/>
    <w:rsid w:val="00964B7B"/>
    <w:rsid w:val="00965D08"/>
    <w:rsid w:val="00965F5E"/>
    <w:rsid w:val="009666AC"/>
    <w:rsid w:val="009671A1"/>
    <w:rsid w:val="0096751E"/>
    <w:rsid w:val="00967E13"/>
    <w:rsid w:val="00967F31"/>
    <w:rsid w:val="009702C2"/>
    <w:rsid w:val="009703B9"/>
    <w:rsid w:val="00970B92"/>
    <w:rsid w:val="00970E1D"/>
    <w:rsid w:val="00970FC8"/>
    <w:rsid w:val="009717E1"/>
    <w:rsid w:val="009718B8"/>
    <w:rsid w:val="00971B1A"/>
    <w:rsid w:val="00971BDE"/>
    <w:rsid w:val="009720A2"/>
    <w:rsid w:val="00972477"/>
    <w:rsid w:val="00973984"/>
    <w:rsid w:val="009746C9"/>
    <w:rsid w:val="009746F1"/>
    <w:rsid w:val="00974EE2"/>
    <w:rsid w:val="00974F6D"/>
    <w:rsid w:val="00975937"/>
    <w:rsid w:val="00975EF3"/>
    <w:rsid w:val="009761F5"/>
    <w:rsid w:val="00976350"/>
    <w:rsid w:val="009766B5"/>
    <w:rsid w:val="009767A3"/>
    <w:rsid w:val="00976C8F"/>
    <w:rsid w:val="00976FBD"/>
    <w:rsid w:val="009772BD"/>
    <w:rsid w:val="00980100"/>
    <w:rsid w:val="00980384"/>
    <w:rsid w:val="0098051D"/>
    <w:rsid w:val="00980AC4"/>
    <w:rsid w:val="0098157F"/>
    <w:rsid w:val="009815F7"/>
    <w:rsid w:val="009818D2"/>
    <w:rsid w:val="00981C6C"/>
    <w:rsid w:val="00981D44"/>
    <w:rsid w:val="00982C72"/>
    <w:rsid w:val="00983061"/>
    <w:rsid w:val="009830F2"/>
    <w:rsid w:val="0098358E"/>
    <w:rsid w:val="009836EF"/>
    <w:rsid w:val="00983C67"/>
    <w:rsid w:val="0098443D"/>
    <w:rsid w:val="00984CB5"/>
    <w:rsid w:val="009851D9"/>
    <w:rsid w:val="00985203"/>
    <w:rsid w:val="009852DE"/>
    <w:rsid w:val="00985AB6"/>
    <w:rsid w:val="00986639"/>
    <w:rsid w:val="00987191"/>
    <w:rsid w:val="009871A7"/>
    <w:rsid w:val="00990F4A"/>
    <w:rsid w:val="00991316"/>
    <w:rsid w:val="00991F01"/>
    <w:rsid w:val="00991F22"/>
    <w:rsid w:val="009922D5"/>
    <w:rsid w:val="00992796"/>
    <w:rsid w:val="009927B9"/>
    <w:rsid w:val="00992B42"/>
    <w:rsid w:val="00993370"/>
    <w:rsid w:val="00993FEA"/>
    <w:rsid w:val="009940C6"/>
    <w:rsid w:val="00994958"/>
    <w:rsid w:val="009955EE"/>
    <w:rsid w:val="00995A35"/>
    <w:rsid w:val="00995D6D"/>
    <w:rsid w:val="00996239"/>
    <w:rsid w:val="00996EFA"/>
    <w:rsid w:val="00997A12"/>
    <w:rsid w:val="00997A9E"/>
    <w:rsid w:val="00997CE6"/>
    <w:rsid w:val="009A0569"/>
    <w:rsid w:val="009A0639"/>
    <w:rsid w:val="009A0864"/>
    <w:rsid w:val="009A0E6D"/>
    <w:rsid w:val="009A1082"/>
    <w:rsid w:val="009A261B"/>
    <w:rsid w:val="009A3254"/>
    <w:rsid w:val="009A3268"/>
    <w:rsid w:val="009A36FE"/>
    <w:rsid w:val="009A3814"/>
    <w:rsid w:val="009A3A9A"/>
    <w:rsid w:val="009A3C19"/>
    <w:rsid w:val="009A3F2E"/>
    <w:rsid w:val="009A3FEB"/>
    <w:rsid w:val="009A41FC"/>
    <w:rsid w:val="009A4692"/>
    <w:rsid w:val="009A4E35"/>
    <w:rsid w:val="009A4F1E"/>
    <w:rsid w:val="009A54D2"/>
    <w:rsid w:val="009A557D"/>
    <w:rsid w:val="009A5A78"/>
    <w:rsid w:val="009A6D32"/>
    <w:rsid w:val="009A6E37"/>
    <w:rsid w:val="009A6EC6"/>
    <w:rsid w:val="009A741C"/>
    <w:rsid w:val="009A760C"/>
    <w:rsid w:val="009B0359"/>
    <w:rsid w:val="009B0BC3"/>
    <w:rsid w:val="009B133A"/>
    <w:rsid w:val="009B169D"/>
    <w:rsid w:val="009B1D9F"/>
    <w:rsid w:val="009B2A1D"/>
    <w:rsid w:val="009B35A3"/>
    <w:rsid w:val="009B3E90"/>
    <w:rsid w:val="009B4A25"/>
    <w:rsid w:val="009B4B4D"/>
    <w:rsid w:val="009B4DCA"/>
    <w:rsid w:val="009B4DEF"/>
    <w:rsid w:val="009B52D4"/>
    <w:rsid w:val="009B543C"/>
    <w:rsid w:val="009B5908"/>
    <w:rsid w:val="009B5C33"/>
    <w:rsid w:val="009B63AF"/>
    <w:rsid w:val="009B65F6"/>
    <w:rsid w:val="009B70F9"/>
    <w:rsid w:val="009B7780"/>
    <w:rsid w:val="009C01BB"/>
    <w:rsid w:val="009C0799"/>
    <w:rsid w:val="009C0DCC"/>
    <w:rsid w:val="009C1809"/>
    <w:rsid w:val="009C1BC3"/>
    <w:rsid w:val="009C2E14"/>
    <w:rsid w:val="009C4060"/>
    <w:rsid w:val="009C528B"/>
    <w:rsid w:val="009C5713"/>
    <w:rsid w:val="009C5907"/>
    <w:rsid w:val="009C5C13"/>
    <w:rsid w:val="009C6036"/>
    <w:rsid w:val="009C6058"/>
    <w:rsid w:val="009C61DE"/>
    <w:rsid w:val="009C633E"/>
    <w:rsid w:val="009C7159"/>
    <w:rsid w:val="009C731B"/>
    <w:rsid w:val="009C7992"/>
    <w:rsid w:val="009C7B06"/>
    <w:rsid w:val="009D063D"/>
    <w:rsid w:val="009D0A54"/>
    <w:rsid w:val="009D2409"/>
    <w:rsid w:val="009D26E4"/>
    <w:rsid w:val="009D33A1"/>
    <w:rsid w:val="009D377E"/>
    <w:rsid w:val="009D3C0B"/>
    <w:rsid w:val="009D631C"/>
    <w:rsid w:val="009D65E3"/>
    <w:rsid w:val="009D6EF2"/>
    <w:rsid w:val="009D734A"/>
    <w:rsid w:val="009D75A9"/>
    <w:rsid w:val="009E067D"/>
    <w:rsid w:val="009E0C97"/>
    <w:rsid w:val="009E10BA"/>
    <w:rsid w:val="009E12A0"/>
    <w:rsid w:val="009E12F8"/>
    <w:rsid w:val="009E1BBC"/>
    <w:rsid w:val="009E23D1"/>
    <w:rsid w:val="009E2B34"/>
    <w:rsid w:val="009E4819"/>
    <w:rsid w:val="009E4FBD"/>
    <w:rsid w:val="009E5007"/>
    <w:rsid w:val="009E50C5"/>
    <w:rsid w:val="009E55FC"/>
    <w:rsid w:val="009E6279"/>
    <w:rsid w:val="009E7E0F"/>
    <w:rsid w:val="009F0004"/>
    <w:rsid w:val="009F0393"/>
    <w:rsid w:val="009F1121"/>
    <w:rsid w:val="009F1988"/>
    <w:rsid w:val="009F19AC"/>
    <w:rsid w:val="009F1C89"/>
    <w:rsid w:val="009F1EDF"/>
    <w:rsid w:val="009F2261"/>
    <w:rsid w:val="009F239C"/>
    <w:rsid w:val="009F250B"/>
    <w:rsid w:val="009F28C6"/>
    <w:rsid w:val="009F2973"/>
    <w:rsid w:val="009F2B81"/>
    <w:rsid w:val="009F2C6E"/>
    <w:rsid w:val="009F2D16"/>
    <w:rsid w:val="009F3897"/>
    <w:rsid w:val="009F3ACC"/>
    <w:rsid w:val="009F3DED"/>
    <w:rsid w:val="009F52A5"/>
    <w:rsid w:val="009F5301"/>
    <w:rsid w:val="009F544C"/>
    <w:rsid w:val="009F569D"/>
    <w:rsid w:val="009F6363"/>
    <w:rsid w:val="009F6580"/>
    <w:rsid w:val="009F7E76"/>
    <w:rsid w:val="00A00B6E"/>
    <w:rsid w:val="00A01B92"/>
    <w:rsid w:val="00A01CCE"/>
    <w:rsid w:val="00A01CD1"/>
    <w:rsid w:val="00A0214A"/>
    <w:rsid w:val="00A02701"/>
    <w:rsid w:val="00A02F8A"/>
    <w:rsid w:val="00A039C8"/>
    <w:rsid w:val="00A03B95"/>
    <w:rsid w:val="00A0426E"/>
    <w:rsid w:val="00A0467C"/>
    <w:rsid w:val="00A047A8"/>
    <w:rsid w:val="00A05014"/>
    <w:rsid w:val="00A05101"/>
    <w:rsid w:val="00A07199"/>
    <w:rsid w:val="00A10619"/>
    <w:rsid w:val="00A106F5"/>
    <w:rsid w:val="00A10AA5"/>
    <w:rsid w:val="00A10F39"/>
    <w:rsid w:val="00A11283"/>
    <w:rsid w:val="00A112E9"/>
    <w:rsid w:val="00A117F5"/>
    <w:rsid w:val="00A11ED8"/>
    <w:rsid w:val="00A11F19"/>
    <w:rsid w:val="00A1253F"/>
    <w:rsid w:val="00A12CE1"/>
    <w:rsid w:val="00A133FC"/>
    <w:rsid w:val="00A13EB5"/>
    <w:rsid w:val="00A14007"/>
    <w:rsid w:val="00A143B5"/>
    <w:rsid w:val="00A1492A"/>
    <w:rsid w:val="00A14E42"/>
    <w:rsid w:val="00A14E75"/>
    <w:rsid w:val="00A15202"/>
    <w:rsid w:val="00A152BD"/>
    <w:rsid w:val="00A158E3"/>
    <w:rsid w:val="00A16377"/>
    <w:rsid w:val="00A16511"/>
    <w:rsid w:val="00A16AAE"/>
    <w:rsid w:val="00A17636"/>
    <w:rsid w:val="00A178AB"/>
    <w:rsid w:val="00A179F2"/>
    <w:rsid w:val="00A17FAE"/>
    <w:rsid w:val="00A2038A"/>
    <w:rsid w:val="00A2038E"/>
    <w:rsid w:val="00A20C19"/>
    <w:rsid w:val="00A21530"/>
    <w:rsid w:val="00A21778"/>
    <w:rsid w:val="00A217FC"/>
    <w:rsid w:val="00A21B69"/>
    <w:rsid w:val="00A21DEC"/>
    <w:rsid w:val="00A22037"/>
    <w:rsid w:val="00A22989"/>
    <w:rsid w:val="00A2359C"/>
    <w:rsid w:val="00A237E6"/>
    <w:rsid w:val="00A23E62"/>
    <w:rsid w:val="00A247E8"/>
    <w:rsid w:val="00A24A63"/>
    <w:rsid w:val="00A24EF7"/>
    <w:rsid w:val="00A24F2C"/>
    <w:rsid w:val="00A25846"/>
    <w:rsid w:val="00A25ECA"/>
    <w:rsid w:val="00A26486"/>
    <w:rsid w:val="00A26FE5"/>
    <w:rsid w:val="00A30440"/>
    <w:rsid w:val="00A30754"/>
    <w:rsid w:val="00A30EC4"/>
    <w:rsid w:val="00A31C79"/>
    <w:rsid w:val="00A31E2B"/>
    <w:rsid w:val="00A32920"/>
    <w:rsid w:val="00A32D78"/>
    <w:rsid w:val="00A33C0B"/>
    <w:rsid w:val="00A33E07"/>
    <w:rsid w:val="00A3405F"/>
    <w:rsid w:val="00A340C2"/>
    <w:rsid w:val="00A34DA6"/>
    <w:rsid w:val="00A34DCB"/>
    <w:rsid w:val="00A34F90"/>
    <w:rsid w:val="00A3546E"/>
    <w:rsid w:val="00A35B5D"/>
    <w:rsid w:val="00A35EA6"/>
    <w:rsid w:val="00A3642D"/>
    <w:rsid w:val="00A36430"/>
    <w:rsid w:val="00A3662E"/>
    <w:rsid w:val="00A36B2B"/>
    <w:rsid w:val="00A36EB8"/>
    <w:rsid w:val="00A40364"/>
    <w:rsid w:val="00A40521"/>
    <w:rsid w:val="00A410E8"/>
    <w:rsid w:val="00A4172C"/>
    <w:rsid w:val="00A42408"/>
    <w:rsid w:val="00A4271B"/>
    <w:rsid w:val="00A427D2"/>
    <w:rsid w:val="00A42ED4"/>
    <w:rsid w:val="00A43167"/>
    <w:rsid w:val="00A449EF"/>
    <w:rsid w:val="00A45A16"/>
    <w:rsid w:val="00A45BCE"/>
    <w:rsid w:val="00A461AB"/>
    <w:rsid w:val="00A46BAD"/>
    <w:rsid w:val="00A46BCE"/>
    <w:rsid w:val="00A4771F"/>
    <w:rsid w:val="00A47819"/>
    <w:rsid w:val="00A47856"/>
    <w:rsid w:val="00A502C2"/>
    <w:rsid w:val="00A5060F"/>
    <w:rsid w:val="00A50E20"/>
    <w:rsid w:val="00A50E51"/>
    <w:rsid w:val="00A5168A"/>
    <w:rsid w:val="00A519CC"/>
    <w:rsid w:val="00A51BD3"/>
    <w:rsid w:val="00A522B3"/>
    <w:rsid w:val="00A522DB"/>
    <w:rsid w:val="00A52824"/>
    <w:rsid w:val="00A5285C"/>
    <w:rsid w:val="00A52A75"/>
    <w:rsid w:val="00A52B0B"/>
    <w:rsid w:val="00A53E14"/>
    <w:rsid w:val="00A53EAB"/>
    <w:rsid w:val="00A54176"/>
    <w:rsid w:val="00A544BF"/>
    <w:rsid w:val="00A54B13"/>
    <w:rsid w:val="00A55822"/>
    <w:rsid w:val="00A55CCD"/>
    <w:rsid w:val="00A55D9D"/>
    <w:rsid w:val="00A55EA9"/>
    <w:rsid w:val="00A56084"/>
    <w:rsid w:val="00A57833"/>
    <w:rsid w:val="00A57C9D"/>
    <w:rsid w:val="00A60847"/>
    <w:rsid w:val="00A60F4F"/>
    <w:rsid w:val="00A61063"/>
    <w:rsid w:val="00A62DC0"/>
    <w:rsid w:val="00A63A82"/>
    <w:rsid w:val="00A643D2"/>
    <w:rsid w:val="00A6444F"/>
    <w:rsid w:val="00A64D2B"/>
    <w:rsid w:val="00A65340"/>
    <w:rsid w:val="00A658F0"/>
    <w:rsid w:val="00A65E82"/>
    <w:rsid w:val="00A65FCC"/>
    <w:rsid w:val="00A66C2D"/>
    <w:rsid w:val="00A66E3F"/>
    <w:rsid w:val="00A67570"/>
    <w:rsid w:val="00A67CC6"/>
    <w:rsid w:val="00A67F89"/>
    <w:rsid w:val="00A70406"/>
    <w:rsid w:val="00A710C8"/>
    <w:rsid w:val="00A7152A"/>
    <w:rsid w:val="00A726A2"/>
    <w:rsid w:val="00A72961"/>
    <w:rsid w:val="00A72C73"/>
    <w:rsid w:val="00A72DEA"/>
    <w:rsid w:val="00A730DB"/>
    <w:rsid w:val="00A735E1"/>
    <w:rsid w:val="00A74184"/>
    <w:rsid w:val="00A74EA5"/>
    <w:rsid w:val="00A7504F"/>
    <w:rsid w:val="00A75949"/>
    <w:rsid w:val="00A75E19"/>
    <w:rsid w:val="00A7647E"/>
    <w:rsid w:val="00A76AF1"/>
    <w:rsid w:val="00A76C87"/>
    <w:rsid w:val="00A76E4C"/>
    <w:rsid w:val="00A77B3B"/>
    <w:rsid w:val="00A77BA1"/>
    <w:rsid w:val="00A804C5"/>
    <w:rsid w:val="00A80628"/>
    <w:rsid w:val="00A80EED"/>
    <w:rsid w:val="00A80F3E"/>
    <w:rsid w:val="00A81716"/>
    <w:rsid w:val="00A818A9"/>
    <w:rsid w:val="00A81BDE"/>
    <w:rsid w:val="00A82437"/>
    <w:rsid w:val="00A82611"/>
    <w:rsid w:val="00A82F66"/>
    <w:rsid w:val="00A83200"/>
    <w:rsid w:val="00A83524"/>
    <w:rsid w:val="00A8380E"/>
    <w:rsid w:val="00A8497C"/>
    <w:rsid w:val="00A84A7F"/>
    <w:rsid w:val="00A84EC7"/>
    <w:rsid w:val="00A84FD9"/>
    <w:rsid w:val="00A850FA"/>
    <w:rsid w:val="00A8617A"/>
    <w:rsid w:val="00A866E3"/>
    <w:rsid w:val="00A86B25"/>
    <w:rsid w:val="00A86C75"/>
    <w:rsid w:val="00A8763D"/>
    <w:rsid w:val="00A87901"/>
    <w:rsid w:val="00A9053A"/>
    <w:rsid w:val="00A90C93"/>
    <w:rsid w:val="00A913CD"/>
    <w:rsid w:val="00A92169"/>
    <w:rsid w:val="00A931F8"/>
    <w:rsid w:val="00A933ED"/>
    <w:rsid w:val="00A93F58"/>
    <w:rsid w:val="00A942D3"/>
    <w:rsid w:val="00A94BE5"/>
    <w:rsid w:val="00A956E4"/>
    <w:rsid w:val="00A95C3B"/>
    <w:rsid w:val="00A95D0C"/>
    <w:rsid w:val="00A97456"/>
    <w:rsid w:val="00A97BA5"/>
    <w:rsid w:val="00A97D35"/>
    <w:rsid w:val="00A97D36"/>
    <w:rsid w:val="00AA000D"/>
    <w:rsid w:val="00AA079A"/>
    <w:rsid w:val="00AA0E62"/>
    <w:rsid w:val="00AA0EE0"/>
    <w:rsid w:val="00AA124D"/>
    <w:rsid w:val="00AA133D"/>
    <w:rsid w:val="00AA13B3"/>
    <w:rsid w:val="00AA24C5"/>
    <w:rsid w:val="00AA2592"/>
    <w:rsid w:val="00AA2FA2"/>
    <w:rsid w:val="00AA3A95"/>
    <w:rsid w:val="00AA3B47"/>
    <w:rsid w:val="00AA49EE"/>
    <w:rsid w:val="00AA4A09"/>
    <w:rsid w:val="00AA53FE"/>
    <w:rsid w:val="00AA557F"/>
    <w:rsid w:val="00AA57B2"/>
    <w:rsid w:val="00AA7F28"/>
    <w:rsid w:val="00AA7F3B"/>
    <w:rsid w:val="00AB00C7"/>
    <w:rsid w:val="00AB0806"/>
    <w:rsid w:val="00AB1BA1"/>
    <w:rsid w:val="00AB23B4"/>
    <w:rsid w:val="00AB2B91"/>
    <w:rsid w:val="00AB2F57"/>
    <w:rsid w:val="00AB3768"/>
    <w:rsid w:val="00AB39D5"/>
    <w:rsid w:val="00AB42E2"/>
    <w:rsid w:val="00AB4408"/>
    <w:rsid w:val="00AB4550"/>
    <w:rsid w:val="00AB5851"/>
    <w:rsid w:val="00AB5A24"/>
    <w:rsid w:val="00AB5C48"/>
    <w:rsid w:val="00AB60DC"/>
    <w:rsid w:val="00AB66C9"/>
    <w:rsid w:val="00AB7167"/>
    <w:rsid w:val="00AB76A8"/>
    <w:rsid w:val="00AB78E8"/>
    <w:rsid w:val="00AB7ACE"/>
    <w:rsid w:val="00AC0385"/>
    <w:rsid w:val="00AC1746"/>
    <w:rsid w:val="00AC1DB2"/>
    <w:rsid w:val="00AC29A0"/>
    <w:rsid w:val="00AC2ADD"/>
    <w:rsid w:val="00AC2E87"/>
    <w:rsid w:val="00AC2E88"/>
    <w:rsid w:val="00AC36B5"/>
    <w:rsid w:val="00AC3DFE"/>
    <w:rsid w:val="00AC400F"/>
    <w:rsid w:val="00AC4185"/>
    <w:rsid w:val="00AC41A7"/>
    <w:rsid w:val="00AC4323"/>
    <w:rsid w:val="00AC4564"/>
    <w:rsid w:val="00AC4D53"/>
    <w:rsid w:val="00AC5C6D"/>
    <w:rsid w:val="00AC5E1D"/>
    <w:rsid w:val="00AC5F8B"/>
    <w:rsid w:val="00AC621B"/>
    <w:rsid w:val="00AC6C37"/>
    <w:rsid w:val="00AC7217"/>
    <w:rsid w:val="00AD0756"/>
    <w:rsid w:val="00AD07A2"/>
    <w:rsid w:val="00AD125A"/>
    <w:rsid w:val="00AD1940"/>
    <w:rsid w:val="00AD1BF2"/>
    <w:rsid w:val="00AD1DBD"/>
    <w:rsid w:val="00AD2138"/>
    <w:rsid w:val="00AD2216"/>
    <w:rsid w:val="00AD246C"/>
    <w:rsid w:val="00AD27EB"/>
    <w:rsid w:val="00AD3927"/>
    <w:rsid w:val="00AD491B"/>
    <w:rsid w:val="00AD6AA3"/>
    <w:rsid w:val="00AD750A"/>
    <w:rsid w:val="00AD7908"/>
    <w:rsid w:val="00AD7A8E"/>
    <w:rsid w:val="00AD7EA6"/>
    <w:rsid w:val="00AE036F"/>
    <w:rsid w:val="00AE14A0"/>
    <w:rsid w:val="00AE1526"/>
    <w:rsid w:val="00AE1B54"/>
    <w:rsid w:val="00AE2135"/>
    <w:rsid w:val="00AE2594"/>
    <w:rsid w:val="00AE3952"/>
    <w:rsid w:val="00AE43DE"/>
    <w:rsid w:val="00AE4F54"/>
    <w:rsid w:val="00AE5212"/>
    <w:rsid w:val="00AE5EDE"/>
    <w:rsid w:val="00AE614C"/>
    <w:rsid w:val="00AE62EF"/>
    <w:rsid w:val="00AE7862"/>
    <w:rsid w:val="00AE7C80"/>
    <w:rsid w:val="00AF0801"/>
    <w:rsid w:val="00AF0A9F"/>
    <w:rsid w:val="00AF0EC5"/>
    <w:rsid w:val="00AF1A71"/>
    <w:rsid w:val="00AF2512"/>
    <w:rsid w:val="00AF2514"/>
    <w:rsid w:val="00AF2529"/>
    <w:rsid w:val="00AF2D84"/>
    <w:rsid w:val="00AF4526"/>
    <w:rsid w:val="00AF51AC"/>
    <w:rsid w:val="00AF5EA4"/>
    <w:rsid w:val="00AF6666"/>
    <w:rsid w:val="00AF6A1E"/>
    <w:rsid w:val="00AF6DC1"/>
    <w:rsid w:val="00AF7191"/>
    <w:rsid w:val="00AF7277"/>
    <w:rsid w:val="00AF7333"/>
    <w:rsid w:val="00AF73B2"/>
    <w:rsid w:val="00AF7BE6"/>
    <w:rsid w:val="00AF7DB5"/>
    <w:rsid w:val="00B0052B"/>
    <w:rsid w:val="00B013F1"/>
    <w:rsid w:val="00B014D3"/>
    <w:rsid w:val="00B01F3B"/>
    <w:rsid w:val="00B023A8"/>
    <w:rsid w:val="00B027B1"/>
    <w:rsid w:val="00B035FD"/>
    <w:rsid w:val="00B03DC1"/>
    <w:rsid w:val="00B048BD"/>
    <w:rsid w:val="00B04D4F"/>
    <w:rsid w:val="00B04ECB"/>
    <w:rsid w:val="00B05986"/>
    <w:rsid w:val="00B0691B"/>
    <w:rsid w:val="00B06C95"/>
    <w:rsid w:val="00B073AE"/>
    <w:rsid w:val="00B10799"/>
    <w:rsid w:val="00B10809"/>
    <w:rsid w:val="00B113E3"/>
    <w:rsid w:val="00B11670"/>
    <w:rsid w:val="00B117CF"/>
    <w:rsid w:val="00B12320"/>
    <w:rsid w:val="00B12591"/>
    <w:rsid w:val="00B1314F"/>
    <w:rsid w:val="00B138BF"/>
    <w:rsid w:val="00B13B03"/>
    <w:rsid w:val="00B13B5B"/>
    <w:rsid w:val="00B13C2D"/>
    <w:rsid w:val="00B14362"/>
    <w:rsid w:val="00B1470D"/>
    <w:rsid w:val="00B149A6"/>
    <w:rsid w:val="00B14B91"/>
    <w:rsid w:val="00B153DF"/>
    <w:rsid w:val="00B15E3B"/>
    <w:rsid w:val="00B15F1E"/>
    <w:rsid w:val="00B162B7"/>
    <w:rsid w:val="00B16458"/>
    <w:rsid w:val="00B16D39"/>
    <w:rsid w:val="00B17A30"/>
    <w:rsid w:val="00B17DFC"/>
    <w:rsid w:val="00B20639"/>
    <w:rsid w:val="00B20A59"/>
    <w:rsid w:val="00B20F74"/>
    <w:rsid w:val="00B2107C"/>
    <w:rsid w:val="00B21819"/>
    <w:rsid w:val="00B21AEB"/>
    <w:rsid w:val="00B21D5E"/>
    <w:rsid w:val="00B22053"/>
    <w:rsid w:val="00B22530"/>
    <w:rsid w:val="00B22C8F"/>
    <w:rsid w:val="00B22CC2"/>
    <w:rsid w:val="00B22F95"/>
    <w:rsid w:val="00B23533"/>
    <w:rsid w:val="00B23BB2"/>
    <w:rsid w:val="00B2483B"/>
    <w:rsid w:val="00B24E8F"/>
    <w:rsid w:val="00B253DE"/>
    <w:rsid w:val="00B25469"/>
    <w:rsid w:val="00B258EC"/>
    <w:rsid w:val="00B25CEF"/>
    <w:rsid w:val="00B25D69"/>
    <w:rsid w:val="00B267DB"/>
    <w:rsid w:val="00B27131"/>
    <w:rsid w:val="00B27C95"/>
    <w:rsid w:val="00B30644"/>
    <w:rsid w:val="00B3065E"/>
    <w:rsid w:val="00B30FD8"/>
    <w:rsid w:val="00B31072"/>
    <w:rsid w:val="00B31520"/>
    <w:rsid w:val="00B3178A"/>
    <w:rsid w:val="00B32F7B"/>
    <w:rsid w:val="00B33510"/>
    <w:rsid w:val="00B33576"/>
    <w:rsid w:val="00B3382B"/>
    <w:rsid w:val="00B33D2F"/>
    <w:rsid w:val="00B33E71"/>
    <w:rsid w:val="00B34365"/>
    <w:rsid w:val="00B34998"/>
    <w:rsid w:val="00B34A72"/>
    <w:rsid w:val="00B34B13"/>
    <w:rsid w:val="00B355BC"/>
    <w:rsid w:val="00B35D6D"/>
    <w:rsid w:val="00B36895"/>
    <w:rsid w:val="00B36AD4"/>
    <w:rsid w:val="00B36CFF"/>
    <w:rsid w:val="00B373C3"/>
    <w:rsid w:val="00B37680"/>
    <w:rsid w:val="00B37873"/>
    <w:rsid w:val="00B402F9"/>
    <w:rsid w:val="00B4052D"/>
    <w:rsid w:val="00B40581"/>
    <w:rsid w:val="00B405F5"/>
    <w:rsid w:val="00B40C03"/>
    <w:rsid w:val="00B41070"/>
    <w:rsid w:val="00B4158D"/>
    <w:rsid w:val="00B4208B"/>
    <w:rsid w:val="00B420B0"/>
    <w:rsid w:val="00B4293D"/>
    <w:rsid w:val="00B42972"/>
    <w:rsid w:val="00B42AE3"/>
    <w:rsid w:val="00B42C37"/>
    <w:rsid w:val="00B4351A"/>
    <w:rsid w:val="00B43572"/>
    <w:rsid w:val="00B43BF1"/>
    <w:rsid w:val="00B43C9D"/>
    <w:rsid w:val="00B4477B"/>
    <w:rsid w:val="00B455B0"/>
    <w:rsid w:val="00B4563E"/>
    <w:rsid w:val="00B457F1"/>
    <w:rsid w:val="00B45C90"/>
    <w:rsid w:val="00B45EB3"/>
    <w:rsid w:val="00B4607A"/>
    <w:rsid w:val="00B46ADB"/>
    <w:rsid w:val="00B47407"/>
    <w:rsid w:val="00B47475"/>
    <w:rsid w:val="00B50E75"/>
    <w:rsid w:val="00B512C9"/>
    <w:rsid w:val="00B512F7"/>
    <w:rsid w:val="00B51A96"/>
    <w:rsid w:val="00B520B2"/>
    <w:rsid w:val="00B522B9"/>
    <w:rsid w:val="00B5268B"/>
    <w:rsid w:val="00B52962"/>
    <w:rsid w:val="00B5339F"/>
    <w:rsid w:val="00B53B85"/>
    <w:rsid w:val="00B53DB4"/>
    <w:rsid w:val="00B53E66"/>
    <w:rsid w:val="00B53F84"/>
    <w:rsid w:val="00B53FEE"/>
    <w:rsid w:val="00B542D1"/>
    <w:rsid w:val="00B54327"/>
    <w:rsid w:val="00B54B6D"/>
    <w:rsid w:val="00B554C3"/>
    <w:rsid w:val="00B570D7"/>
    <w:rsid w:val="00B5733F"/>
    <w:rsid w:val="00B57508"/>
    <w:rsid w:val="00B576C7"/>
    <w:rsid w:val="00B57C9A"/>
    <w:rsid w:val="00B57CBD"/>
    <w:rsid w:val="00B60422"/>
    <w:rsid w:val="00B60F11"/>
    <w:rsid w:val="00B61486"/>
    <w:rsid w:val="00B61741"/>
    <w:rsid w:val="00B617A3"/>
    <w:rsid w:val="00B619D9"/>
    <w:rsid w:val="00B61A73"/>
    <w:rsid w:val="00B620F7"/>
    <w:rsid w:val="00B62149"/>
    <w:rsid w:val="00B62513"/>
    <w:rsid w:val="00B62717"/>
    <w:rsid w:val="00B62BA6"/>
    <w:rsid w:val="00B6449C"/>
    <w:rsid w:val="00B64646"/>
    <w:rsid w:val="00B64D9A"/>
    <w:rsid w:val="00B6562D"/>
    <w:rsid w:val="00B657FA"/>
    <w:rsid w:val="00B65C79"/>
    <w:rsid w:val="00B66765"/>
    <w:rsid w:val="00B66881"/>
    <w:rsid w:val="00B66C92"/>
    <w:rsid w:val="00B66FD2"/>
    <w:rsid w:val="00B6710D"/>
    <w:rsid w:val="00B70358"/>
    <w:rsid w:val="00B70AB3"/>
    <w:rsid w:val="00B71770"/>
    <w:rsid w:val="00B7178B"/>
    <w:rsid w:val="00B71820"/>
    <w:rsid w:val="00B7184B"/>
    <w:rsid w:val="00B71863"/>
    <w:rsid w:val="00B71A1F"/>
    <w:rsid w:val="00B71A6F"/>
    <w:rsid w:val="00B71B3F"/>
    <w:rsid w:val="00B71DA4"/>
    <w:rsid w:val="00B72533"/>
    <w:rsid w:val="00B72701"/>
    <w:rsid w:val="00B72BCE"/>
    <w:rsid w:val="00B73452"/>
    <w:rsid w:val="00B73953"/>
    <w:rsid w:val="00B74824"/>
    <w:rsid w:val="00B74D1D"/>
    <w:rsid w:val="00B75139"/>
    <w:rsid w:val="00B7543B"/>
    <w:rsid w:val="00B757A5"/>
    <w:rsid w:val="00B760B2"/>
    <w:rsid w:val="00B76202"/>
    <w:rsid w:val="00B76433"/>
    <w:rsid w:val="00B768CA"/>
    <w:rsid w:val="00B80466"/>
    <w:rsid w:val="00B807DA"/>
    <w:rsid w:val="00B8095A"/>
    <w:rsid w:val="00B810DA"/>
    <w:rsid w:val="00B81265"/>
    <w:rsid w:val="00B81B44"/>
    <w:rsid w:val="00B81F89"/>
    <w:rsid w:val="00B8218C"/>
    <w:rsid w:val="00B8272B"/>
    <w:rsid w:val="00B828E4"/>
    <w:rsid w:val="00B83F01"/>
    <w:rsid w:val="00B84156"/>
    <w:rsid w:val="00B84195"/>
    <w:rsid w:val="00B84252"/>
    <w:rsid w:val="00B84C2F"/>
    <w:rsid w:val="00B84EC0"/>
    <w:rsid w:val="00B85C50"/>
    <w:rsid w:val="00B85FB1"/>
    <w:rsid w:val="00B86242"/>
    <w:rsid w:val="00B864D0"/>
    <w:rsid w:val="00B868E0"/>
    <w:rsid w:val="00B87276"/>
    <w:rsid w:val="00B8769B"/>
    <w:rsid w:val="00B8774B"/>
    <w:rsid w:val="00B9029B"/>
    <w:rsid w:val="00B90448"/>
    <w:rsid w:val="00B905BD"/>
    <w:rsid w:val="00B913D9"/>
    <w:rsid w:val="00B91488"/>
    <w:rsid w:val="00B915F7"/>
    <w:rsid w:val="00B91B26"/>
    <w:rsid w:val="00B91BEF"/>
    <w:rsid w:val="00B92B02"/>
    <w:rsid w:val="00B92E7C"/>
    <w:rsid w:val="00B93B49"/>
    <w:rsid w:val="00B94256"/>
    <w:rsid w:val="00B943A7"/>
    <w:rsid w:val="00B95196"/>
    <w:rsid w:val="00B95390"/>
    <w:rsid w:val="00B95440"/>
    <w:rsid w:val="00B96742"/>
    <w:rsid w:val="00B969C3"/>
    <w:rsid w:val="00B970C8"/>
    <w:rsid w:val="00B9742A"/>
    <w:rsid w:val="00BA025C"/>
    <w:rsid w:val="00BA0270"/>
    <w:rsid w:val="00BA0802"/>
    <w:rsid w:val="00BA0D72"/>
    <w:rsid w:val="00BA0E67"/>
    <w:rsid w:val="00BA1776"/>
    <w:rsid w:val="00BA234B"/>
    <w:rsid w:val="00BA2579"/>
    <w:rsid w:val="00BA2BB5"/>
    <w:rsid w:val="00BA2C94"/>
    <w:rsid w:val="00BA2D5F"/>
    <w:rsid w:val="00BA2E5A"/>
    <w:rsid w:val="00BA35D4"/>
    <w:rsid w:val="00BA3A5F"/>
    <w:rsid w:val="00BA4253"/>
    <w:rsid w:val="00BA42E7"/>
    <w:rsid w:val="00BA4439"/>
    <w:rsid w:val="00BA46E9"/>
    <w:rsid w:val="00BA5067"/>
    <w:rsid w:val="00BA557B"/>
    <w:rsid w:val="00BA58B1"/>
    <w:rsid w:val="00BA6F5F"/>
    <w:rsid w:val="00BA7AE9"/>
    <w:rsid w:val="00BB040C"/>
    <w:rsid w:val="00BB077F"/>
    <w:rsid w:val="00BB10E5"/>
    <w:rsid w:val="00BB1727"/>
    <w:rsid w:val="00BB22B7"/>
    <w:rsid w:val="00BB2612"/>
    <w:rsid w:val="00BB27B8"/>
    <w:rsid w:val="00BB34A1"/>
    <w:rsid w:val="00BB34D2"/>
    <w:rsid w:val="00BB379F"/>
    <w:rsid w:val="00BB4509"/>
    <w:rsid w:val="00BB4631"/>
    <w:rsid w:val="00BB4F2C"/>
    <w:rsid w:val="00BB5310"/>
    <w:rsid w:val="00BB5FCF"/>
    <w:rsid w:val="00BB616A"/>
    <w:rsid w:val="00BB6A7D"/>
    <w:rsid w:val="00BB6B4B"/>
    <w:rsid w:val="00BB6F1B"/>
    <w:rsid w:val="00BB7049"/>
    <w:rsid w:val="00BC1B4A"/>
    <w:rsid w:val="00BC2499"/>
    <w:rsid w:val="00BC2534"/>
    <w:rsid w:val="00BC292F"/>
    <w:rsid w:val="00BC2CF5"/>
    <w:rsid w:val="00BC30C0"/>
    <w:rsid w:val="00BC34E0"/>
    <w:rsid w:val="00BC4DC7"/>
    <w:rsid w:val="00BC5254"/>
    <w:rsid w:val="00BC5572"/>
    <w:rsid w:val="00BC6249"/>
    <w:rsid w:val="00BC6845"/>
    <w:rsid w:val="00BC6885"/>
    <w:rsid w:val="00BC69D7"/>
    <w:rsid w:val="00BC6A1C"/>
    <w:rsid w:val="00BC7008"/>
    <w:rsid w:val="00BC787A"/>
    <w:rsid w:val="00BC7C22"/>
    <w:rsid w:val="00BD0E3A"/>
    <w:rsid w:val="00BD0EE2"/>
    <w:rsid w:val="00BD104C"/>
    <w:rsid w:val="00BD1163"/>
    <w:rsid w:val="00BD149E"/>
    <w:rsid w:val="00BD190F"/>
    <w:rsid w:val="00BD2340"/>
    <w:rsid w:val="00BD24E3"/>
    <w:rsid w:val="00BD25DF"/>
    <w:rsid w:val="00BD2D73"/>
    <w:rsid w:val="00BD34D4"/>
    <w:rsid w:val="00BD350E"/>
    <w:rsid w:val="00BD38F4"/>
    <w:rsid w:val="00BD42E5"/>
    <w:rsid w:val="00BD46AB"/>
    <w:rsid w:val="00BD4A9B"/>
    <w:rsid w:val="00BD5519"/>
    <w:rsid w:val="00BD56B9"/>
    <w:rsid w:val="00BD58DE"/>
    <w:rsid w:val="00BD5F4C"/>
    <w:rsid w:val="00BD6063"/>
    <w:rsid w:val="00BD649F"/>
    <w:rsid w:val="00BD677C"/>
    <w:rsid w:val="00BD6B73"/>
    <w:rsid w:val="00BD79DD"/>
    <w:rsid w:val="00BD7B16"/>
    <w:rsid w:val="00BE09B1"/>
    <w:rsid w:val="00BE0C8E"/>
    <w:rsid w:val="00BE102A"/>
    <w:rsid w:val="00BE1375"/>
    <w:rsid w:val="00BE1674"/>
    <w:rsid w:val="00BE19C9"/>
    <w:rsid w:val="00BE26E6"/>
    <w:rsid w:val="00BE38BC"/>
    <w:rsid w:val="00BE4062"/>
    <w:rsid w:val="00BE4BE6"/>
    <w:rsid w:val="00BE4E84"/>
    <w:rsid w:val="00BE4F82"/>
    <w:rsid w:val="00BE4FEB"/>
    <w:rsid w:val="00BE5113"/>
    <w:rsid w:val="00BE5D0B"/>
    <w:rsid w:val="00BE6785"/>
    <w:rsid w:val="00BE7614"/>
    <w:rsid w:val="00BE765F"/>
    <w:rsid w:val="00BF006D"/>
    <w:rsid w:val="00BF09A9"/>
    <w:rsid w:val="00BF0BBC"/>
    <w:rsid w:val="00BF13B4"/>
    <w:rsid w:val="00BF1A64"/>
    <w:rsid w:val="00BF21E1"/>
    <w:rsid w:val="00BF22B4"/>
    <w:rsid w:val="00BF23AF"/>
    <w:rsid w:val="00BF3DA1"/>
    <w:rsid w:val="00BF3F08"/>
    <w:rsid w:val="00BF4259"/>
    <w:rsid w:val="00BF48D2"/>
    <w:rsid w:val="00BF49A4"/>
    <w:rsid w:val="00BF4D07"/>
    <w:rsid w:val="00BF50BF"/>
    <w:rsid w:val="00BF5327"/>
    <w:rsid w:val="00BF5611"/>
    <w:rsid w:val="00BF5BED"/>
    <w:rsid w:val="00BF6476"/>
    <w:rsid w:val="00BF6854"/>
    <w:rsid w:val="00BF79DB"/>
    <w:rsid w:val="00BF7BE5"/>
    <w:rsid w:val="00BF7D46"/>
    <w:rsid w:val="00C00A74"/>
    <w:rsid w:val="00C00B80"/>
    <w:rsid w:val="00C00B92"/>
    <w:rsid w:val="00C011B5"/>
    <w:rsid w:val="00C018F0"/>
    <w:rsid w:val="00C01C63"/>
    <w:rsid w:val="00C01E05"/>
    <w:rsid w:val="00C0306D"/>
    <w:rsid w:val="00C0325C"/>
    <w:rsid w:val="00C03FFE"/>
    <w:rsid w:val="00C04168"/>
    <w:rsid w:val="00C04E9E"/>
    <w:rsid w:val="00C060A3"/>
    <w:rsid w:val="00C063AF"/>
    <w:rsid w:val="00C06E8B"/>
    <w:rsid w:val="00C072EB"/>
    <w:rsid w:val="00C0732B"/>
    <w:rsid w:val="00C07620"/>
    <w:rsid w:val="00C07A6A"/>
    <w:rsid w:val="00C107DB"/>
    <w:rsid w:val="00C11662"/>
    <w:rsid w:val="00C11CFD"/>
    <w:rsid w:val="00C12256"/>
    <w:rsid w:val="00C124F2"/>
    <w:rsid w:val="00C127E9"/>
    <w:rsid w:val="00C134FF"/>
    <w:rsid w:val="00C1355F"/>
    <w:rsid w:val="00C140DD"/>
    <w:rsid w:val="00C14142"/>
    <w:rsid w:val="00C14880"/>
    <w:rsid w:val="00C14DE8"/>
    <w:rsid w:val="00C15AFE"/>
    <w:rsid w:val="00C16DDE"/>
    <w:rsid w:val="00C16E3F"/>
    <w:rsid w:val="00C17F0D"/>
    <w:rsid w:val="00C20028"/>
    <w:rsid w:val="00C20484"/>
    <w:rsid w:val="00C209CE"/>
    <w:rsid w:val="00C20F2D"/>
    <w:rsid w:val="00C21210"/>
    <w:rsid w:val="00C2157F"/>
    <w:rsid w:val="00C2204A"/>
    <w:rsid w:val="00C22231"/>
    <w:rsid w:val="00C22431"/>
    <w:rsid w:val="00C2269F"/>
    <w:rsid w:val="00C229BA"/>
    <w:rsid w:val="00C23067"/>
    <w:rsid w:val="00C23180"/>
    <w:rsid w:val="00C2385B"/>
    <w:rsid w:val="00C23E88"/>
    <w:rsid w:val="00C242C0"/>
    <w:rsid w:val="00C24423"/>
    <w:rsid w:val="00C24AEC"/>
    <w:rsid w:val="00C24DC3"/>
    <w:rsid w:val="00C25035"/>
    <w:rsid w:val="00C261A6"/>
    <w:rsid w:val="00C26524"/>
    <w:rsid w:val="00C26B8B"/>
    <w:rsid w:val="00C26BD9"/>
    <w:rsid w:val="00C27B88"/>
    <w:rsid w:val="00C30111"/>
    <w:rsid w:val="00C30145"/>
    <w:rsid w:val="00C30A8E"/>
    <w:rsid w:val="00C30B29"/>
    <w:rsid w:val="00C310D1"/>
    <w:rsid w:val="00C320A3"/>
    <w:rsid w:val="00C3248A"/>
    <w:rsid w:val="00C324CD"/>
    <w:rsid w:val="00C328A4"/>
    <w:rsid w:val="00C331B3"/>
    <w:rsid w:val="00C33418"/>
    <w:rsid w:val="00C336E5"/>
    <w:rsid w:val="00C33D82"/>
    <w:rsid w:val="00C33F2F"/>
    <w:rsid w:val="00C34542"/>
    <w:rsid w:val="00C34B15"/>
    <w:rsid w:val="00C35024"/>
    <w:rsid w:val="00C3548A"/>
    <w:rsid w:val="00C35881"/>
    <w:rsid w:val="00C35E2D"/>
    <w:rsid w:val="00C363E2"/>
    <w:rsid w:val="00C36432"/>
    <w:rsid w:val="00C3681B"/>
    <w:rsid w:val="00C371DB"/>
    <w:rsid w:val="00C371F9"/>
    <w:rsid w:val="00C3795F"/>
    <w:rsid w:val="00C379B5"/>
    <w:rsid w:val="00C40396"/>
    <w:rsid w:val="00C409CC"/>
    <w:rsid w:val="00C419C2"/>
    <w:rsid w:val="00C41E8C"/>
    <w:rsid w:val="00C42E1B"/>
    <w:rsid w:val="00C433B7"/>
    <w:rsid w:val="00C434F0"/>
    <w:rsid w:val="00C43C39"/>
    <w:rsid w:val="00C44B77"/>
    <w:rsid w:val="00C44E81"/>
    <w:rsid w:val="00C44F0A"/>
    <w:rsid w:val="00C46B1D"/>
    <w:rsid w:val="00C46C45"/>
    <w:rsid w:val="00C46C49"/>
    <w:rsid w:val="00C4734B"/>
    <w:rsid w:val="00C474BE"/>
    <w:rsid w:val="00C47E36"/>
    <w:rsid w:val="00C50466"/>
    <w:rsid w:val="00C50CF1"/>
    <w:rsid w:val="00C51CFF"/>
    <w:rsid w:val="00C51DDC"/>
    <w:rsid w:val="00C5287C"/>
    <w:rsid w:val="00C52E0E"/>
    <w:rsid w:val="00C5324D"/>
    <w:rsid w:val="00C53DA1"/>
    <w:rsid w:val="00C53F77"/>
    <w:rsid w:val="00C54170"/>
    <w:rsid w:val="00C54B11"/>
    <w:rsid w:val="00C54BA6"/>
    <w:rsid w:val="00C551F5"/>
    <w:rsid w:val="00C5547A"/>
    <w:rsid w:val="00C555D4"/>
    <w:rsid w:val="00C5644A"/>
    <w:rsid w:val="00C5652A"/>
    <w:rsid w:val="00C56D9E"/>
    <w:rsid w:val="00C602EF"/>
    <w:rsid w:val="00C60B4D"/>
    <w:rsid w:val="00C62590"/>
    <w:rsid w:val="00C6270C"/>
    <w:rsid w:val="00C6333C"/>
    <w:rsid w:val="00C634FA"/>
    <w:rsid w:val="00C639E7"/>
    <w:rsid w:val="00C63B52"/>
    <w:rsid w:val="00C63E97"/>
    <w:rsid w:val="00C641EA"/>
    <w:rsid w:val="00C64B2E"/>
    <w:rsid w:val="00C64DE7"/>
    <w:rsid w:val="00C64EDE"/>
    <w:rsid w:val="00C65433"/>
    <w:rsid w:val="00C65549"/>
    <w:rsid w:val="00C66618"/>
    <w:rsid w:val="00C66E0B"/>
    <w:rsid w:val="00C677A4"/>
    <w:rsid w:val="00C679F9"/>
    <w:rsid w:val="00C67EC3"/>
    <w:rsid w:val="00C67FF2"/>
    <w:rsid w:val="00C7084C"/>
    <w:rsid w:val="00C7155E"/>
    <w:rsid w:val="00C71B12"/>
    <w:rsid w:val="00C71E7E"/>
    <w:rsid w:val="00C722E3"/>
    <w:rsid w:val="00C72D3F"/>
    <w:rsid w:val="00C736E6"/>
    <w:rsid w:val="00C73C20"/>
    <w:rsid w:val="00C74187"/>
    <w:rsid w:val="00C7418B"/>
    <w:rsid w:val="00C746D6"/>
    <w:rsid w:val="00C74AC6"/>
    <w:rsid w:val="00C74E6D"/>
    <w:rsid w:val="00C751E9"/>
    <w:rsid w:val="00C75A7D"/>
    <w:rsid w:val="00C75ABC"/>
    <w:rsid w:val="00C75B7A"/>
    <w:rsid w:val="00C75E35"/>
    <w:rsid w:val="00C766A7"/>
    <w:rsid w:val="00C7677B"/>
    <w:rsid w:val="00C76824"/>
    <w:rsid w:val="00C774A8"/>
    <w:rsid w:val="00C774AA"/>
    <w:rsid w:val="00C77697"/>
    <w:rsid w:val="00C80870"/>
    <w:rsid w:val="00C80F21"/>
    <w:rsid w:val="00C80FD6"/>
    <w:rsid w:val="00C81426"/>
    <w:rsid w:val="00C81D03"/>
    <w:rsid w:val="00C821F0"/>
    <w:rsid w:val="00C8246C"/>
    <w:rsid w:val="00C831E0"/>
    <w:rsid w:val="00C84808"/>
    <w:rsid w:val="00C84B9F"/>
    <w:rsid w:val="00C84E62"/>
    <w:rsid w:val="00C84ED4"/>
    <w:rsid w:val="00C851A7"/>
    <w:rsid w:val="00C85AD8"/>
    <w:rsid w:val="00C87959"/>
    <w:rsid w:val="00C87C93"/>
    <w:rsid w:val="00C87FC6"/>
    <w:rsid w:val="00C9072D"/>
    <w:rsid w:val="00C9096F"/>
    <w:rsid w:val="00C90A08"/>
    <w:rsid w:val="00C90C81"/>
    <w:rsid w:val="00C91A64"/>
    <w:rsid w:val="00C91B87"/>
    <w:rsid w:val="00C938D6"/>
    <w:rsid w:val="00C945F5"/>
    <w:rsid w:val="00C94D76"/>
    <w:rsid w:val="00C94E38"/>
    <w:rsid w:val="00C94FC8"/>
    <w:rsid w:val="00C950ED"/>
    <w:rsid w:val="00C9552E"/>
    <w:rsid w:val="00C9657B"/>
    <w:rsid w:val="00C96A70"/>
    <w:rsid w:val="00C971CD"/>
    <w:rsid w:val="00C97274"/>
    <w:rsid w:val="00CA0036"/>
    <w:rsid w:val="00CA0433"/>
    <w:rsid w:val="00CA066C"/>
    <w:rsid w:val="00CA0E8E"/>
    <w:rsid w:val="00CA1292"/>
    <w:rsid w:val="00CA1391"/>
    <w:rsid w:val="00CA1725"/>
    <w:rsid w:val="00CA222D"/>
    <w:rsid w:val="00CA2BAF"/>
    <w:rsid w:val="00CA3629"/>
    <w:rsid w:val="00CA391D"/>
    <w:rsid w:val="00CA3AC0"/>
    <w:rsid w:val="00CA40CC"/>
    <w:rsid w:val="00CA415A"/>
    <w:rsid w:val="00CA4E02"/>
    <w:rsid w:val="00CA6382"/>
    <w:rsid w:val="00CA7E52"/>
    <w:rsid w:val="00CB000E"/>
    <w:rsid w:val="00CB0879"/>
    <w:rsid w:val="00CB12D1"/>
    <w:rsid w:val="00CB1471"/>
    <w:rsid w:val="00CB156F"/>
    <w:rsid w:val="00CB16A6"/>
    <w:rsid w:val="00CB2047"/>
    <w:rsid w:val="00CB229B"/>
    <w:rsid w:val="00CB265A"/>
    <w:rsid w:val="00CB2921"/>
    <w:rsid w:val="00CB2F26"/>
    <w:rsid w:val="00CB45C2"/>
    <w:rsid w:val="00CB4714"/>
    <w:rsid w:val="00CB48DA"/>
    <w:rsid w:val="00CB4A43"/>
    <w:rsid w:val="00CB4D4A"/>
    <w:rsid w:val="00CB53B2"/>
    <w:rsid w:val="00CB614A"/>
    <w:rsid w:val="00CB70B5"/>
    <w:rsid w:val="00CB7AD0"/>
    <w:rsid w:val="00CB7CDF"/>
    <w:rsid w:val="00CC0A5E"/>
    <w:rsid w:val="00CC2082"/>
    <w:rsid w:val="00CC3AB8"/>
    <w:rsid w:val="00CC3D41"/>
    <w:rsid w:val="00CC46F5"/>
    <w:rsid w:val="00CC5071"/>
    <w:rsid w:val="00CC5365"/>
    <w:rsid w:val="00CC5791"/>
    <w:rsid w:val="00CC596E"/>
    <w:rsid w:val="00CC5D21"/>
    <w:rsid w:val="00CC62FF"/>
    <w:rsid w:val="00CC6752"/>
    <w:rsid w:val="00CC6C93"/>
    <w:rsid w:val="00CC71C2"/>
    <w:rsid w:val="00CC726F"/>
    <w:rsid w:val="00CD09A8"/>
    <w:rsid w:val="00CD21EC"/>
    <w:rsid w:val="00CD2BBE"/>
    <w:rsid w:val="00CD32ED"/>
    <w:rsid w:val="00CD3806"/>
    <w:rsid w:val="00CD3F43"/>
    <w:rsid w:val="00CD46EC"/>
    <w:rsid w:val="00CD4D75"/>
    <w:rsid w:val="00CD5792"/>
    <w:rsid w:val="00CD6A5B"/>
    <w:rsid w:val="00CD6B89"/>
    <w:rsid w:val="00CD6CBC"/>
    <w:rsid w:val="00CD7089"/>
    <w:rsid w:val="00CD7DC6"/>
    <w:rsid w:val="00CE0465"/>
    <w:rsid w:val="00CE0517"/>
    <w:rsid w:val="00CE0B13"/>
    <w:rsid w:val="00CE1815"/>
    <w:rsid w:val="00CE227A"/>
    <w:rsid w:val="00CE2BA4"/>
    <w:rsid w:val="00CE2E3A"/>
    <w:rsid w:val="00CE341A"/>
    <w:rsid w:val="00CE4951"/>
    <w:rsid w:val="00CE4B20"/>
    <w:rsid w:val="00CE53DB"/>
    <w:rsid w:val="00CE5CF5"/>
    <w:rsid w:val="00CE5D99"/>
    <w:rsid w:val="00CE635F"/>
    <w:rsid w:val="00CE7344"/>
    <w:rsid w:val="00CE756F"/>
    <w:rsid w:val="00CF15AD"/>
    <w:rsid w:val="00CF1954"/>
    <w:rsid w:val="00CF34D9"/>
    <w:rsid w:val="00CF352C"/>
    <w:rsid w:val="00CF35B0"/>
    <w:rsid w:val="00CF35CE"/>
    <w:rsid w:val="00CF37F4"/>
    <w:rsid w:val="00CF3EC3"/>
    <w:rsid w:val="00CF4358"/>
    <w:rsid w:val="00CF4EC4"/>
    <w:rsid w:val="00CF650E"/>
    <w:rsid w:val="00CF6DCA"/>
    <w:rsid w:val="00CF6F60"/>
    <w:rsid w:val="00CF726F"/>
    <w:rsid w:val="00CF72F1"/>
    <w:rsid w:val="00D00582"/>
    <w:rsid w:val="00D0258A"/>
    <w:rsid w:val="00D0324B"/>
    <w:rsid w:val="00D04A39"/>
    <w:rsid w:val="00D05287"/>
    <w:rsid w:val="00D05CDA"/>
    <w:rsid w:val="00D0604A"/>
    <w:rsid w:val="00D0691D"/>
    <w:rsid w:val="00D06AFA"/>
    <w:rsid w:val="00D100B3"/>
    <w:rsid w:val="00D10747"/>
    <w:rsid w:val="00D112B5"/>
    <w:rsid w:val="00D11774"/>
    <w:rsid w:val="00D11EC8"/>
    <w:rsid w:val="00D141F3"/>
    <w:rsid w:val="00D14D08"/>
    <w:rsid w:val="00D14E9D"/>
    <w:rsid w:val="00D15633"/>
    <w:rsid w:val="00D157C1"/>
    <w:rsid w:val="00D16AD3"/>
    <w:rsid w:val="00D16CE7"/>
    <w:rsid w:val="00D1772B"/>
    <w:rsid w:val="00D202DA"/>
    <w:rsid w:val="00D20BA7"/>
    <w:rsid w:val="00D20BEA"/>
    <w:rsid w:val="00D20BEF"/>
    <w:rsid w:val="00D21398"/>
    <w:rsid w:val="00D22003"/>
    <w:rsid w:val="00D22036"/>
    <w:rsid w:val="00D22556"/>
    <w:rsid w:val="00D235DD"/>
    <w:rsid w:val="00D23E1A"/>
    <w:rsid w:val="00D23F02"/>
    <w:rsid w:val="00D24A31"/>
    <w:rsid w:val="00D25457"/>
    <w:rsid w:val="00D264A3"/>
    <w:rsid w:val="00D26A5B"/>
    <w:rsid w:val="00D26E37"/>
    <w:rsid w:val="00D27397"/>
    <w:rsid w:val="00D277BF"/>
    <w:rsid w:val="00D27E7B"/>
    <w:rsid w:val="00D302E3"/>
    <w:rsid w:val="00D3051D"/>
    <w:rsid w:val="00D3098F"/>
    <w:rsid w:val="00D31263"/>
    <w:rsid w:val="00D31340"/>
    <w:rsid w:val="00D31610"/>
    <w:rsid w:val="00D3175E"/>
    <w:rsid w:val="00D319DB"/>
    <w:rsid w:val="00D32125"/>
    <w:rsid w:val="00D3261D"/>
    <w:rsid w:val="00D33279"/>
    <w:rsid w:val="00D34571"/>
    <w:rsid w:val="00D345AF"/>
    <w:rsid w:val="00D34C75"/>
    <w:rsid w:val="00D36EEA"/>
    <w:rsid w:val="00D36F2D"/>
    <w:rsid w:val="00D373EC"/>
    <w:rsid w:val="00D37E14"/>
    <w:rsid w:val="00D404F2"/>
    <w:rsid w:val="00D4072D"/>
    <w:rsid w:val="00D417FF"/>
    <w:rsid w:val="00D418F8"/>
    <w:rsid w:val="00D41EAA"/>
    <w:rsid w:val="00D41F1E"/>
    <w:rsid w:val="00D41FE7"/>
    <w:rsid w:val="00D424FA"/>
    <w:rsid w:val="00D42D4A"/>
    <w:rsid w:val="00D430D2"/>
    <w:rsid w:val="00D43E4D"/>
    <w:rsid w:val="00D45150"/>
    <w:rsid w:val="00D45F96"/>
    <w:rsid w:val="00D460EC"/>
    <w:rsid w:val="00D466CB"/>
    <w:rsid w:val="00D46865"/>
    <w:rsid w:val="00D47ECC"/>
    <w:rsid w:val="00D50C42"/>
    <w:rsid w:val="00D511B3"/>
    <w:rsid w:val="00D529B6"/>
    <w:rsid w:val="00D5391A"/>
    <w:rsid w:val="00D53C53"/>
    <w:rsid w:val="00D54E3B"/>
    <w:rsid w:val="00D54FCA"/>
    <w:rsid w:val="00D552EA"/>
    <w:rsid w:val="00D55EAA"/>
    <w:rsid w:val="00D561A0"/>
    <w:rsid w:val="00D561AC"/>
    <w:rsid w:val="00D565A9"/>
    <w:rsid w:val="00D56A87"/>
    <w:rsid w:val="00D572F2"/>
    <w:rsid w:val="00D57366"/>
    <w:rsid w:val="00D57AB3"/>
    <w:rsid w:val="00D57C97"/>
    <w:rsid w:val="00D57F9A"/>
    <w:rsid w:val="00D60220"/>
    <w:rsid w:val="00D602B7"/>
    <w:rsid w:val="00D60E3A"/>
    <w:rsid w:val="00D60FA7"/>
    <w:rsid w:val="00D610B6"/>
    <w:rsid w:val="00D61755"/>
    <w:rsid w:val="00D617D6"/>
    <w:rsid w:val="00D61921"/>
    <w:rsid w:val="00D61C09"/>
    <w:rsid w:val="00D62EFE"/>
    <w:rsid w:val="00D6411F"/>
    <w:rsid w:val="00D6424E"/>
    <w:rsid w:val="00D65822"/>
    <w:rsid w:val="00D6704A"/>
    <w:rsid w:val="00D6756D"/>
    <w:rsid w:val="00D70087"/>
    <w:rsid w:val="00D7020F"/>
    <w:rsid w:val="00D70677"/>
    <w:rsid w:val="00D707C5"/>
    <w:rsid w:val="00D70946"/>
    <w:rsid w:val="00D7146C"/>
    <w:rsid w:val="00D715B7"/>
    <w:rsid w:val="00D72004"/>
    <w:rsid w:val="00D722A0"/>
    <w:rsid w:val="00D7241B"/>
    <w:rsid w:val="00D72607"/>
    <w:rsid w:val="00D72A90"/>
    <w:rsid w:val="00D72F5F"/>
    <w:rsid w:val="00D72F6B"/>
    <w:rsid w:val="00D74200"/>
    <w:rsid w:val="00D74383"/>
    <w:rsid w:val="00D743A0"/>
    <w:rsid w:val="00D748C8"/>
    <w:rsid w:val="00D75196"/>
    <w:rsid w:val="00D75339"/>
    <w:rsid w:val="00D7544F"/>
    <w:rsid w:val="00D755E6"/>
    <w:rsid w:val="00D758B6"/>
    <w:rsid w:val="00D75AFF"/>
    <w:rsid w:val="00D75B92"/>
    <w:rsid w:val="00D75D50"/>
    <w:rsid w:val="00D75FF5"/>
    <w:rsid w:val="00D76F7A"/>
    <w:rsid w:val="00D77875"/>
    <w:rsid w:val="00D77B70"/>
    <w:rsid w:val="00D8057E"/>
    <w:rsid w:val="00D81662"/>
    <w:rsid w:val="00D84266"/>
    <w:rsid w:val="00D842DF"/>
    <w:rsid w:val="00D84690"/>
    <w:rsid w:val="00D84E5F"/>
    <w:rsid w:val="00D857C0"/>
    <w:rsid w:val="00D86D3E"/>
    <w:rsid w:val="00D876D1"/>
    <w:rsid w:val="00D90B45"/>
    <w:rsid w:val="00D90C82"/>
    <w:rsid w:val="00D90F1E"/>
    <w:rsid w:val="00D910AC"/>
    <w:rsid w:val="00D91375"/>
    <w:rsid w:val="00D91713"/>
    <w:rsid w:val="00D9201B"/>
    <w:rsid w:val="00D92CFD"/>
    <w:rsid w:val="00D931B6"/>
    <w:rsid w:val="00D93239"/>
    <w:rsid w:val="00D93B13"/>
    <w:rsid w:val="00D94C1A"/>
    <w:rsid w:val="00D94DDF"/>
    <w:rsid w:val="00D94E57"/>
    <w:rsid w:val="00D94F5B"/>
    <w:rsid w:val="00D9564A"/>
    <w:rsid w:val="00D95C0E"/>
    <w:rsid w:val="00D9643C"/>
    <w:rsid w:val="00D96A15"/>
    <w:rsid w:val="00D96CB8"/>
    <w:rsid w:val="00D9768A"/>
    <w:rsid w:val="00D97BAD"/>
    <w:rsid w:val="00DA065C"/>
    <w:rsid w:val="00DA097F"/>
    <w:rsid w:val="00DA0D82"/>
    <w:rsid w:val="00DA166F"/>
    <w:rsid w:val="00DA1A74"/>
    <w:rsid w:val="00DA1D44"/>
    <w:rsid w:val="00DA1DE7"/>
    <w:rsid w:val="00DA1FF5"/>
    <w:rsid w:val="00DA2092"/>
    <w:rsid w:val="00DA21F8"/>
    <w:rsid w:val="00DA225D"/>
    <w:rsid w:val="00DA298F"/>
    <w:rsid w:val="00DA2AF5"/>
    <w:rsid w:val="00DA33AF"/>
    <w:rsid w:val="00DA34AA"/>
    <w:rsid w:val="00DA3648"/>
    <w:rsid w:val="00DA3A55"/>
    <w:rsid w:val="00DA3C74"/>
    <w:rsid w:val="00DA3D7C"/>
    <w:rsid w:val="00DA417A"/>
    <w:rsid w:val="00DA464A"/>
    <w:rsid w:val="00DA4D0D"/>
    <w:rsid w:val="00DA5E0E"/>
    <w:rsid w:val="00DA6459"/>
    <w:rsid w:val="00DA6463"/>
    <w:rsid w:val="00DA6874"/>
    <w:rsid w:val="00DA6C1D"/>
    <w:rsid w:val="00DA6F32"/>
    <w:rsid w:val="00DA735B"/>
    <w:rsid w:val="00DA7A06"/>
    <w:rsid w:val="00DB00A0"/>
    <w:rsid w:val="00DB06FD"/>
    <w:rsid w:val="00DB12D2"/>
    <w:rsid w:val="00DB1BED"/>
    <w:rsid w:val="00DB27AD"/>
    <w:rsid w:val="00DB4012"/>
    <w:rsid w:val="00DB40B2"/>
    <w:rsid w:val="00DB4762"/>
    <w:rsid w:val="00DB50E7"/>
    <w:rsid w:val="00DB58F0"/>
    <w:rsid w:val="00DB59FB"/>
    <w:rsid w:val="00DB5B8B"/>
    <w:rsid w:val="00DB5D18"/>
    <w:rsid w:val="00DB6378"/>
    <w:rsid w:val="00DB6CAA"/>
    <w:rsid w:val="00DB7130"/>
    <w:rsid w:val="00DB71F1"/>
    <w:rsid w:val="00DB75A0"/>
    <w:rsid w:val="00DB7EAA"/>
    <w:rsid w:val="00DC0338"/>
    <w:rsid w:val="00DC1C10"/>
    <w:rsid w:val="00DC25BB"/>
    <w:rsid w:val="00DC26A1"/>
    <w:rsid w:val="00DC3002"/>
    <w:rsid w:val="00DC315B"/>
    <w:rsid w:val="00DC347D"/>
    <w:rsid w:val="00DC3ADD"/>
    <w:rsid w:val="00DC3E7A"/>
    <w:rsid w:val="00DC44A5"/>
    <w:rsid w:val="00DC44B4"/>
    <w:rsid w:val="00DC497B"/>
    <w:rsid w:val="00DC5670"/>
    <w:rsid w:val="00DC6485"/>
    <w:rsid w:val="00DC6512"/>
    <w:rsid w:val="00DC65AC"/>
    <w:rsid w:val="00DC6CBA"/>
    <w:rsid w:val="00DC7053"/>
    <w:rsid w:val="00DC7E70"/>
    <w:rsid w:val="00DD0487"/>
    <w:rsid w:val="00DD07FE"/>
    <w:rsid w:val="00DD0DA2"/>
    <w:rsid w:val="00DD1DFC"/>
    <w:rsid w:val="00DD2054"/>
    <w:rsid w:val="00DD2208"/>
    <w:rsid w:val="00DD2292"/>
    <w:rsid w:val="00DD2BED"/>
    <w:rsid w:val="00DD37F0"/>
    <w:rsid w:val="00DD3A8F"/>
    <w:rsid w:val="00DD3D0A"/>
    <w:rsid w:val="00DD41DA"/>
    <w:rsid w:val="00DD423F"/>
    <w:rsid w:val="00DD46EE"/>
    <w:rsid w:val="00DD4B23"/>
    <w:rsid w:val="00DD65E3"/>
    <w:rsid w:val="00DD6C75"/>
    <w:rsid w:val="00DD70AB"/>
    <w:rsid w:val="00DD737D"/>
    <w:rsid w:val="00DD7463"/>
    <w:rsid w:val="00DD7B60"/>
    <w:rsid w:val="00DD7DAA"/>
    <w:rsid w:val="00DE0F7B"/>
    <w:rsid w:val="00DE1A2B"/>
    <w:rsid w:val="00DE2252"/>
    <w:rsid w:val="00DE2568"/>
    <w:rsid w:val="00DE3029"/>
    <w:rsid w:val="00DE34AB"/>
    <w:rsid w:val="00DE37FC"/>
    <w:rsid w:val="00DE3933"/>
    <w:rsid w:val="00DE3B79"/>
    <w:rsid w:val="00DE5A3D"/>
    <w:rsid w:val="00DE6630"/>
    <w:rsid w:val="00DE6722"/>
    <w:rsid w:val="00DE69C0"/>
    <w:rsid w:val="00DE7379"/>
    <w:rsid w:val="00DE7BBB"/>
    <w:rsid w:val="00DF0063"/>
    <w:rsid w:val="00DF018E"/>
    <w:rsid w:val="00DF0237"/>
    <w:rsid w:val="00DF04AA"/>
    <w:rsid w:val="00DF0B36"/>
    <w:rsid w:val="00DF144B"/>
    <w:rsid w:val="00DF14D2"/>
    <w:rsid w:val="00DF206E"/>
    <w:rsid w:val="00DF2082"/>
    <w:rsid w:val="00DF2384"/>
    <w:rsid w:val="00DF2989"/>
    <w:rsid w:val="00DF339E"/>
    <w:rsid w:val="00DF3DB5"/>
    <w:rsid w:val="00DF3FBA"/>
    <w:rsid w:val="00DF49AE"/>
    <w:rsid w:val="00DF4B61"/>
    <w:rsid w:val="00DF4C28"/>
    <w:rsid w:val="00DF4F79"/>
    <w:rsid w:val="00DF4FDB"/>
    <w:rsid w:val="00DF6106"/>
    <w:rsid w:val="00DF62F4"/>
    <w:rsid w:val="00DF6430"/>
    <w:rsid w:val="00DF6642"/>
    <w:rsid w:val="00DF6AB8"/>
    <w:rsid w:val="00DF6C4C"/>
    <w:rsid w:val="00DF71BB"/>
    <w:rsid w:val="00DF7275"/>
    <w:rsid w:val="00DF7450"/>
    <w:rsid w:val="00DF79B4"/>
    <w:rsid w:val="00DF7D7A"/>
    <w:rsid w:val="00E00BD2"/>
    <w:rsid w:val="00E00DBE"/>
    <w:rsid w:val="00E01CD6"/>
    <w:rsid w:val="00E02174"/>
    <w:rsid w:val="00E02465"/>
    <w:rsid w:val="00E0259C"/>
    <w:rsid w:val="00E0285B"/>
    <w:rsid w:val="00E03271"/>
    <w:rsid w:val="00E03789"/>
    <w:rsid w:val="00E038CB"/>
    <w:rsid w:val="00E039C4"/>
    <w:rsid w:val="00E0400D"/>
    <w:rsid w:val="00E04116"/>
    <w:rsid w:val="00E050D5"/>
    <w:rsid w:val="00E05950"/>
    <w:rsid w:val="00E05C33"/>
    <w:rsid w:val="00E05D2D"/>
    <w:rsid w:val="00E06CA3"/>
    <w:rsid w:val="00E077E5"/>
    <w:rsid w:val="00E07BD8"/>
    <w:rsid w:val="00E10B32"/>
    <w:rsid w:val="00E12360"/>
    <w:rsid w:val="00E1269F"/>
    <w:rsid w:val="00E127A3"/>
    <w:rsid w:val="00E1284A"/>
    <w:rsid w:val="00E12B94"/>
    <w:rsid w:val="00E13369"/>
    <w:rsid w:val="00E13700"/>
    <w:rsid w:val="00E14416"/>
    <w:rsid w:val="00E14DC2"/>
    <w:rsid w:val="00E1566B"/>
    <w:rsid w:val="00E17280"/>
    <w:rsid w:val="00E17594"/>
    <w:rsid w:val="00E175B8"/>
    <w:rsid w:val="00E176B9"/>
    <w:rsid w:val="00E177CC"/>
    <w:rsid w:val="00E17824"/>
    <w:rsid w:val="00E2086F"/>
    <w:rsid w:val="00E20BCD"/>
    <w:rsid w:val="00E215DA"/>
    <w:rsid w:val="00E21918"/>
    <w:rsid w:val="00E21C4D"/>
    <w:rsid w:val="00E21F25"/>
    <w:rsid w:val="00E2232D"/>
    <w:rsid w:val="00E22557"/>
    <w:rsid w:val="00E23215"/>
    <w:rsid w:val="00E237EB"/>
    <w:rsid w:val="00E23871"/>
    <w:rsid w:val="00E23A41"/>
    <w:rsid w:val="00E23C49"/>
    <w:rsid w:val="00E23CBB"/>
    <w:rsid w:val="00E243B6"/>
    <w:rsid w:val="00E247D5"/>
    <w:rsid w:val="00E24BC3"/>
    <w:rsid w:val="00E24EA8"/>
    <w:rsid w:val="00E252FE"/>
    <w:rsid w:val="00E254FC"/>
    <w:rsid w:val="00E25B35"/>
    <w:rsid w:val="00E26052"/>
    <w:rsid w:val="00E26905"/>
    <w:rsid w:val="00E26C94"/>
    <w:rsid w:val="00E26E28"/>
    <w:rsid w:val="00E2731D"/>
    <w:rsid w:val="00E273E9"/>
    <w:rsid w:val="00E27CB6"/>
    <w:rsid w:val="00E27CE1"/>
    <w:rsid w:val="00E27D5E"/>
    <w:rsid w:val="00E308A9"/>
    <w:rsid w:val="00E30DA4"/>
    <w:rsid w:val="00E32464"/>
    <w:rsid w:val="00E32591"/>
    <w:rsid w:val="00E32835"/>
    <w:rsid w:val="00E32A60"/>
    <w:rsid w:val="00E32E1E"/>
    <w:rsid w:val="00E32E81"/>
    <w:rsid w:val="00E3387A"/>
    <w:rsid w:val="00E33BE7"/>
    <w:rsid w:val="00E33F92"/>
    <w:rsid w:val="00E345EB"/>
    <w:rsid w:val="00E36846"/>
    <w:rsid w:val="00E36AC5"/>
    <w:rsid w:val="00E371C1"/>
    <w:rsid w:val="00E37998"/>
    <w:rsid w:val="00E37BC7"/>
    <w:rsid w:val="00E37F92"/>
    <w:rsid w:val="00E40474"/>
    <w:rsid w:val="00E4062E"/>
    <w:rsid w:val="00E40E6B"/>
    <w:rsid w:val="00E414E8"/>
    <w:rsid w:val="00E41CCB"/>
    <w:rsid w:val="00E4213E"/>
    <w:rsid w:val="00E423B6"/>
    <w:rsid w:val="00E42EC7"/>
    <w:rsid w:val="00E433E6"/>
    <w:rsid w:val="00E44197"/>
    <w:rsid w:val="00E443F8"/>
    <w:rsid w:val="00E444E1"/>
    <w:rsid w:val="00E454C2"/>
    <w:rsid w:val="00E4609F"/>
    <w:rsid w:val="00E46C83"/>
    <w:rsid w:val="00E47056"/>
    <w:rsid w:val="00E47539"/>
    <w:rsid w:val="00E47608"/>
    <w:rsid w:val="00E47736"/>
    <w:rsid w:val="00E47D59"/>
    <w:rsid w:val="00E50391"/>
    <w:rsid w:val="00E50B00"/>
    <w:rsid w:val="00E50D17"/>
    <w:rsid w:val="00E51455"/>
    <w:rsid w:val="00E51C82"/>
    <w:rsid w:val="00E527EC"/>
    <w:rsid w:val="00E52884"/>
    <w:rsid w:val="00E52A41"/>
    <w:rsid w:val="00E52ECF"/>
    <w:rsid w:val="00E53147"/>
    <w:rsid w:val="00E53E76"/>
    <w:rsid w:val="00E540FF"/>
    <w:rsid w:val="00E5434E"/>
    <w:rsid w:val="00E544E4"/>
    <w:rsid w:val="00E54BD5"/>
    <w:rsid w:val="00E54FBC"/>
    <w:rsid w:val="00E552C7"/>
    <w:rsid w:val="00E559D5"/>
    <w:rsid w:val="00E560ED"/>
    <w:rsid w:val="00E56AFB"/>
    <w:rsid w:val="00E56C6F"/>
    <w:rsid w:val="00E56C80"/>
    <w:rsid w:val="00E56D83"/>
    <w:rsid w:val="00E6094F"/>
    <w:rsid w:val="00E609C9"/>
    <w:rsid w:val="00E60ACF"/>
    <w:rsid w:val="00E61472"/>
    <w:rsid w:val="00E61A7C"/>
    <w:rsid w:val="00E62774"/>
    <w:rsid w:val="00E62D8D"/>
    <w:rsid w:val="00E635A5"/>
    <w:rsid w:val="00E638EF"/>
    <w:rsid w:val="00E64B4F"/>
    <w:rsid w:val="00E65A49"/>
    <w:rsid w:val="00E65B94"/>
    <w:rsid w:val="00E65C3F"/>
    <w:rsid w:val="00E65D6B"/>
    <w:rsid w:val="00E66A01"/>
    <w:rsid w:val="00E7009C"/>
    <w:rsid w:val="00E70D03"/>
    <w:rsid w:val="00E71B50"/>
    <w:rsid w:val="00E728F8"/>
    <w:rsid w:val="00E72C62"/>
    <w:rsid w:val="00E72E48"/>
    <w:rsid w:val="00E7390B"/>
    <w:rsid w:val="00E73F9A"/>
    <w:rsid w:val="00E7416F"/>
    <w:rsid w:val="00E74836"/>
    <w:rsid w:val="00E7507D"/>
    <w:rsid w:val="00E751D3"/>
    <w:rsid w:val="00E75551"/>
    <w:rsid w:val="00E755B7"/>
    <w:rsid w:val="00E7597F"/>
    <w:rsid w:val="00E7687F"/>
    <w:rsid w:val="00E769D2"/>
    <w:rsid w:val="00E770E7"/>
    <w:rsid w:val="00E772F4"/>
    <w:rsid w:val="00E80128"/>
    <w:rsid w:val="00E80460"/>
    <w:rsid w:val="00E808AB"/>
    <w:rsid w:val="00E80A5E"/>
    <w:rsid w:val="00E81D8F"/>
    <w:rsid w:val="00E8219B"/>
    <w:rsid w:val="00E824DE"/>
    <w:rsid w:val="00E82621"/>
    <w:rsid w:val="00E83002"/>
    <w:rsid w:val="00E8363D"/>
    <w:rsid w:val="00E8367E"/>
    <w:rsid w:val="00E83B6C"/>
    <w:rsid w:val="00E84028"/>
    <w:rsid w:val="00E84702"/>
    <w:rsid w:val="00E847C0"/>
    <w:rsid w:val="00E84EF1"/>
    <w:rsid w:val="00E85426"/>
    <w:rsid w:val="00E85995"/>
    <w:rsid w:val="00E85AC7"/>
    <w:rsid w:val="00E85D91"/>
    <w:rsid w:val="00E876DE"/>
    <w:rsid w:val="00E87808"/>
    <w:rsid w:val="00E87ADA"/>
    <w:rsid w:val="00E90067"/>
    <w:rsid w:val="00E90381"/>
    <w:rsid w:val="00E908D4"/>
    <w:rsid w:val="00E91422"/>
    <w:rsid w:val="00E914BE"/>
    <w:rsid w:val="00E91AF1"/>
    <w:rsid w:val="00E934C4"/>
    <w:rsid w:val="00E934E8"/>
    <w:rsid w:val="00E93A90"/>
    <w:rsid w:val="00E940EE"/>
    <w:rsid w:val="00E9435A"/>
    <w:rsid w:val="00E949BA"/>
    <w:rsid w:val="00E94A1F"/>
    <w:rsid w:val="00E94D4C"/>
    <w:rsid w:val="00E94F32"/>
    <w:rsid w:val="00E95465"/>
    <w:rsid w:val="00E95CEF"/>
    <w:rsid w:val="00E96572"/>
    <w:rsid w:val="00E965EE"/>
    <w:rsid w:val="00E9713D"/>
    <w:rsid w:val="00E972C9"/>
    <w:rsid w:val="00E9756A"/>
    <w:rsid w:val="00E97597"/>
    <w:rsid w:val="00E979D0"/>
    <w:rsid w:val="00E97CE8"/>
    <w:rsid w:val="00EA04D1"/>
    <w:rsid w:val="00EA04DD"/>
    <w:rsid w:val="00EA0918"/>
    <w:rsid w:val="00EA0C67"/>
    <w:rsid w:val="00EA1F36"/>
    <w:rsid w:val="00EA210F"/>
    <w:rsid w:val="00EA2BED"/>
    <w:rsid w:val="00EA2CA9"/>
    <w:rsid w:val="00EA308F"/>
    <w:rsid w:val="00EA3A7C"/>
    <w:rsid w:val="00EA3C84"/>
    <w:rsid w:val="00EA3D9B"/>
    <w:rsid w:val="00EA3FDA"/>
    <w:rsid w:val="00EA62E1"/>
    <w:rsid w:val="00EA651C"/>
    <w:rsid w:val="00EA6F59"/>
    <w:rsid w:val="00EA7078"/>
    <w:rsid w:val="00EA738D"/>
    <w:rsid w:val="00EB01D4"/>
    <w:rsid w:val="00EB0BFC"/>
    <w:rsid w:val="00EB149C"/>
    <w:rsid w:val="00EB1B5B"/>
    <w:rsid w:val="00EB1DF9"/>
    <w:rsid w:val="00EB2DB2"/>
    <w:rsid w:val="00EB3990"/>
    <w:rsid w:val="00EB3A67"/>
    <w:rsid w:val="00EB3FC6"/>
    <w:rsid w:val="00EB4113"/>
    <w:rsid w:val="00EB42E8"/>
    <w:rsid w:val="00EB4497"/>
    <w:rsid w:val="00EB5808"/>
    <w:rsid w:val="00EB6478"/>
    <w:rsid w:val="00EB740C"/>
    <w:rsid w:val="00EB7ABD"/>
    <w:rsid w:val="00EB7C9B"/>
    <w:rsid w:val="00EC05FA"/>
    <w:rsid w:val="00EC096B"/>
    <w:rsid w:val="00EC159B"/>
    <w:rsid w:val="00EC1CE0"/>
    <w:rsid w:val="00EC1E51"/>
    <w:rsid w:val="00EC32DA"/>
    <w:rsid w:val="00EC43EB"/>
    <w:rsid w:val="00EC4D5E"/>
    <w:rsid w:val="00EC4EE6"/>
    <w:rsid w:val="00EC5BA3"/>
    <w:rsid w:val="00EC5ECD"/>
    <w:rsid w:val="00EC6AF1"/>
    <w:rsid w:val="00EC6BE1"/>
    <w:rsid w:val="00EC78C2"/>
    <w:rsid w:val="00ED0055"/>
    <w:rsid w:val="00ED01B2"/>
    <w:rsid w:val="00ED027B"/>
    <w:rsid w:val="00ED02E5"/>
    <w:rsid w:val="00ED030E"/>
    <w:rsid w:val="00ED04B5"/>
    <w:rsid w:val="00ED0A0C"/>
    <w:rsid w:val="00ED0FBB"/>
    <w:rsid w:val="00ED1191"/>
    <w:rsid w:val="00ED128A"/>
    <w:rsid w:val="00ED1D06"/>
    <w:rsid w:val="00ED1F5C"/>
    <w:rsid w:val="00ED23B3"/>
    <w:rsid w:val="00ED2D5B"/>
    <w:rsid w:val="00ED3309"/>
    <w:rsid w:val="00ED34FD"/>
    <w:rsid w:val="00ED3D5E"/>
    <w:rsid w:val="00ED5143"/>
    <w:rsid w:val="00ED54EB"/>
    <w:rsid w:val="00ED5549"/>
    <w:rsid w:val="00ED651C"/>
    <w:rsid w:val="00ED67DC"/>
    <w:rsid w:val="00ED6B47"/>
    <w:rsid w:val="00ED6D74"/>
    <w:rsid w:val="00ED70A3"/>
    <w:rsid w:val="00ED71EF"/>
    <w:rsid w:val="00ED77EB"/>
    <w:rsid w:val="00EE036D"/>
    <w:rsid w:val="00EE10B6"/>
    <w:rsid w:val="00EE1147"/>
    <w:rsid w:val="00EE1151"/>
    <w:rsid w:val="00EE1381"/>
    <w:rsid w:val="00EE13A5"/>
    <w:rsid w:val="00EE229D"/>
    <w:rsid w:val="00EE2385"/>
    <w:rsid w:val="00EE297A"/>
    <w:rsid w:val="00EE33FF"/>
    <w:rsid w:val="00EE3A23"/>
    <w:rsid w:val="00EE3D7D"/>
    <w:rsid w:val="00EE3F39"/>
    <w:rsid w:val="00EE47C5"/>
    <w:rsid w:val="00EE49D5"/>
    <w:rsid w:val="00EE5154"/>
    <w:rsid w:val="00EE52BE"/>
    <w:rsid w:val="00EE5335"/>
    <w:rsid w:val="00EE54B9"/>
    <w:rsid w:val="00EE69ED"/>
    <w:rsid w:val="00EE708B"/>
    <w:rsid w:val="00EE7721"/>
    <w:rsid w:val="00EE781A"/>
    <w:rsid w:val="00EE7BCD"/>
    <w:rsid w:val="00EE7C15"/>
    <w:rsid w:val="00EF01E3"/>
    <w:rsid w:val="00EF0828"/>
    <w:rsid w:val="00EF117C"/>
    <w:rsid w:val="00EF1C11"/>
    <w:rsid w:val="00EF23B6"/>
    <w:rsid w:val="00EF2A27"/>
    <w:rsid w:val="00EF2C59"/>
    <w:rsid w:val="00EF2ED2"/>
    <w:rsid w:val="00EF312E"/>
    <w:rsid w:val="00EF3898"/>
    <w:rsid w:val="00EF3A8B"/>
    <w:rsid w:val="00EF425D"/>
    <w:rsid w:val="00EF4288"/>
    <w:rsid w:val="00EF4CB1"/>
    <w:rsid w:val="00EF585A"/>
    <w:rsid w:val="00EF599E"/>
    <w:rsid w:val="00EF59D4"/>
    <w:rsid w:val="00EF6903"/>
    <w:rsid w:val="00EF6910"/>
    <w:rsid w:val="00EF6FFD"/>
    <w:rsid w:val="00EF7D97"/>
    <w:rsid w:val="00F00605"/>
    <w:rsid w:val="00F007AA"/>
    <w:rsid w:val="00F01DD4"/>
    <w:rsid w:val="00F02676"/>
    <w:rsid w:val="00F02A25"/>
    <w:rsid w:val="00F02FFE"/>
    <w:rsid w:val="00F031C2"/>
    <w:rsid w:val="00F036E7"/>
    <w:rsid w:val="00F037E5"/>
    <w:rsid w:val="00F03AFA"/>
    <w:rsid w:val="00F03E18"/>
    <w:rsid w:val="00F04BFC"/>
    <w:rsid w:val="00F04D6F"/>
    <w:rsid w:val="00F054C1"/>
    <w:rsid w:val="00F055BA"/>
    <w:rsid w:val="00F05D26"/>
    <w:rsid w:val="00F07D11"/>
    <w:rsid w:val="00F07D2B"/>
    <w:rsid w:val="00F07D54"/>
    <w:rsid w:val="00F101E5"/>
    <w:rsid w:val="00F102A4"/>
    <w:rsid w:val="00F10321"/>
    <w:rsid w:val="00F10B3B"/>
    <w:rsid w:val="00F10D28"/>
    <w:rsid w:val="00F11772"/>
    <w:rsid w:val="00F120CC"/>
    <w:rsid w:val="00F1309E"/>
    <w:rsid w:val="00F1364A"/>
    <w:rsid w:val="00F137F6"/>
    <w:rsid w:val="00F13964"/>
    <w:rsid w:val="00F139F2"/>
    <w:rsid w:val="00F13A4E"/>
    <w:rsid w:val="00F147FA"/>
    <w:rsid w:val="00F14F41"/>
    <w:rsid w:val="00F1532F"/>
    <w:rsid w:val="00F1557A"/>
    <w:rsid w:val="00F15C33"/>
    <w:rsid w:val="00F15CB8"/>
    <w:rsid w:val="00F163B4"/>
    <w:rsid w:val="00F163DA"/>
    <w:rsid w:val="00F1655A"/>
    <w:rsid w:val="00F167A5"/>
    <w:rsid w:val="00F1689C"/>
    <w:rsid w:val="00F168C7"/>
    <w:rsid w:val="00F16DBB"/>
    <w:rsid w:val="00F16EBD"/>
    <w:rsid w:val="00F16EDC"/>
    <w:rsid w:val="00F17865"/>
    <w:rsid w:val="00F1787E"/>
    <w:rsid w:val="00F20ACB"/>
    <w:rsid w:val="00F2141B"/>
    <w:rsid w:val="00F217CC"/>
    <w:rsid w:val="00F21BD1"/>
    <w:rsid w:val="00F22A91"/>
    <w:rsid w:val="00F22BA2"/>
    <w:rsid w:val="00F2327E"/>
    <w:rsid w:val="00F24972"/>
    <w:rsid w:val="00F24E71"/>
    <w:rsid w:val="00F25AD2"/>
    <w:rsid w:val="00F25CE4"/>
    <w:rsid w:val="00F263BE"/>
    <w:rsid w:val="00F269AA"/>
    <w:rsid w:val="00F26E2E"/>
    <w:rsid w:val="00F27867"/>
    <w:rsid w:val="00F27F41"/>
    <w:rsid w:val="00F304C4"/>
    <w:rsid w:val="00F31572"/>
    <w:rsid w:val="00F31920"/>
    <w:rsid w:val="00F31E9B"/>
    <w:rsid w:val="00F31EFA"/>
    <w:rsid w:val="00F32075"/>
    <w:rsid w:val="00F3259A"/>
    <w:rsid w:val="00F327CD"/>
    <w:rsid w:val="00F32EB1"/>
    <w:rsid w:val="00F32F89"/>
    <w:rsid w:val="00F33C54"/>
    <w:rsid w:val="00F33DD4"/>
    <w:rsid w:val="00F34210"/>
    <w:rsid w:val="00F34809"/>
    <w:rsid w:val="00F35339"/>
    <w:rsid w:val="00F35F5F"/>
    <w:rsid w:val="00F37C54"/>
    <w:rsid w:val="00F40199"/>
    <w:rsid w:val="00F40420"/>
    <w:rsid w:val="00F40526"/>
    <w:rsid w:val="00F40D63"/>
    <w:rsid w:val="00F40E46"/>
    <w:rsid w:val="00F40F7E"/>
    <w:rsid w:val="00F41047"/>
    <w:rsid w:val="00F41066"/>
    <w:rsid w:val="00F413BC"/>
    <w:rsid w:val="00F415AF"/>
    <w:rsid w:val="00F418B4"/>
    <w:rsid w:val="00F418DE"/>
    <w:rsid w:val="00F42525"/>
    <w:rsid w:val="00F426AF"/>
    <w:rsid w:val="00F42B25"/>
    <w:rsid w:val="00F42C27"/>
    <w:rsid w:val="00F42DE0"/>
    <w:rsid w:val="00F43151"/>
    <w:rsid w:val="00F43E0B"/>
    <w:rsid w:val="00F43F78"/>
    <w:rsid w:val="00F44466"/>
    <w:rsid w:val="00F4487B"/>
    <w:rsid w:val="00F45A46"/>
    <w:rsid w:val="00F45DE8"/>
    <w:rsid w:val="00F47560"/>
    <w:rsid w:val="00F47A3C"/>
    <w:rsid w:val="00F5147D"/>
    <w:rsid w:val="00F51815"/>
    <w:rsid w:val="00F51904"/>
    <w:rsid w:val="00F51AE7"/>
    <w:rsid w:val="00F52A17"/>
    <w:rsid w:val="00F52ACA"/>
    <w:rsid w:val="00F52ADF"/>
    <w:rsid w:val="00F52C67"/>
    <w:rsid w:val="00F52D9D"/>
    <w:rsid w:val="00F52F26"/>
    <w:rsid w:val="00F53FC5"/>
    <w:rsid w:val="00F54509"/>
    <w:rsid w:val="00F54637"/>
    <w:rsid w:val="00F554CB"/>
    <w:rsid w:val="00F56170"/>
    <w:rsid w:val="00F57056"/>
    <w:rsid w:val="00F5763A"/>
    <w:rsid w:val="00F579FB"/>
    <w:rsid w:val="00F60293"/>
    <w:rsid w:val="00F609F4"/>
    <w:rsid w:val="00F61E4F"/>
    <w:rsid w:val="00F629F5"/>
    <w:rsid w:val="00F63478"/>
    <w:rsid w:val="00F637BA"/>
    <w:rsid w:val="00F63E7F"/>
    <w:rsid w:val="00F63F0E"/>
    <w:rsid w:val="00F64D83"/>
    <w:rsid w:val="00F6559F"/>
    <w:rsid w:val="00F6578D"/>
    <w:rsid w:val="00F65CAA"/>
    <w:rsid w:val="00F66495"/>
    <w:rsid w:val="00F6657B"/>
    <w:rsid w:val="00F66D8F"/>
    <w:rsid w:val="00F67590"/>
    <w:rsid w:val="00F67800"/>
    <w:rsid w:val="00F67C7D"/>
    <w:rsid w:val="00F706BF"/>
    <w:rsid w:val="00F706CB"/>
    <w:rsid w:val="00F70C1E"/>
    <w:rsid w:val="00F7137A"/>
    <w:rsid w:val="00F721A1"/>
    <w:rsid w:val="00F7246D"/>
    <w:rsid w:val="00F72603"/>
    <w:rsid w:val="00F72B32"/>
    <w:rsid w:val="00F72CF9"/>
    <w:rsid w:val="00F74160"/>
    <w:rsid w:val="00F74599"/>
    <w:rsid w:val="00F74696"/>
    <w:rsid w:val="00F74A9B"/>
    <w:rsid w:val="00F74E29"/>
    <w:rsid w:val="00F7538A"/>
    <w:rsid w:val="00F754A8"/>
    <w:rsid w:val="00F7596F"/>
    <w:rsid w:val="00F759B1"/>
    <w:rsid w:val="00F759DF"/>
    <w:rsid w:val="00F75D41"/>
    <w:rsid w:val="00F7661B"/>
    <w:rsid w:val="00F77037"/>
    <w:rsid w:val="00F77AF2"/>
    <w:rsid w:val="00F77D78"/>
    <w:rsid w:val="00F80AC1"/>
    <w:rsid w:val="00F80FE4"/>
    <w:rsid w:val="00F81101"/>
    <w:rsid w:val="00F81245"/>
    <w:rsid w:val="00F81CB6"/>
    <w:rsid w:val="00F8361B"/>
    <w:rsid w:val="00F83FCF"/>
    <w:rsid w:val="00F8409C"/>
    <w:rsid w:val="00F843A7"/>
    <w:rsid w:val="00F84C58"/>
    <w:rsid w:val="00F860AA"/>
    <w:rsid w:val="00F8676C"/>
    <w:rsid w:val="00F86790"/>
    <w:rsid w:val="00F878BF"/>
    <w:rsid w:val="00F87E52"/>
    <w:rsid w:val="00F9193B"/>
    <w:rsid w:val="00F91C04"/>
    <w:rsid w:val="00F922B9"/>
    <w:rsid w:val="00F925ED"/>
    <w:rsid w:val="00F92C3E"/>
    <w:rsid w:val="00F92EE1"/>
    <w:rsid w:val="00F92FA0"/>
    <w:rsid w:val="00F93A1E"/>
    <w:rsid w:val="00F940C4"/>
    <w:rsid w:val="00F9454A"/>
    <w:rsid w:val="00F94856"/>
    <w:rsid w:val="00F94BA2"/>
    <w:rsid w:val="00F94EA7"/>
    <w:rsid w:val="00F956E8"/>
    <w:rsid w:val="00F95AE7"/>
    <w:rsid w:val="00F961F6"/>
    <w:rsid w:val="00F967BD"/>
    <w:rsid w:val="00F975FF"/>
    <w:rsid w:val="00F978CB"/>
    <w:rsid w:val="00FA00B8"/>
    <w:rsid w:val="00FA0AF4"/>
    <w:rsid w:val="00FA107F"/>
    <w:rsid w:val="00FA1401"/>
    <w:rsid w:val="00FA1A7B"/>
    <w:rsid w:val="00FA1AD6"/>
    <w:rsid w:val="00FA20DB"/>
    <w:rsid w:val="00FA21DA"/>
    <w:rsid w:val="00FA233B"/>
    <w:rsid w:val="00FA2B5B"/>
    <w:rsid w:val="00FA2C76"/>
    <w:rsid w:val="00FA2E54"/>
    <w:rsid w:val="00FA2E70"/>
    <w:rsid w:val="00FA2EEC"/>
    <w:rsid w:val="00FA3065"/>
    <w:rsid w:val="00FA3945"/>
    <w:rsid w:val="00FA3A58"/>
    <w:rsid w:val="00FA40D7"/>
    <w:rsid w:val="00FA547E"/>
    <w:rsid w:val="00FA5D4E"/>
    <w:rsid w:val="00FA6131"/>
    <w:rsid w:val="00FA6693"/>
    <w:rsid w:val="00FA6A7A"/>
    <w:rsid w:val="00FA759F"/>
    <w:rsid w:val="00FA75FB"/>
    <w:rsid w:val="00FA762A"/>
    <w:rsid w:val="00FB0994"/>
    <w:rsid w:val="00FB0C00"/>
    <w:rsid w:val="00FB1367"/>
    <w:rsid w:val="00FB1603"/>
    <w:rsid w:val="00FB1F38"/>
    <w:rsid w:val="00FB202D"/>
    <w:rsid w:val="00FB2C1A"/>
    <w:rsid w:val="00FB3688"/>
    <w:rsid w:val="00FB3B23"/>
    <w:rsid w:val="00FB4114"/>
    <w:rsid w:val="00FB52E3"/>
    <w:rsid w:val="00FB5807"/>
    <w:rsid w:val="00FB6AC1"/>
    <w:rsid w:val="00FB7EE0"/>
    <w:rsid w:val="00FC0440"/>
    <w:rsid w:val="00FC1CD8"/>
    <w:rsid w:val="00FC1D4F"/>
    <w:rsid w:val="00FC1E7A"/>
    <w:rsid w:val="00FC2139"/>
    <w:rsid w:val="00FC2B02"/>
    <w:rsid w:val="00FC37AD"/>
    <w:rsid w:val="00FC37B5"/>
    <w:rsid w:val="00FC3B25"/>
    <w:rsid w:val="00FC3ED7"/>
    <w:rsid w:val="00FC4DD4"/>
    <w:rsid w:val="00FC533D"/>
    <w:rsid w:val="00FC5869"/>
    <w:rsid w:val="00FC5D38"/>
    <w:rsid w:val="00FC5E32"/>
    <w:rsid w:val="00FC6073"/>
    <w:rsid w:val="00FC6408"/>
    <w:rsid w:val="00FC65C5"/>
    <w:rsid w:val="00FC6887"/>
    <w:rsid w:val="00FC68F2"/>
    <w:rsid w:val="00FC6991"/>
    <w:rsid w:val="00FC6CC0"/>
    <w:rsid w:val="00FC718B"/>
    <w:rsid w:val="00FC7AAC"/>
    <w:rsid w:val="00FC7F43"/>
    <w:rsid w:val="00FD145E"/>
    <w:rsid w:val="00FD17B5"/>
    <w:rsid w:val="00FD240B"/>
    <w:rsid w:val="00FD2441"/>
    <w:rsid w:val="00FD2868"/>
    <w:rsid w:val="00FD2AD4"/>
    <w:rsid w:val="00FD2F36"/>
    <w:rsid w:val="00FD3430"/>
    <w:rsid w:val="00FD3D87"/>
    <w:rsid w:val="00FD494B"/>
    <w:rsid w:val="00FD500F"/>
    <w:rsid w:val="00FD519E"/>
    <w:rsid w:val="00FD5B93"/>
    <w:rsid w:val="00FD5DF6"/>
    <w:rsid w:val="00FD60CC"/>
    <w:rsid w:val="00FD6343"/>
    <w:rsid w:val="00FD64F4"/>
    <w:rsid w:val="00FD67FD"/>
    <w:rsid w:val="00FD6FA4"/>
    <w:rsid w:val="00FD7A5B"/>
    <w:rsid w:val="00FE0352"/>
    <w:rsid w:val="00FE099E"/>
    <w:rsid w:val="00FE1101"/>
    <w:rsid w:val="00FE1431"/>
    <w:rsid w:val="00FE18E4"/>
    <w:rsid w:val="00FE1CD0"/>
    <w:rsid w:val="00FE24DC"/>
    <w:rsid w:val="00FE2E35"/>
    <w:rsid w:val="00FE30B8"/>
    <w:rsid w:val="00FE3E2D"/>
    <w:rsid w:val="00FE3F90"/>
    <w:rsid w:val="00FE4225"/>
    <w:rsid w:val="00FE44CE"/>
    <w:rsid w:val="00FE5F71"/>
    <w:rsid w:val="00FE60C2"/>
    <w:rsid w:val="00FE640B"/>
    <w:rsid w:val="00FE7487"/>
    <w:rsid w:val="00FE7984"/>
    <w:rsid w:val="00FE7ACF"/>
    <w:rsid w:val="00FE7CCF"/>
    <w:rsid w:val="00FF08B7"/>
    <w:rsid w:val="00FF0D99"/>
    <w:rsid w:val="00FF1082"/>
    <w:rsid w:val="00FF1245"/>
    <w:rsid w:val="00FF1C7E"/>
    <w:rsid w:val="00FF2322"/>
    <w:rsid w:val="00FF2479"/>
    <w:rsid w:val="00FF2CE3"/>
    <w:rsid w:val="00FF2D5B"/>
    <w:rsid w:val="00FF3084"/>
    <w:rsid w:val="00FF35A4"/>
    <w:rsid w:val="00FF4594"/>
    <w:rsid w:val="00FF4D3E"/>
    <w:rsid w:val="00FF5761"/>
    <w:rsid w:val="00FF5DB2"/>
    <w:rsid w:val="00FF5E6C"/>
    <w:rsid w:val="00FF64A7"/>
    <w:rsid w:val="00FF71E5"/>
    <w:rsid w:val="00FF770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E24D4"/>
  <w15:docId w15:val="{22960B8B-C68E-48C6-B1AE-3FCAE100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40397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 2"/>
    <w:basedOn w:val="Ttulo3"/>
    <w:next w:val="Normal"/>
    <w:link w:val="Ttulo1Char"/>
    <w:uiPriority w:val="9"/>
    <w:qFormat/>
    <w:rsid w:val="00EE036D"/>
    <w:pPr>
      <w:spacing w:before="480" w:after="360"/>
      <w:outlineLvl w:val="0"/>
    </w:pPr>
    <w:rPr>
      <w:rFonts w:ascii="Verdana" w:hAnsi="Verdana"/>
      <w:b w:val="0"/>
      <w:sz w:val="22"/>
      <w:szCs w:val="22"/>
    </w:rPr>
  </w:style>
  <w:style w:type="paragraph" w:styleId="Ttulo2">
    <w:name w:val="heading 2"/>
    <w:aliases w:val="N 1"/>
    <w:basedOn w:val="Normal"/>
    <w:next w:val="Normal"/>
    <w:link w:val="Ttulo2Char"/>
    <w:uiPriority w:val="9"/>
    <w:unhideWhenUsed/>
    <w:qFormat/>
    <w:rsid w:val="005C3E58"/>
    <w:pPr>
      <w:autoSpaceDE w:val="0"/>
      <w:autoSpaceDN w:val="0"/>
      <w:adjustRightInd w:val="0"/>
      <w:spacing w:before="480" w:after="360" w:line="360" w:lineRule="auto"/>
      <w:ind w:left="454" w:hanging="454"/>
      <w:jc w:val="both"/>
      <w:outlineLvl w:val="1"/>
    </w:pPr>
    <w:rPr>
      <w:rFonts w:ascii="Verdana" w:eastAsia="MS Mincho" w:hAnsi="Verdana"/>
      <w:b/>
      <w:caps/>
      <w:color w:val="000000"/>
      <w:sz w:val="22"/>
      <w:szCs w:val="22"/>
    </w:rPr>
  </w:style>
  <w:style w:type="paragraph" w:styleId="Ttulo3">
    <w:name w:val="heading 3"/>
    <w:basedOn w:val="Normal"/>
    <w:link w:val="Ttulo3Char"/>
    <w:uiPriority w:val="9"/>
    <w:rsid w:val="00B162B7"/>
    <w:pPr>
      <w:autoSpaceDE w:val="0"/>
      <w:autoSpaceDN w:val="0"/>
      <w:adjustRightInd w:val="0"/>
      <w:spacing w:before="400" w:after="400" w:line="360" w:lineRule="auto"/>
      <w:ind w:left="454" w:hanging="454"/>
      <w:jc w:val="both"/>
      <w:outlineLvl w:val="2"/>
    </w:pPr>
    <w:rPr>
      <w:rFonts w:eastAsia="TimesNewRomanPSMT"/>
      <w:b/>
      <w:color w:val="000000"/>
    </w:rPr>
  </w:style>
  <w:style w:type="paragraph" w:styleId="Ttulo4">
    <w:name w:val="heading 4"/>
    <w:basedOn w:val="Default"/>
    <w:next w:val="Normal"/>
    <w:link w:val="Ttulo4Char"/>
    <w:uiPriority w:val="9"/>
    <w:unhideWhenUsed/>
    <w:rsid w:val="006A4689"/>
    <w:pPr>
      <w:spacing w:before="480" w:after="400"/>
      <w:ind w:firstLine="0"/>
      <w:outlineLvl w:val="3"/>
    </w:pPr>
    <w:rPr>
      <w:rFonts w:eastAsia="Times New Roman"/>
      <w:i/>
      <w:kern w:val="24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4154DD"/>
    <w:pPr>
      <w:spacing w:before="400" w:after="400" w:line="360" w:lineRule="auto"/>
      <w:jc w:val="both"/>
      <w:outlineLvl w:val="4"/>
    </w:pPr>
    <w:rPr>
      <w:bCs/>
      <w:i/>
      <w:iCs/>
      <w:color w:val="000000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B405F5"/>
    <w:pPr>
      <w:keepNext/>
      <w:keepLines/>
      <w:spacing w:before="200" w:line="276" w:lineRule="auto"/>
      <w:ind w:firstLine="851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Ttulo7">
    <w:name w:val="heading 7"/>
    <w:aliases w:val="Nível 1"/>
    <w:basedOn w:val="Normal"/>
    <w:next w:val="Normal"/>
    <w:link w:val="Ttulo7Char"/>
    <w:uiPriority w:val="9"/>
    <w:unhideWhenUsed/>
    <w:rsid w:val="008B3FD0"/>
    <w:pPr>
      <w:spacing w:before="400" w:after="400" w:line="360" w:lineRule="auto"/>
      <w:jc w:val="both"/>
      <w:outlineLvl w:val="6"/>
    </w:pPr>
    <w:rPr>
      <w:rFonts w:ascii="Verdana" w:hAnsi="Verdana"/>
      <w:b/>
      <w:color w:val="00000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B405F5"/>
    <w:pPr>
      <w:keepNext/>
      <w:keepLines/>
      <w:spacing w:before="200" w:line="276" w:lineRule="auto"/>
      <w:ind w:firstLine="851"/>
      <w:jc w:val="both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 2 Char"/>
    <w:link w:val="Ttulo1"/>
    <w:uiPriority w:val="9"/>
    <w:rsid w:val="00EE036D"/>
    <w:rPr>
      <w:rFonts w:ascii="Verdana" w:eastAsia="TimesNewRomanPSMT" w:hAnsi="Verdana"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B162B7"/>
    <w:rPr>
      <w:rFonts w:ascii="Times New Roman" w:eastAsia="TimesNewRomanPSMT" w:hAnsi="Times New Roman"/>
      <w:b/>
      <w:sz w:val="24"/>
      <w:szCs w:val="24"/>
    </w:rPr>
  </w:style>
  <w:style w:type="character" w:customStyle="1" w:styleId="Ttulo6Char">
    <w:name w:val="Título 6 Char"/>
    <w:link w:val="Ttulo6"/>
    <w:uiPriority w:val="9"/>
    <w:rsid w:val="00B405F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46FCD"/>
    <w:pPr>
      <w:tabs>
        <w:tab w:val="center" w:pos="4252"/>
        <w:tab w:val="right" w:pos="8504"/>
      </w:tabs>
      <w:ind w:firstLine="851"/>
      <w:jc w:val="both"/>
      <w:outlineLvl w:val="0"/>
    </w:pPr>
    <w:rPr>
      <w:rFonts w:ascii="Verdana" w:eastAsia="MS Mincho" w:hAnsi="Verdana"/>
      <w:color w:val="000000"/>
      <w:sz w:val="22"/>
      <w:szCs w:val="22"/>
    </w:rPr>
  </w:style>
  <w:style w:type="character" w:customStyle="1" w:styleId="CabealhoChar">
    <w:name w:val="Cabeçalho Char"/>
    <w:link w:val="Cabealho"/>
    <w:uiPriority w:val="99"/>
    <w:rsid w:val="00046FCD"/>
    <w:rPr>
      <w:sz w:val="22"/>
      <w:szCs w:val="22"/>
      <w:lang w:eastAsia="en-US"/>
    </w:rPr>
  </w:style>
  <w:style w:type="paragraph" w:styleId="SemEspaamento">
    <w:name w:val="No Spacing"/>
    <w:aliases w:val="Resumo"/>
    <w:uiPriority w:val="1"/>
    <w:qFormat/>
    <w:rsid w:val="002E2560"/>
    <w:pPr>
      <w:spacing w:before="240" w:after="240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apple-converted-space">
    <w:name w:val="apple-converted-space"/>
    <w:rsid w:val="00B620F7"/>
  </w:style>
  <w:style w:type="paragraph" w:styleId="PargrafodaLista">
    <w:name w:val="List Paragraph"/>
    <w:basedOn w:val="Normal"/>
    <w:uiPriority w:val="34"/>
    <w:qFormat/>
    <w:rsid w:val="00B620F7"/>
    <w:pPr>
      <w:spacing w:after="200" w:line="276" w:lineRule="auto"/>
      <w:ind w:left="720" w:firstLine="851"/>
      <w:contextualSpacing/>
      <w:jc w:val="both"/>
      <w:outlineLvl w:val="0"/>
    </w:pPr>
    <w:rPr>
      <w:rFonts w:ascii="Verdana" w:eastAsia="MS Mincho" w:hAnsi="Verdana"/>
      <w:color w:val="000000"/>
      <w:sz w:val="22"/>
      <w:szCs w:val="22"/>
    </w:rPr>
  </w:style>
  <w:style w:type="paragraph" w:customStyle="1" w:styleId="Default">
    <w:name w:val="Default"/>
    <w:rsid w:val="00B620F7"/>
    <w:pPr>
      <w:autoSpaceDE w:val="0"/>
      <w:autoSpaceDN w:val="0"/>
      <w:adjustRightInd w:val="0"/>
      <w:spacing w:before="240" w:after="240" w:line="360" w:lineRule="auto"/>
      <w:ind w:firstLine="562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eo3u">
    <w:name w:val="seo3u"/>
    <w:rsid w:val="00B620F7"/>
  </w:style>
  <w:style w:type="character" w:customStyle="1" w:styleId="longtext">
    <w:name w:val="long_text"/>
    <w:rsid w:val="004D4751"/>
  </w:style>
  <w:style w:type="table" w:styleId="Tabelacomgrade">
    <w:name w:val="Table Grid"/>
    <w:basedOn w:val="Tabelanormal"/>
    <w:uiPriority w:val="59"/>
    <w:rsid w:val="001C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1C67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C679E"/>
    <w:pPr>
      <w:spacing w:before="100" w:beforeAutospacing="1" w:after="100" w:afterAutospacing="1"/>
      <w:ind w:firstLine="851"/>
      <w:jc w:val="both"/>
      <w:outlineLvl w:val="0"/>
    </w:pPr>
    <w:rPr>
      <w:color w:val="000000"/>
    </w:rPr>
  </w:style>
  <w:style w:type="character" w:customStyle="1" w:styleId="notranslate">
    <w:name w:val="notranslate"/>
    <w:rsid w:val="001C679E"/>
  </w:style>
  <w:style w:type="paragraph" w:styleId="Rodap">
    <w:name w:val="footer"/>
    <w:basedOn w:val="Normal"/>
    <w:link w:val="RodapChar"/>
    <w:uiPriority w:val="99"/>
    <w:unhideWhenUsed/>
    <w:rsid w:val="001C679E"/>
    <w:pPr>
      <w:tabs>
        <w:tab w:val="center" w:pos="4252"/>
        <w:tab w:val="right" w:pos="8504"/>
      </w:tabs>
      <w:spacing w:after="60" w:line="360" w:lineRule="auto"/>
      <w:ind w:firstLine="851"/>
      <w:jc w:val="both"/>
      <w:outlineLvl w:val="0"/>
    </w:pPr>
    <w:rPr>
      <w:rFonts w:ascii="Verdana" w:eastAsia="MS Mincho" w:hAnsi="Verdana"/>
      <w:color w:val="000000"/>
      <w:sz w:val="22"/>
      <w:szCs w:val="22"/>
    </w:rPr>
  </w:style>
  <w:style w:type="character" w:customStyle="1" w:styleId="RodapChar">
    <w:name w:val="Rodapé Char"/>
    <w:link w:val="Rodap"/>
    <w:uiPriority w:val="99"/>
    <w:rsid w:val="001C679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C679E"/>
    <w:rPr>
      <w:color w:val="0000FF"/>
      <w:u w:val="single"/>
    </w:rPr>
  </w:style>
  <w:style w:type="table" w:customStyle="1" w:styleId="TabelaSimples51">
    <w:name w:val="Tabela Simples 51"/>
    <w:basedOn w:val="Tabelanormal"/>
    <w:uiPriority w:val="45"/>
    <w:rsid w:val="001C679E"/>
    <w:tblPr>
      <w:tblStyleRowBandSize w:val="1"/>
      <w:tblStyleColBandSize w:val="1"/>
    </w:tblPr>
    <w:tblStylePr w:type="firstRow">
      <w:rPr>
        <w:rFonts w:ascii="Minion Pro" w:eastAsia="Times New Roman" w:hAnsi="Minion Pr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Minion Pro" w:eastAsia="Times New Roman" w:hAnsi="Minion Pr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Minion Pro" w:eastAsia="Times New Roman" w:hAnsi="Minion Pr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Minion Pro" w:eastAsia="Times New Roman" w:hAnsi="Minion Pr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11">
    <w:name w:val="Tabela Simples 11"/>
    <w:basedOn w:val="Tabelanormal"/>
    <w:uiPriority w:val="41"/>
    <w:rsid w:val="001C679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Refdecomentrio">
    <w:name w:val="annotation reference"/>
    <w:uiPriority w:val="99"/>
    <w:semiHidden/>
    <w:unhideWhenUsed/>
    <w:rsid w:val="001C67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679E"/>
    <w:pPr>
      <w:spacing w:after="60" w:line="360" w:lineRule="auto"/>
      <w:ind w:firstLine="851"/>
      <w:jc w:val="both"/>
      <w:outlineLvl w:val="0"/>
    </w:pPr>
    <w:rPr>
      <w:rFonts w:ascii="Verdana" w:eastAsia="MS Mincho" w:hAnsi="Verdana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C679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679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679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79E"/>
    <w:pPr>
      <w:ind w:firstLine="851"/>
      <w:jc w:val="both"/>
      <w:outlineLvl w:val="0"/>
    </w:pPr>
    <w:rPr>
      <w:rFonts w:ascii="Tahoma" w:eastAsia="MS Mincho" w:hAnsi="Tahoma"/>
      <w:color w:val="000000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679E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C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  <w:jc w:val="both"/>
      <w:outlineLvl w:val="0"/>
    </w:pPr>
    <w:rPr>
      <w:rFonts w:ascii="Courier New" w:hAnsi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1C679E"/>
    <w:rPr>
      <w:rFonts w:ascii="Courier New" w:eastAsia="Times New Roman" w:hAnsi="Courier New" w:cs="Courier New"/>
    </w:rPr>
  </w:style>
  <w:style w:type="paragraph" w:customStyle="1" w:styleId="ListaMdia1-nfase61">
    <w:name w:val="Lista Média 1 - Ênfase 61"/>
    <w:basedOn w:val="Normal"/>
    <w:uiPriority w:val="34"/>
    <w:qFormat/>
    <w:rsid w:val="001C679E"/>
    <w:pPr>
      <w:spacing w:line="276" w:lineRule="auto"/>
      <w:ind w:left="720" w:firstLine="851"/>
      <w:contextualSpacing/>
      <w:jc w:val="both"/>
      <w:outlineLvl w:val="0"/>
    </w:pPr>
    <w:rPr>
      <w:rFonts w:ascii="Verdana" w:eastAsia="MS Mincho" w:hAnsi="Verdana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1C679E"/>
    <w:pPr>
      <w:spacing w:line="161" w:lineRule="atLeast"/>
    </w:pPr>
    <w:rPr>
      <w:rFonts w:ascii="Gotham" w:hAnsi="Gotham"/>
      <w:color w:val="auto"/>
      <w:lang w:eastAsia="pt-BR"/>
    </w:rPr>
  </w:style>
  <w:style w:type="character" w:customStyle="1" w:styleId="A6">
    <w:name w:val="A6"/>
    <w:uiPriority w:val="99"/>
    <w:rsid w:val="001C679E"/>
    <w:rPr>
      <w:rFonts w:cs="Gotham"/>
      <w:color w:val="000000"/>
      <w:sz w:val="18"/>
      <w:szCs w:val="18"/>
    </w:rPr>
  </w:style>
  <w:style w:type="character" w:customStyle="1" w:styleId="A4">
    <w:name w:val="A4"/>
    <w:uiPriority w:val="99"/>
    <w:rsid w:val="001C679E"/>
    <w:rPr>
      <w:rFonts w:cs="Gotham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1C679E"/>
    <w:pPr>
      <w:spacing w:line="161" w:lineRule="atLeast"/>
    </w:pPr>
    <w:rPr>
      <w:rFonts w:ascii="Gotham" w:hAnsi="Gotham"/>
      <w:color w:val="auto"/>
      <w:lang w:eastAsia="pt-BR"/>
    </w:rPr>
  </w:style>
  <w:style w:type="character" w:customStyle="1" w:styleId="A7">
    <w:name w:val="A7"/>
    <w:uiPriority w:val="99"/>
    <w:rsid w:val="001C679E"/>
    <w:rPr>
      <w:rFonts w:cs="Gotham"/>
      <w:color w:val="000000"/>
      <w:sz w:val="12"/>
      <w:szCs w:val="12"/>
    </w:rPr>
  </w:style>
  <w:style w:type="character" w:customStyle="1" w:styleId="cit-title">
    <w:name w:val="cit-title"/>
    <w:rsid w:val="001C679E"/>
  </w:style>
  <w:style w:type="character" w:customStyle="1" w:styleId="site-title">
    <w:name w:val="site-title"/>
    <w:rsid w:val="001C679E"/>
  </w:style>
  <w:style w:type="character" w:customStyle="1" w:styleId="cit-elocation">
    <w:name w:val="cit-elocation"/>
    <w:rsid w:val="001C679E"/>
  </w:style>
  <w:style w:type="character" w:customStyle="1" w:styleId="cit-sep">
    <w:name w:val="cit-sep"/>
    <w:rsid w:val="001C679E"/>
  </w:style>
  <w:style w:type="character" w:customStyle="1" w:styleId="cit-ahead-of-print-date">
    <w:name w:val="cit-ahead-of-print-date"/>
    <w:rsid w:val="001C679E"/>
  </w:style>
  <w:style w:type="character" w:customStyle="1" w:styleId="name">
    <w:name w:val="name"/>
    <w:rsid w:val="001C679E"/>
  </w:style>
  <w:style w:type="character" w:customStyle="1" w:styleId="contrib-email">
    <w:name w:val="contrib-email"/>
    <w:rsid w:val="001C679E"/>
  </w:style>
  <w:style w:type="character" w:styleId="Nmerodelinha">
    <w:name w:val="line number"/>
    <w:uiPriority w:val="99"/>
    <w:semiHidden/>
    <w:unhideWhenUsed/>
    <w:rsid w:val="001C679E"/>
  </w:style>
  <w:style w:type="character" w:customStyle="1" w:styleId="Ttulo8Char">
    <w:name w:val="Título 8 Char"/>
    <w:link w:val="Ttulo8"/>
    <w:uiPriority w:val="9"/>
    <w:rsid w:val="00B405F5"/>
    <w:rPr>
      <w:rFonts w:ascii="Cambria" w:eastAsia="Times New Roman" w:hAnsi="Cambria"/>
      <w:color w:val="404040"/>
      <w:lang w:eastAsia="en-US"/>
    </w:rPr>
  </w:style>
  <w:style w:type="character" w:styleId="nfase">
    <w:name w:val="Emphasis"/>
    <w:aliases w:val="Fonte"/>
    <w:uiPriority w:val="20"/>
    <w:qFormat/>
    <w:rsid w:val="0096751E"/>
    <w:rPr>
      <w:sz w:val="20"/>
      <w:szCs w:val="20"/>
    </w:rPr>
  </w:style>
  <w:style w:type="character" w:customStyle="1" w:styleId="style2">
    <w:name w:val="style2"/>
    <w:rsid w:val="00B405F5"/>
  </w:style>
  <w:style w:type="character" w:customStyle="1" w:styleId="style3">
    <w:name w:val="style3"/>
    <w:rsid w:val="00B405F5"/>
  </w:style>
  <w:style w:type="character" w:customStyle="1" w:styleId="subhead">
    <w:name w:val="subhead"/>
    <w:rsid w:val="00B405F5"/>
  </w:style>
  <w:style w:type="paragraph" w:styleId="Recuodecorpodetexto">
    <w:name w:val="Body Text Indent"/>
    <w:basedOn w:val="Normal"/>
    <w:link w:val="RecuodecorpodetextoChar"/>
    <w:uiPriority w:val="99"/>
    <w:unhideWhenUsed/>
    <w:rsid w:val="00B405F5"/>
    <w:pPr>
      <w:spacing w:after="120"/>
      <w:ind w:left="283" w:firstLine="851"/>
      <w:jc w:val="both"/>
      <w:outlineLvl w:val="0"/>
    </w:pPr>
    <w:rPr>
      <w:color w:val="000000"/>
    </w:rPr>
  </w:style>
  <w:style w:type="character" w:customStyle="1" w:styleId="RecuodecorpodetextoChar">
    <w:name w:val="Recuo de corpo de texto Char"/>
    <w:link w:val="Recuodecorpodetexto"/>
    <w:uiPriority w:val="99"/>
    <w:rsid w:val="00B405F5"/>
    <w:rPr>
      <w:rFonts w:ascii="Times New Roman" w:eastAsia="Times New Roman" w:hAnsi="Times New Roman"/>
      <w:sz w:val="24"/>
      <w:szCs w:val="24"/>
      <w:lang w:eastAsia="en-US"/>
    </w:rPr>
  </w:style>
  <w:style w:type="character" w:styleId="Forte">
    <w:name w:val="Strong"/>
    <w:aliases w:val="Tabela"/>
    <w:uiPriority w:val="22"/>
    <w:qFormat/>
    <w:rsid w:val="00CB4714"/>
    <w:rPr>
      <w:bCs/>
      <w:sz w:val="18"/>
      <w:szCs w:val="18"/>
    </w:rPr>
  </w:style>
  <w:style w:type="paragraph" w:styleId="Textodenotaderodap">
    <w:name w:val="footnote text"/>
    <w:basedOn w:val="Normal"/>
    <w:next w:val="Normal"/>
    <w:link w:val="TextodenotaderodapChar"/>
    <w:uiPriority w:val="99"/>
    <w:semiHidden/>
    <w:rsid w:val="00B405F5"/>
    <w:pPr>
      <w:ind w:firstLine="851"/>
      <w:jc w:val="both"/>
      <w:outlineLvl w:val="0"/>
    </w:pPr>
    <w:rPr>
      <w:rFonts w:ascii="Arial,Bold" w:hAnsi="Arial,Bold"/>
      <w:color w:val="00000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405F5"/>
    <w:rPr>
      <w:rFonts w:ascii="Arial,Bold" w:eastAsia="Times New Roman" w:hAnsi="Arial,Bold"/>
      <w:snapToGrid w:val="0"/>
      <w:sz w:val="24"/>
      <w:lang w:eastAsia="en-US"/>
    </w:rPr>
  </w:style>
  <w:style w:type="paragraph" w:styleId="Bibliografia">
    <w:name w:val="Bibliography"/>
    <w:basedOn w:val="Normal"/>
    <w:next w:val="Normal"/>
    <w:uiPriority w:val="37"/>
    <w:unhideWhenUsed/>
    <w:rsid w:val="00B405F5"/>
    <w:pPr>
      <w:spacing w:after="200" w:line="276" w:lineRule="auto"/>
      <w:ind w:firstLine="851"/>
      <w:jc w:val="both"/>
      <w:outlineLvl w:val="0"/>
    </w:pPr>
    <w:rPr>
      <w:rFonts w:ascii="Verdana" w:eastAsia="MS Mincho" w:hAnsi="Verdana"/>
      <w:color w:val="000000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B405F5"/>
    <w:pPr>
      <w:spacing w:line="360" w:lineRule="auto"/>
      <w:ind w:left="1100" w:firstLine="851"/>
      <w:outlineLvl w:val="0"/>
    </w:pPr>
    <w:rPr>
      <w:rFonts w:ascii="Calibri" w:eastAsia="MS Mincho" w:hAnsi="Calibri"/>
      <w:color w:val="000000"/>
      <w:sz w:val="20"/>
      <w:szCs w:val="20"/>
    </w:rPr>
  </w:style>
  <w:style w:type="paragraph" w:customStyle="1" w:styleId="texto">
    <w:name w:val="texto"/>
    <w:rsid w:val="00B405F5"/>
    <w:pPr>
      <w:autoSpaceDE w:val="0"/>
      <w:autoSpaceDN w:val="0"/>
      <w:adjustRightInd w:val="0"/>
      <w:spacing w:before="240" w:after="240" w:line="270" w:lineRule="atLeast"/>
      <w:ind w:firstLine="567"/>
      <w:jc w:val="both"/>
    </w:pPr>
    <w:rPr>
      <w:rFonts w:ascii="Minion-Regular" w:eastAsia="Times New Roman" w:hAnsi="Minion-Regular"/>
      <w:color w:val="000000"/>
      <w:sz w:val="22"/>
    </w:rPr>
  </w:style>
  <w:style w:type="paragraph" w:customStyle="1" w:styleId="subsubttulo">
    <w:name w:val="subsubtítulo"/>
    <w:basedOn w:val="texto"/>
    <w:rsid w:val="00B405F5"/>
    <w:pPr>
      <w:spacing w:before="227" w:after="113"/>
      <w:ind w:firstLine="0"/>
    </w:pPr>
    <w:rPr>
      <w:rFonts w:ascii="ITC Officina Sans Book" w:hAnsi="ITC Officina Sans Book"/>
      <w:b/>
      <w:i/>
      <w:color w:val="auto"/>
      <w:sz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117F5"/>
    <w:pPr>
      <w:tabs>
        <w:tab w:val="right" w:leader="dot" w:pos="9061"/>
      </w:tabs>
      <w:spacing w:line="360" w:lineRule="auto"/>
      <w:ind w:right="284"/>
      <w:jc w:val="both"/>
      <w:outlineLvl w:val="0"/>
    </w:pPr>
    <w:rPr>
      <w:rFonts w:eastAsia="MS Mincho"/>
      <w:b/>
      <w:bCs/>
      <w:caps/>
      <w:color w:val="000000"/>
    </w:rPr>
  </w:style>
  <w:style w:type="paragraph" w:styleId="Corpodetexto2">
    <w:name w:val="Body Text 2"/>
    <w:basedOn w:val="Normal"/>
    <w:link w:val="Corpodetexto2Char"/>
    <w:uiPriority w:val="99"/>
    <w:unhideWhenUsed/>
    <w:rsid w:val="00B405F5"/>
    <w:pPr>
      <w:spacing w:after="120" w:line="480" w:lineRule="auto"/>
      <w:ind w:firstLine="851"/>
      <w:jc w:val="both"/>
      <w:outlineLvl w:val="0"/>
    </w:pPr>
    <w:rPr>
      <w:rFonts w:ascii="Verdana" w:eastAsia="MS Mincho" w:hAnsi="Verdana"/>
      <w:color w:val="000000"/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B405F5"/>
    <w:rPr>
      <w:sz w:val="22"/>
      <w:szCs w:val="22"/>
      <w:lang w:eastAsia="en-US"/>
    </w:rPr>
  </w:style>
  <w:style w:type="character" w:customStyle="1" w:styleId="asp40b4e">
    <w:name w:val="asp40b4e"/>
    <w:rsid w:val="00B405F5"/>
  </w:style>
  <w:style w:type="table" w:customStyle="1" w:styleId="Tabelacomgrade1">
    <w:name w:val="Tabela com grade1"/>
    <w:basedOn w:val="Tabelanormal"/>
    <w:next w:val="Tabelacomgrade"/>
    <w:uiPriority w:val="59"/>
    <w:rsid w:val="006B76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99"/>
    <w:qFormat/>
    <w:rsid w:val="00181F6B"/>
    <w:pPr>
      <w:ind w:left="720" w:firstLine="851"/>
      <w:contextualSpacing/>
      <w:jc w:val="both"/>
      <w:outlineLvl w:val="0"/>
    </w:pPr>
    <w:rPr>
      <w:rFonts w:ascii="Verdana" w:eastAsia="MS Mincho" w:hAnsi="Verdana"/>
      <w:color w:val="000000"/>
      <w:sz w:val="22"/>
      <w:szCs w:val="22"/>
    </w:rPr>
  </w:style>
  <w:style w:type="character" w:customStyle="1" w:styleId="Ttulo2Char">
    <w:name w:val="Título 2 Char"/>
    <w:aliases w:val="N 1 Char"/>
    <w:link w:val="Ttulo2"/>
    <w:uiPriority w:val="9"/>
    <w:rsid w:val="005C3E58"/>
    <w:rPr>
      <w:rFonts w:ascii="Verdana" w:eastAsia="MS Mincho" w:hAnsi="Verdana"/>
      <w:b/>
      <w:caps/>
      <w:color w:val="000000"/>
      <w:sz w:val="22"/>
      <w:szCs w:val="22"/>
    </w:rPr>
  </w:style>
  <w:style w:type="table" w:customStyle="1" w:styleId="TabeladeGrade1Clara1">
    <w:name w:val="Tabela de Grade 1 Clara1"/>
    <w:basedOn w:val="Tabelanormal"/>
    <w:uiPriority w:val="46"/>
    <w:rsid w:val="0061406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61406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61406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52">
    <w:name w:val="Tabela Simples 52"/>
    <w:basedOn w:val="Tabelanormal"/>
    <w:uiPriority w:val="45"/>
    <w:rsid w:val="0061406B"/>
    <w:tblPr>
      <w:tblStyleRowBandSize w:val="1"/>
      <w:tblStyleColBandSize w:val="1"/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6140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cxmsonormal">
    <w:name w:val="ecxmsonormal"/>
    <w:basedOn w:val="Normal"/>
    <w:rsid w:val="00E30DA4"/>
    <w:pPr>
      <w:spacing w:before="100" w:beforeAutospacing="1" w:after="100" w:afterAutospacing="1"/>
      <w:ind w:firstLine="851"/>
      <w:jc w:val="both"/>
      <w:outlineLvl w:val="0"/>
    </w:pPr>
    <w:rPr>
      <w:color w:val="000000"/>
    </w:rPr>
  </w:style>
  <w:style w:type="paragraph" w:customStyle="1" w:styleId="rtejustify">
    <w:name w:val="rtejustify"/>
    <w:basedOn w:val="Normal"/>
    <w:rsid w:val="00BF13B4"/>
    <w:pPr>
      <w:spacing w:before="100" w:beforeAutospacing="1" w:after="100" w:afterAutospacing="1"/>
      <w:ind w:firstLine="851"/>
      <w:jc w:val="both"/>
      <w:outlineLvl w:val="0"/>
    </w:pPr>
    <w:rPr>
      <w:color w:val="000000"/>
    </w:rPr>
  </w:style>
  <w:style w:type="paragraph" w:customStyle="1" w:styleId="textoprincipal">
    <w:name w:val="texto_principal"/>
    <w:basedOn w:val="Normal"/>
    <w:rsid w:val="00C746D6"/>
    <w:pPr>
      <w:spacing w:before="100" w:beforeAutospacing="1" w:after="100" w:afterAutospacing="1"/>
      <w:ind w:firstLine="851"/>
      <w:jc w:val="both"/>
      <w:outlineLvl w:val="0"/>
    </w:pPr>
    <w:rPr>
      <w:color w:val="000000"/>
    </w:rPr>
  </w:style>
  <w:style w:type="character" w:customStyle="1" w:styleId="textbf">
    <w:name w:val="textbf"/>
    <w:basedOn w:val="Fontepargpadro"/>
    <w:rsid w:val="00974F6D"/>
  </w:style>
  <w:style w:type="table" w:customStyle="1" w:styleId="SombreamentoClaro1">
    <w:name w:val="Sombreamento Claro1"/>
    <w:basedOn w:val="Tabelanormal"/>
    <w:uiPriority w:val="60"/>
    <w:rsid w:val="00C434F0"/>
    <w:rPr>
      <w:rFonts w:eastAsia="MS Mincho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argen05">
    <w:name w:val="margen05"/>
    <w:basedOn w:val="Normal"/>
    <w:rsid w:val="003F3E7C"/>
    <w:pPr>
      <w:spacing w:before="100" w:beforeAutospacing="1" w:after="100" w:afterAutospacing="1"/>
      <w:ind w:firstLine="851"/>
      <w:jc w:val="both"/>
      <w:outlineLvl w:val="0"/>
    </w:pPr>
    <w:rPr>
      <w:color w:val="000000"/>
    </w:rPr>
  </w:style>
  <w:style w:type="character" w:customStyle="1" w:styleId="A22">
    <w:name w:val="A2+2"/>
    <w:uiPriority w:val="99"/>
    <w:rsid w:val="001A6ABC"/>
    <w:rPr>
      <w:rFonts w:cs="Minion Pro"/>
      <w:color w:val="000000"/>
      <w:sz w:val="22"/>
      <w:szCs w:val="22"/>
    </w:rPr>
  </w:style>
  <w:style w:type="paragraph" w:customStyle="1" w:styleId="Pa32">
    <w:name w:val="Pa3+2"/>
    <w:basedOn w:val="Default"/>
    <w:next w:val="Default"/>
    <w:uiPriority w:val="99"/>
    <w:rsid w:val="001A6ABC"/>
    <w:pPr>
      <w:spacing w:line="241" w:lineRule="atLeast"/>
    </w:pPr>
    <w:rPr>
      <w:rFonts w:ascii="Minion Pro" w:hAnsi="Minion Pro"/>
      <w:color w:val="auto"/>
      <w:lang w:eastAsia="pt-BR"/>
    </w:rPr>
  </w:style>
  <w:style w:type="character" w:customStyle="1" w:styleId="A51">
    <w:name w:val="A5+1"/>
    <w:uiPriority w:val="99"/>
    <w:rsid w:val="001A6ABC"/>
    <w:rPr>
      <w:rFonts w:cs="Minion Pro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0A0119"/>
    <w:pPr>
      <w:spacing w:line="241" w:lineRule="atLeast"/>
    </w:pPr>
    <w:rPr>
      <w:rFonts w:ascii="Minion Pro" w:hAnsi="Minion Pro"/>
      <w:color w:val="auto"/>
      <w:lang w:eastAsia="pt-BR"/>
    </w:rPr>
  </w:style>
  <w:style w:type="table" w:customStyle="1" w:styleId="PlainTable11">
    <w:name w:val="Plain Table 11"/>
    <w:basedOn w:val="Tabelanormal"/>
    <w:uiPriority w:val="41"/>
    <w:rsid w:val="0028133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o">
    <w:name w:val="Revision"/>
    <w:hidden/>
    <w:uiPriority w:val="99"/>
    <w:semiHidden/>
    <w:rsid w:val="00855E20"/>
    <w:pPr>
      <w:spacing w:before="240" w:after="240" w:line="360" w:lineRule="auto"/>
      <w:ind w:firstLine="562"/>
      <w:jc w:val="both"/>
    </w:pPr>
    <w:rPr>
      <w:sz w:val="22"/>
      <w:szCs w:val="22"/>
      <w:lang w:eastAsia="en-US"/>
    </w:rPr>
  </w:style>
  <w:style w:type="numbering" w:customStyle="1" w:styleId="NoList1">
    <w:name w:val="No List1"/>
    <w:next w:val="Semlista"/>
    <w:uiPriority w:val="99"/>
    <w:semiHidden/>
    <w:unhideWhenUsed/>
    <w:rsid w:val="00334B3E"/>
  </w:style>
  <w:style w:type="character" w:customStyle="1" w:styleId="FollowedHyperlink1">
    <w:name w:val="FollowedHyperlink1"/>
    <w:uiPriority w:val="99"/>
    <w:semiHidden/>
    <w:unhideWhenUsed/>
    <w:rsid w:val="00334B3E"/>
    <w:rPr>
      <w:color w:val="800080"/>
      <w:u w:val="single"/>
    </w:rPr>
  </w:style>
  <w:style w:type="table" w:customStyle="1" w:styleId="TableGrid1">
    <w:name w:val="Table Grid1"/>
    <w:basedOn w:val="Tabelanormal"/>
    <w:next w:val="Tabelacomgrade"/>
    <w:uiPriority w:val="59"/>
    <w:rsid w:val="00334B3E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4B3E"/>
    <w:rPr>
      <w:color w:val="808080"/>
    </w:rPr>
  </w:style>
  <w:style w:type="paragraph" w:customStyle="1" w:styleId="DocumentMap1">
    <w:name w:val="Document Map1"/>
    <w:basedOn w:val="Normal"/>
    <w:next w:val="MapadoDocumento"/>
    <w:link w:val="DocumentMapChar"/>
    <w:uiPriority w:val="99"/>
    <w:semiHidden/>
    <w:unhideWhenUsed/>
    <w:rsid w:val="00334B3E"/>
    <w:rPr>
      <w:sz w:val="20"/>
      <w:szCs w:val="20"/>
    </w:rPr>
  </w:style>
  <w:style w:type="character" w:customStyle="1" w:styleId="DocumentMapChar">
    <w:name w:val="Document Map Char"/>
    <w:link w:val="DocumentMap1"/>
    <w:uiPriority w:val="99"/>
    <w:semiHidden/>
    <w:rsid w:val="00334B3E"/>
    <w:rPr>
      <w:rFonts w:ascii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34B3E"/>
  </w:style>
  <w:style w:type="paragraph" w:customStyle="1" w:styleId="Corpo">
    <w:name w:val="Corpo"/>
    <w:rsid w:val="00334B3E"/>
    <w:pPr>
      <w:pBdr>
        <w:top w:val="nil"/>
        <w:left w:val="nil"/>
        <w:bottom w:val="nil"/>
        <w:right w:val="nil"/>
        <w:between w:val="nil"/>
        <w:bar w:val="nil"/>
      </w:pBdr>
      <w:spacing w:before="240" w:after="200" w:line="276" w:lineRule="auto"/>
      <w:ind w:firstLine="562"/>
      <w:jc w:val="both"/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PlainTable21">
    <w:name w:val="Plain Table 21"/>
    <w:basedOn w:val="Tabelanormal"/>
    <w:next w:val="PlainTable22"/>
    <w:uiPriority w:val="42"/>
    <w:rsid w:val="00334B3E"/>
    <w:rPr>
      <w:rFonts w:ascii="Cambria" w:eastAsia="MS Mincho" w:hAnsi="Cambria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iperlinkVisitado">
    <w:name w:val="FollowedHyperlink"/>
    <w:uiPriority w:val="99"/>
    <w:semiHidden/>
    <w:unhideWhenUsed/>
    <w:rsid w:val="00334B3E"/>
    <w:rPr>
      <w:color w:val="800080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34B3E"/>
    <w:rPr>
      <w:rFonts w:ascii="Segoe UI" w:hAnsi="Segoe UI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34B3E"/>
    <w:rPr>
      <w:rFonts w:ascii="Segoe UI" w:hAnsi="Segoe UI" w:cs="Segoe UI"/>
      <w:sz w:val="16"/>
      <w:szCs w:val="16"/>
      <w:lang w:eastAsia="en-US"/>
    </w:rPr>
  </w:style>
  <w:style w:type="table" w:customStyle="1" w:styleId="PlainTable22">
    <w:name w:val="Plain Table 22"/>
    <w:basedOn w:val="Tabelanormal"/>
    <w:uiPriority w:val="99"/>
    <w:rsid w:val="00334B3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E4E84"/>
    <w:pPr>
      <w:spacing w:line="259" w:lineRule="auto"/>
      <w:jc w:val="left"/>
      <w:outlineLvl w:val="9"/>
    </w:pPr>
    <w:rPr>
      <w:rFonts w:ascii="Cambria" w:eastAsia="MS Gothic" w:hAnsi="Cambria"/>
      <w:b/>
      <w:bCs/>
      <w:color w:val="365F91"/>
      <w:sz w:val="32"/>
      <w:szCs w:val="32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A117F5"/>
    <w:pPr>
      <w:spacing w:line="360" w:lineRule="auto"/>
      <w:ind w:right="284"/>
      <w:jc w:val="both"/>
      <w:outlineLvl w:val="0"/>
    </w:pPr>
    <w:rPr>
      <w:rFonts w:eastAsia="MS Mincho"/>
      <w:b/>
      <w:bCs/>
      <w:caps/>
      <w:color w:val="00000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117F5"/>
    <w:pPr>
      <w:spacing w:line="360" w:lineRule="auto"/>
      <w:ind w:right="284"/>
      <w:jc w:val="both"/>
      <w:outlineLvl w:val="0"/>
    </w:pPr>
    <w:rPr>
      <w:rFonts w:eastAsia="MS Mincho"/>
      <w:b/>
      <w:color w:val="00000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F415AF"/>
    <w:pPr>
      <w:spacing w:line="360" w:lineRule="auto"/>
      <w:ind w:left="397" w:right="284" w:hanging="397"/>
      <w:jc w:val="both"/>
      <w:outlineLvl w:val="0"/>
    </w:pPr>
    <w:rPr>
      <w:rFonts w:eastAsia="MS Mincho"/>
      <w:color w:val="00000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qFormat/>
    <w:rsid w:val="00135584"/>
    <w:pPr>
      <w:tabs>
        <w:tab w:val="right" w:leader="dot" w:pos="9061"/>
      </w:tabs>
      <w:spacing w:line="360" w:lineRule="auto"/>
      <w:ind w:left="709" w:right="284" w:hanging="709"/>
      <w:jc w:val="both"/>
      <w:outlineLvl w:val="0"/>
    </w:pPr>
    <w:rPr>
      <w:rFonts w:eastAsia="MS Mincho"/>
      <w:b/>
      <w:i/>
      <w:noProof/>
      <w:color w:val="00000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qFormat/>
    <w:rsid w:val="00A117F5"/>
    <w:pPr>
      <w:spacing w:line="360" w:lineRule="auto"/>
      <w:ind w:right="284"/>
      <w:jc w:val="both"/>
      <w:outlineLvl w:val="0"/>
    </w:pPr>
    <w:rPr>
      <w:rFonts w:eastAsia="MS Mincho"/>
      <w:b/>
      <w:i/>
      <w:color w:val="00000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E4B20"/>
    <w:pPr>
      <w:spacing w:line="360" w:lineRule="auto"/>
      <w:ind w:left="880" w:firstLine="851"/>
      <w:outlineLvl w:val="0"/>
    </w:pPr>
    <w:rPr>
      <w:rFonts w:ascii="Calibri" w:eastAsia="MS Mincho" w:hAnsi="Calibri"/>
      <w:color w:val="000000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E4B20"/>
    <w:pPr>
      <w:spacing w:line="360" w:lineRule="auto"/>
      <w:ind w:left="1320" w:firstLine="851"/>
      <w:outlineLvl w:val="0"/>
    </w:pPr>
    <w:rPr>
      <w:rFonts w:ascii="Calibri" w:eastAsia="MS Mincho" w:hAnsi="Calibri"/>
      <w:color w:val="000000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E4B20"/>
    <w:pPr>
      <w:spacing w:line="360" w:lineRule="auto"/>
      <w:ind w:left="1540" w:firstLine="851"/>
      <w:outlineLvl w:val="0"/>
    </w:pPr>
    <w:rPr>
      <w:rFonts w:ascii="Calibri" w:eastAsia="MS Mincho" w:hAnsi="Calibri"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E552C7"/>
    <w:pPr>
      <w:jc w:val="both"/>
      <w:outlineLvl w:val="0"/>
    </w:pPr>
    <w:rPr>
      <w:rFonts w:eastAsia="MS Mincho"/>
      <w:iCs/>
      <w:color w:val="000000"/>
      <w:sz w:val="20"/>
      <w:szCs w:val="20"/>
    </w:rPr>
  </w:style>
  <w:style w:type="character" w:customStyle="1" w:styleId="Ttulo4Char">
    <w:name w:val="Título 4 Char"/>
    <w:link w:val="Ttulo4"/>
    <w:uiPriority w:val="9"/>
    <w:rsid w:val="006A4689"/>
    <w:rPr>
      <w:rFonts w:ascii="Times New Roman" w:eastAsia="Times New Roman" w:hAnsi="Times New Roman"/>
      <w:i/>
      <w:color w:val="000000"/>
      <w:kern w:val="24"/>
      <w:sz w:val="24"/>
      <w:szCs w:val="24"/>
    </w:rPr>
  </w:style>
  <w:style w:type="character" w:customStyle="1" w:styleId="Ttulo7Char">
    <w:name w:val="Título 7 Char"/>
    <w:aliases w:val="Nível 1 Char"/>
    <w:link w:val="Ttulo7"/>
    <w:uiPriority w:val="9"/>
    <w:rsid w:val="008B3FD0"/>
    <w:rPr>
      <w:rFonts w:ascii="Verdana" w:eastAsia="Times New Roman" w:hAnsi="Verdana"/>
      <w:b/>
      <w:color w:val="000000"/>
      <w:sz w:val="22"/>
      <w:szCs w:val="22"/>
      <w:lang w:eastAsia="pt-BR"/>
    </w:rPr>
  </w:style>
  <w:style w:type="character" w:customStyle="1" w:styleId="Ttulo5Char">
    <w:name w:val="Título 5 Char"/>
    <w:link w:val="Ttulo5"/>
    <w:uiPriority w:val="9"/>
    <w:rsid w:val="004154DD"/>
    <w:rPr>
      <w:rFonts w:ascii="Times New Roman" w:eastAsia="Times New Roman" w:hAnsi="Times New Roman"/>
      <w:bCs/>
      <w:i/>
      <w:iCs/>
      <w:color w:val="000000"/>
      <w:sz w:val="24"/>
      <w:szCs w:val="26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951C5E"/>
    <w:pPr>
      <w:spacing w:before="240" w:after="60" w:line="360" w:lineRule="auto"/>
      <w:outlineLvl w:val="0"/>
    </w:pPr>
    <w:rPr>
      <w:rFonts w:ascii="Verdana" w:hAnsi="Verdana"/>
      <w:b/>
      <w:bCs/>
      <w:color w:val="000000"/>
      <w:kern w:val="28"/>
      <w:sz w:val="22"/>
      <w:szCs w:val="22"/>
    </w:rPr>
  </w:style>
  <w:style w:type="character" w:customStyle="1" w:styleId="TtuloChar">
    <w:name w:val="Título Char"/>
    <w:link w:val="Ttulo"/>
    <w:uiPriority w:val="10"/>
    <w:rsid w:val="00951C5E"/>
    <w:rPr>
      <w:rFonts w:ascii="Verdana" w:eastAsia="Times New Roman" w:hAnsi="Verdana" w:cs="Times New Roman"/>
      <w:b/>
      <w:bCs/>
      <w:color w:val="000000"/>
      <w:kern w:val="28"/>
      <w:sz w:val="22"/>
      <w:szCs w:val="22"/>
      <w:lang w:val="pt-BR" w:eastAsia="pt-BR"/>
    </w:rPr>
  </w:style>
  <w:style w:type="paragraph" w:styleId="Subttulo">
    <w:name w:val="Subtitle"/>
    <w:aliases w:val="Quadro"/>
    <w:basedOn w:val="Normal"/>
    <w:next w:val="Normal"/>
    <w:link w:val="SubttuloChar"/>
    <w:uiPriority w:val="11"/>
    <w:qFormat/>
    <w:rsid w:val="007B380C"/>
    <w:pPr>
      <w:spacing w:after="60"/>
      <w:outlineLvl w:val="1"/>
    </w:pPr>
    <w:rPr>
      <w:rFonts w:ascii="Verdana" w:hAnsi="Verdana"/>
      <w:color w:val="000000"/>
      <w:sz w:val="18"/>
    </w:rPr>
  </w:style>
  <w:style w:type="character" w:customStyle="1" w:styleId="SubttuloChar">
    <w:name w:val="Subtítulo Char"/>
    <w:aliases w:val="Quadro Char"/>
    <w:link w:val="Subttulo"/>
    <w:uiPriority w:val="11"/>
    <w:rsid w:val="007B380C"/>
    <w:rPr>
      <w:rFonts w:ascii="Verdana" w:eastAsia="Times New Roman" w:hAnsi="Verdana" w:cs="Times New Roman"/>
      <w:color w:val="000000"/>
      <w:sz w:val="18"/>
      <w:szCs w:val="24"/>
      <w:lang w:val="pt-BR" w:eastAsia="pt-BR"/>
    </w:rPr>
  </w:style>
  <w:style w:type="character" w:styleId="nfaseSutil">
    <w:name w:val="Subtle Emphasis"/>
    <w:aliases w:val="Inf Legenda"/>
    <w:uiPriority w:val="19"/>
    <w:qFormat/>
    <w:rsid w:val="003F77DD"/>
    <w:rPr>
      <w:b/>
      <w:iCs/>
      <w:color w:val="404040"/>
    </w:rPr>
  </w:style>
  <w:style w:type="character" w:styleId="nfaseIntensa">
    <w:name w:val="Intense Emphasis"/>
    <w:aliases w:val="N 3"/>
    <w:uiPriority w:val="21"/>
    <w:qFormat/>
    <w:rsid w:val="008D0E4A"/>
    <w:rPr>
      <w:rFonts w:ascii="Verdana" w:hAnsi="Verdana"/>
      <w:b/>
      <w:sz w:val="22"/>
      <w:szCs w:val="22"/>
    </w:rPr>
  </w:style>
  <w:style w:type="paragraph" w:styleId="Citao">
    <w:name w:val="Quote"/>
    <w:aliases w:val="Sup Legenda"/>
    <w:basedOn w:val="Normal"/>
    <w:next w:val="Normal"/>
    <w:link w:val="CitaoChar"/>
    <w:uiPriority w:val="29"/>
    <w:qFormat/>
    <w:rsid w:val="005B3714"/>
    <w:pPr>
      <w:spacing w:before="360" w:after="240" w:line="300" w:lineRule="auto"/>
      <w:jc w:val="center"/>
      <w:outlineLvl w:val="0"/>
    </w:pPr>
    <w:rPr>
      <w:rFonts w:ascii="Verdana" w:eastAsia="MS Mincho" w:hAnsi="Verdana"/>
      <w:b/>
      <w:color w:val="000000"/>
      <w:sz w:val="22"/>
      <w:szCs w:val="22"/>
    </w:rPr>
  </w:style>
  <w:style w:type="character" w:customStyle="1" w:styleId="CitaoChar">
    <w:name w:val="Citação Char"/>
    <w:aliases w:val="Sup Legenda Char"/>
    <w:link w:val="Citao"/>
    <w:uiPriority w:val="29"/>
    <w:rsid w:val="005B3714"/>
    <w:rPr>
      <w:rFonts w:ascii="Verdana" w:eastAsia="MS Mincho" w:hAnsi="Verdana"/>
      <w:b/>
      <w:color w:val="000000"/>
      <w:sz w:val="22"/>
      <w:szCs w:val="22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D0D2D3"/>
            <w:right w:val="none" w:sz="0" w:space="0" w:color="auto"/>
          </w:divBdr>
          <w:divsChild>
            <w:div w:id="176383645">
              <w:marLeft w:val="0"/>
              <w:marRight w:val="0"/>
              <w:marTop w:val="0"/>
              <w:marBottom w:val="0"/>
              <w:divBdr>
                <w:top w:val="single" w:sz="6" w:space="12" w:color="D0D2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0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79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ssets.kpmg.com/content/dam/kpmg/br/pdf/2018/01/br-fusoes-e-aquisicoes-4o-trim-2017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silvei8\Desktop\11-Disserta&#231;&#227;o\Artigo%201\Dados%20artigo%20FA-Cen&#225;rios%20rev%2004%20-Fina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lsilvei8\Desktop\11-Disserta&#231;&#227;o\Disserta&#231;&#227;o%20completa\Dados%20disserta&#231;&#227;o%20FA-Cen&#225;rios%20rev%2006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'F&amp;A Geral'!$F$9</c:f>
              <c:strCache>
                <c:ptCount val="1"/>
                <c:pt idx="0">
                  <c:v>Doméstica</c:v>
                </c:pt>
              </c:strCache>
            </c:strRef>
          </c:tx>
          <c:spPr>
            <a:ln w="9525" cap="rnd">
              <a:solidFill>
                <a:srgbClr val="0000FF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rgbClr val="0C0CFF"/>
              </a:solidFill>
              <a:ln w="9525">
                <a:solidFill>
                  <a:srgbClr val="0000FF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3175" cap="rnd">
                <a:solidFill>
                  <a:srgbClr val="0C0CFF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1359551697769373E-2"/>
                  <c:y val="0.1362044736483312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'F&amp;A Geral'!$B$11:$B$18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xVal>
          <c:yVal>
            <c:numRef>
              <c:f>'F&amp;A Geral'!$F$11:$F$18</c:f>
              <c:numCache>
                <c:formatCode>0%</c:formatCode>
                <c:ptCount val="8"/>
                <c:pt idx="0">
                  <c:v>0.45867768595041375</c:v>
                </c:pt>
                <c:pt idx="1">
                  <c:v>0.50183598531211748</c:v>
                </c:pt>
                <c:pt idx="2">
                  <c:v>0.41911764705882382</c:v>
                </c:pt>
                <c:pt idx="3">
                  <c:v>0.45854271356783932</c:v>
                </c:pt>
                <c:pt idx="4">
                  <c:v>0.40464547677261631</c:v>
                </c:pt>
                <c:pt idx="5">
                  <c:v>0.34799482535575738</c:v>
                </c:pt>
                <c:pt idx="6">
                  <c:v>0.40540540540540548</c:v>
                </c:pt>
                <c:pt idx="7">
                  <c:v>0.45542168674698796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055-493D-BDAD-7E046926DFA8}"/>
            </c:ext>
          </c:extLst>
        </c:ser>
        <c:ser>
          <c:idx val="1"/>
          <c:order val="1"/>
          <c:tx>
            <c:strRef>
              <c:f>'F&amp;A Geral'!$G$9</c:f>
              <c:strCache>
                <c:ptCount val="1"/>
                <c:pt idx="0">
                  <c:v>Cross border</c:v>
                </c:pt>
              </c:strCache>
            </c:strRef>
          </c:tx>
          <c:spPr>
            <a:ln w="9525" cap="rnd">
              <a:solidFill>
                <a:srgbClr val="FF000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3175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1199461452699782E-2"/>
                  <c:y val="-0.1452591974171692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'F&amp;A Geral'!$B$11:$B$18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xVal>
          <c:yVal>
            <c:numRef>
              <c:f>'F&amp;A Geral'!$G$11:$G$18</c:f>
              <c:numCache>
                <c:formatCode>0%</c:formatCode>
                <c:ptCount val="8"/>
                <c:pt idx="0">
                  <c:v>0.54132231404958675</c:v>
                </c:pt>
                <c:pt idx="1">
                  <c:v>0.49816401468788296</c:v>
                </c:pt>
                <c:pt idx="2">
                  <c:v>0.58088235294117652</c:v>
                </c:pt>
                <c:pt idx="3">
                  <c:v>0.54145728643216051</c:v>
                </c:pt>
                <c:pt idx="4">
                  <c:v>0.59535452322738358</c:v>
                </c:pt>
                <c:pt idx="5">
                  <c:v>0.65200517464424401</c:v>
                </c:pt>
                <c:pt idx="6">
                  <c:v>0.59459459459459463</c:v>
                </c:pt>
                <c:pt idx="7">
                  <c:v>0.54457831325301265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055-493D-BDAD-7E046926D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102976"/>
        <c:axId val="107104896"/>
      </c:scatterChart>
      <c:valAx>
        <c:axId val="107102976"/>
        <c:scaling>
          <c:orientation val="minMax"/>
          <c:max val="2017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7104896"/>
        <c:crosses val="autoZero"/>
        <c:crossBetween val="midCat"/>
      </c:valAx>
      <c:valAx>
        <c:axId val="107104896"/>
        <c:scaling>
          <c:orientation val="minMax"/>
          <c:min val="0.30000000000000032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71029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158919479018734"/>
          <c:y val="6.5148773440464186E-2"/>
          <c:w val="0.84052945507552579"/>
          <c:h val="0.85024515006297763"/>
        </c:manualLayout>
      </c:layout>
      <c:scatterChart>
        <c:scatterStyle val="lineMarker"/>
        <c:varyColors val="0"/>
        <c:ser>
          <c:idx val="1"/>
          <c:order val="0"/>
          <c:tx>
            <c:strRef>
              <c:f>'Análise paper1'!$AT$14</c:f>
              <c:strCache>
                <c:ptCount val="1"/>
                <c:pt idx="0">
                  <c:v>E 1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1.4761245000017588E-2"/>
                  <c:y val="-1.2508238841549811E-3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>
                  <c15:layout>
                    <c:manualLayout>
                      <c:w val="3.6476815492438946E-2"/>
                      <c:h val="1.51624285144825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paper1'!$AU$14</c:f>
              <c:numCache>
                <c:formatCode>0.00</c:formatCode>
                <c:ptCount val="1"/>
                <c:pt idx="0">
                  <c:v>0.74000000000000066</c:v>
                </c:pt>
              </c:numCache>
              <c:extLst xmlns:c15="http://schemas.microsoft.com/office/drawing/2012/chart"/>
            </c:numRef>
          </c:xVal>
          <c:yVal>
            <c:numRef>
              <c:f>'Análise paper1'!$AV$14</c:f>
              <c:numCache>
                <c:formatCode>0.00</c:formatCode>
                <c:ptCount val="1"/>
                <c:pt idx="0">
                  <c:v>0.74000000000000066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1-0A38-41BE-BE8A-D08E3D41E863}"/>
            </c:ext>
          </c:extLst>
        </c:ser>
        <c:ser>
          <c:idx val="9"/>
          <c:order val="1"/>
          <c:tx>
            <c:strRef>
              <c:f>'Análise paper1'!$AT$15</c:f>
              <c:strCache>
                <c:ptCount val="1"/>
                <c:pt idx="0">
                  <c:v>E 2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7.7459983455889477E-3"/>
                  <c:y val="0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paper1'!$AU$15</c:f>
              <c:numCache>
                <c:formatCode>0.00</c:formatCode>
                <c:ptCount val="1"/>
                <c:pt idx="0">
                  <c:v>0.75000000000000078</c:v>
                </c:pt>
              </c:numCache>
            </c:numRef>
          </c:xVal>
          <c:yVal>
            <c:numRef>
              <c:f>'Análise paper1'!$AV$15</c:f>
              <c:numCache>
                <c:formatCode>0.00</c:formatCode>
                <c:ptCount val="1"/>
                <c:pt idx="0">
                  <c:v>0.72000000000000064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A38-41BE-BE8A-D08E3D41E863}"/>
            </c:ext>
          </c:extLst>
        </c:ser>
        <c:ser>
          <c:idx val="2"/>
          <c:order val="3"/>
          <c:tx>
            <c:strRef>
              <c:f>'Análise paper1'!$AT$17</c:f>
              <c:strCache>
                <c:ptCount val="1"/>
                <c:pt idx="0">
                  <c:v>E 4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paper1'!$AU$17</c:f>
              <c:numCache>
                <c:formatCode>0.00</c:formatCode>
                <c:ptCount val="1"/>
                <c:pt idx="0">
                  <c:v>0.84000000000000064</c:v>
                </c:pt>
              </c:numCache>
              <c:extLst xmlns:c15="http://schemas.microsoft.com/office/drawing/2012/chart"/>
            </c:numRef>
          </c:xVal>
          <c:yVal>
            <c:numRef>
              <c:f>'Análise paper1'!$AV$17</c:f>
              <c:numCache>
                <c:formatCode>0.00</c:formatCode>
                <c:ptCount val="1"/>
                <c:pt idx="0">
                  <c:v>0.82000000000000062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4-0A38-41BE-BE8A-D08E3D41E863}"/>
            </c:ext>
          </c:extLst>
        </c:ser>
        <c:ser>
          <c:idx val="3"/>
          <c:order val="4"/>
          <c:tx>
            <c:strRef>
              <c:f>'Análise paper1'!$AT$18</c:f>
              <c:strCache>
                <c:ptCount val="1"/>
                <c:pt idx="0">
                  <c:v>E 5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2.2560347368268882E-2"/>
                  <c:y val="1.3753625708706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752425630785E-2"/>
                      <c:h val="1.50886454236084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xVal>
            <c:numRef>
              <c:f>'Análise paper1'!$AU$18</c:f>
              <c:numCache>
                <c:formatCode>0.00</c:formatCode>
                <c:ptCount val="1"/>
                <c:pt idx="0">
                  <c:v>0.73000000000000065</c:v>
                </c:pt>
              </c:numCache>
            </c:numRef>
          </c:xVal>
          <c:yVal>
            <c:numRef>
              <c:f>'Análise paper1'!$AV$18</c:f>
              <c:numCache>
                <c:formatCode>0.00</c:formatCode>
                <c:ptCount val="1"/>
                <c:pt idx="0">
                  <c:v>0.67000000000000093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0A38-41BE-BE8A-D08E3D41E863}"/>
            </c:ext>
          </c:extLst>
        </c:ser>
        <c:ser>
          <c:idx val="4"/>
          <c:order val="5"/>
          <c:tx>
            <c:strRef>
              <c:f>'Análise paper1'!$AT$19</c:f>
              <c:strCache>
                <c:ptCount val="1"/>
                <c:pt idx="0">
                  <c:v>E 6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/>
            </c:spPr>
          </c:marker>
          <c:dPt>
            <c:idx val="0"/>
            <c:marker>
              <c:spPr>
                <a:ln w="6350">
                  <a:solidFill>
                    <a:schemeClr val="tx1"/>
                  </a:solidFill>
                </a:ln>
              </c:spPr>
            </c:marker>
            <c:bubble3D val="0"/>
            <c:extLst xmlns:c15="http://schemas.microsoft.com/office/drawing/2012/chart">
              <c:ext xmlns:c16="http://schemas.microsoft.com/office/drawing/2014/chart" uri="{C3380CC4-5D6E-409C-BE32-E72D297353CC}">
                <c16:uniqueId val="{00000007-0A38-41BE-BE8A-D08E3D41E863}"/>
              </c:ext>
            </c:extLst>
          </c:dPt>
          <c:dLbls>
            <c:dLbl>
              <c:idx val="0"/>
              <c:layout>
                <c:manualLayout>
                  <c:x val="-7.0387550899344217E-3"/>
                  <c:y val="0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paper1'!$AU$19</c:f>
              <c:numCache>
                <c:formatCode>0.00</c:formatCode>
                <c:ptCount val="1"/>
                <c:pt idx="0">
                  <c:v>0.84000000000000064</c:v>
                </c:pt>
              </c:numCache>
              <c:extLst xmlns:c15="http://schemas.microsoft.com/office/drawing/2012/chart"/>
            </c:numRef>
          </c:xVal>
          <c:yVal>
            <c:numRef>
              <c:f>'Análise paper1'!$AV$19</c:f>
              <c:numCache>
                <c:formatCode>0.00</c:formatCode>
                <c:ptCount val="1"/>
                <c:pt idx="0">
                  <c:v>0.74444444444444524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8-0A38-41BE-BE8A-D08E3D41E863}"/>
            </c:ext>
          </c:extLst>
        </c:ser>
        <c:ser>
          <c:idx val="5"/>
          <c:order val="6"/>
          <c:tx>
            <c:strRef>
              <c:f>'Análise paper1'!$AT$20</c:f>
              <c:strCache>
                <c:ptCount val="1"/>
                <c:pt idx="0">
                  <c:v>E 7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2.8155020359737621E-2"/>
                  <c:y val="-2.2548412506931712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paper1'!$AU$20</c:f>
              <c:numCache>
                <c:formatCode>0.00</c:formatCode>
                <c:ptCount val="1"/>
                <c:pt idx="0">
                  <c:v>0.79999999999999993</c:v>
                </c:pt>
              </c:numCache>
            </c:numRef>
          </c:xVal>
          <c:yVal>
            <c:numRef>
              <c:f>'Análise paper1'!$AV$20</c:f>
              <c:numCache>
                <c:formatCode>0.00</c:formatCode>
                <c:ptCount val="1"/>
                <c:pt idx="0">
                  <c:v>0.76000000000000079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0A38-41BE-BE8A-D08E3D41E863}"/>
            </c:ext>
          </c:extLst>
        </c:ser>
        <c:ser>
          <c:idx val="8"/>
          <c:order val="9"/>
          <c:tx>
            <c:strRef>
              <c:f>'Análise paper1'!$AT$23</c:f>
              <c:strCache>
                <c:ptCount val="1"/>
                <c:pt idx="0">
                  <c:v>E 10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1.0553158609418613E-2"/>
                  <c:y val="6.1759657192931757E-8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686049297454024E-2"/>
                      <c:h val="2.76594191172697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paper1'!$AU$23</c:f>
              <c:numCache>
                <c:formatCode>0.00</c:formatCode>
                <c:ptCount val="1"/>
                <c:pt idx="0">
                  <c:v>0.73000000000000065</c:v>
                </c:pt>
              </c:numCache>
            </c:numRef>
          </c:xVal>
          <c:yVal>
            <c:numRef>
              <c:f>'Análise paper1'!$AV$23</c:f>
              <c:numCache>
                <c:formatCode>0.00</c:formatCode>
                <c:ptCount val="1"/>
                <c:pt idx="0">
                  <c:v>0.70000000000000062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0A38-41BE-BE8A-D08E3D41E863}"/>
            </c:ext>
          </c:extLst>
        </c:ser>
        <c:ser>
          <c:idx val="10"/>
          <c:order val="10"/>
          <c:tx>
            <c:strRef>
              <c:f>'Análise paper1'!$AT$24</c:f>
              <c:strCache>
                <c:ptCount val="1"/>
                <c:pt idx="0">
                  <c:v>E 11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5.4274970161587353E-2"/>
                  <c:y val="-7.4787018936427569E-3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paper1'!$AU$24</c:f>
              <c:numCache>
                <c:formatCode>0.00</c:formatCode>
                <c:ptCount val="1"/>
                <c:pt idx="0">
                  <c:v>0.68888888888888955</c:v>
                </c:pt>
              </c:numCache>
              <c:extLst xmlns:c15="http://schemas.microsoft.com/office/drawing/2012/chart"/>
            </c:numRef>
          </c:xVal>
          <c:yVal>
            <c:numRef>
              <c:f>'Análise paper1'!$AV$24</c:f>
              <c:numCache>
                <c:formatCode>0.00</c:formatCode>
                <c:ptCount val="1"/>
                <c:pt idx="0">
                  <c:v>0.44000000000000006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E-0A38-41BE-BE8A-D08E3D41E863}"/>
            </c:ext>
          </c:extLst>
        </c:ser>
        <c:ser>
          <c:idx val="11"/>
          <c:order val="11"/>
          <c:tx>
            <c:strRef>
              <c:f>'Análise paper1'!$AT$25</c:f>
              <c:strCache>
                <c:ptCount val="1"/>
                <c:pt idx="0">
                  <c:v>E 12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paper1'!$AU$25</c:f>
              <c:numCache>
                <c:formatCode>0.00</c:formatCode>
                <c:ptCount val="1"/>
                <c:pt idx="0">
                  <c:v>0.71000000000000063</c:v>
                </c:pt>
              </c:numCache>
            </c:numRef>
          </c:xVal>
          <c:yVal>
            <c:numRef>
              <c:f>'Análise paper1'!$AV$25</c:f>
              <c:numCache>
                <c:formatCode>0.00</c:formatCode>
                <c:ptCount val="1"/>
                <c:pt idx="0">
                  <c:v>0.48000000000000032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0A38-41BE-BE8A-D08E3D41E863}"/>
            </c:ext>
          </c:extLst>
        </c:ser>
        <c:ser>
          <c:idx val="14"/>
          <c:order val="14"/>
          <c:tx>
            <c:strRef>
              <c:f>'Análise paper1'!$AT$28</c:f>
              <c:strCache>
                <c:ptCount val="1"/>
                <c:pt idx="0">
                  <c:v>E 15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paper1'!$AU$29</c:f>
              <c:numCache>
                <c:formatCode>0.00</c:formatCode>
                <c:ptCount val="1"/>
                <c:pt idx="0">
                  <c:v>0.60000000000000064</c:v>
                </c:pt>
              </c:numCache>
              <c:extLst xmlns:c15="http://schemas.microsoft.com/office/drawing/2012/chart"/>
            </c:numRef>
          </c:xVal>
          <c:yVal>
            <c:numRef>
              <c:f>'Análise paper1'!$AV$28</c:f>
              <c:numCache>
                <c:formatCode>0.00</c:formatCode>
                <c:ptCount val="1"/>
                <c:pt idx="0">
                  <c:v>0.36000000000000032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14-0A38-41BE-BE8A-D08E3D41E863}"/>
            </c:ext>
          </c:extLst>
        </c:ser>
        <c:ser>
          <c:idx val="15"/>
          <c:order val="15"/>
          <c:tx>
            <c:strRef>
              <c:f>'Análise paper1'!$AT$29</c:f>
              <c:strCache>
                <c:ptCount val="1"/>
                <c:pt idx="0">
                  <c:v>E 16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Pt>
            <c:idx val="0"/>
            <c:bubble3D val="0"/>
            <c:spPr>
              <a:ln w="28575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6-0A38-41BE-BE8A-D08E3D41E863}"/>
              </c:ext>
            </c:extLst>
          </c:dPt>
          <c:dLbls>
            <c:dLbl>
              <c:idx val="0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paper1'!$AU$29</c:f>
              <c:numCache>
                <c:formatCode>0.00</c:formatCode>
                <c:ptCount val="1"/>
                <c:pt idx="0">
                  <c:v>0.60000000000000064</c:v>
                </c:pt>
              </c:numCache>
            </c:numRef>
          </c:xVal>
          <c:yVal>
            <c:numRef>
              <c:f>'Análise paper1'!$AV$29</c:f>
              <c:numCache>
                <c:formatCode>0.00</c:formatCode>
                <c:ptCount val="1"/>
                <c:pt idx="0">
                  <c:v>0.26666666666666705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0A38-41BE-BE8A-D08E3D41E863}"/>
            </c:ext>
          </c:extLst>
        </c:ser>
        <c:ser>
          <c:idx val="16"/>
          <c:order val="16"/>
          <c:tx>
            <c:strRef>
              <c:f>'Análise paper1'!$AT$30</c:f>
              <c:strCache>
                <c:ptCount val="1"/>
                <c:pt idx="0">
                  <c:v>E 17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en-US"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paper1'!$AU$30</c:f>
              <c:numCache>
                <c:formatCode>0.00</c:formatCode>
                <c:ptCount val="1"/>
                <c:pt idx="0">
                  <c:v>0.60000000000000064</c:v>
                </c:pt>
              </c:numCache>
              <c:extLst xmlns:c15="http://schemas.microsoft.com/office/drawing/2012/chart"/>
            </c:numRef>
          </c:xVal>
          <c:yVal>
            <c:numRef>
              <c:f>'Análise paper1'!$AV$30</c:f>
              <c:numCache>
                <c:formatCode>0.00</c:formatCode>
                <c:ptCount val="1"/>
                <c:pt idx="0">
                  <c:v>0.42000000000000032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18-0A38-41BE-BE8A-D08E3D41E863}"/>
            </c:ext>
          </c:extLst>
        </c:ser>
        <c:ser>
          <c:idx val="18"/>
          <c:order val="18"/>
          <c:tx>
            <c:strRef>
              <c:f>'Análise paper1'!$AT$32</c:f>
              <c:strCache>
                <c:ptCount val="1"/>
                <c:pt idx="0">
                  <c:v>E 19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1.173125848322394E-2"/>
                  <c:y val="0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en-US"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paper1'!$AU$32</c:f>
              <c:numCache>
                <c:formatCode>0.00</c:formatCode>
                <c:ptCount val="1"/>
                <c:pt idx="0">
                  <c:v>0.74000000000000066</c:v>
                </c:pt>
              </c:numCache>
              <c:extLst xmlns:c15="http://schemas.microsoft.com/office/drawing/2012/chart"/>
            </c:numRef>
          </c:xVal>
          <c:yVal>
            <c:numRef>
              <c:f>'Análise paper1'!$AV$32</c:f>
              <c:numCache>
                <c:formatCode>0.00</c:formatCode>
                <c:ptCount val="1"/>
                <c:pt idx="0">
                  <c:v>0.63000000000000089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1A-0A38-41BE-BE8A-D08E3D41E863}"/>
            </c:ext>
          </c:extLst>
        </c:ser>
        <c:ser>
          <c:idx val="21"/>
          <c:order val="20"/>
          <c:tx>
            <c:strRef>
              <c:f>'Análise paper1'!$AT$34</c:f>
              <c:strCache>
                <c:ptCount val="1"/>
                <c:pt idx="0">
                  <c:v>E 21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4.0135185495814206E-2"/>
                  <c:y val="9.9757267667946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773374701768401E-2"/>
                      <c:h val="2.2570082738639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'Análise paper1'!$AU$34</c:f>
              <c:numCache>
                <c:formatCode>0.00</c:formatCode>
                <c:ptCount val="1"/>
                <c:pt idx="0">
                  <c:v>0.71000000000000063</c:v>
                </c:pt>
              </c:numCache>
              <c:extLst xmlns:c15="http://schemas.microsoft.com/office/drawing/2012/chart"/>
            </c:numRef>
          </c:xVal>
          <c:yVal>
            <c:numRef>
              <c:f>'Análise paper1'!$AV$34</c:f>
              <c:numCache>
                <c:formatCode>0.00</c:formatCode>
                <c:ptCount val="1"/>
                <c:pt idx="0">
                  <c:v>0.67000000000000093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1C-0A38-41BE-BE8A-D08E3D41E863}"/>
            </c:ext>
          </c:extLst>
        </c:ser>
        <c:ser>
          <c:idx val="22"/>
          <c:order val="21"/>
          <c:tx>
            <c:strRef>
              <c:f>'Análise paper1'!$AT$35</c:f>
              <c:strCache>
                <c:ptCount val="1"/>
                <c:pt idx="0">
                  <c:v>E 22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1.1718511131486359E-2"/>
                  <c:y val="1.3796732736591801E-6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'Análise paper1'!$AU$35</c:f>
              <c:numCache>
                <c:formatCode>0.00</c:formatCode>
                <c:ptCount val="1"/>
                <c:pt idx="0">
                  <c:v>0.78</c:v>
                </c:pt>
              </c:numCache>
            </c:numRef>
          </c:xVal>
          <c:yVal>
            <c:numRef>
              <c:f>'Análise paper1'!$AV$35</c:f>
              <c:numCache>
                <c:formatCode>0.00</c:formatCode>
                <c:ptCount val="1"/>
                <c:pt idx="0">
                  <c:v>0.74000000000000066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E-0A38-41BE-BE8A-D08E3D41E863}"/>
            </c:ext>
          </c:extLst>
        </c:ser>
        <c:ser>
          <c:idx val="23"/>
          <c:order val="22"/>
          <c:tx>
            <c:strRef>
              <c:f>'Análise paper1'!$AT$36</c:f>
              <c:strCache>
                <c:ptCount val="1"/>
                <c:pt idx="0">
                  <c:v>E 23</c:v>
                </c:pt>
              </c:strCache>
              <c:extLst xmlns:c15="http://schemas.microsoft.com/office/drawing/2012/chart"/>
            </c:strRef>
          </c:tx>
          <c:spPr>
            <a:ln w="28575">
              <a:noFill/>
            </a:ln>
          </c:spPr>
          <c:marker>
            <c:symbol val="star"/>
            <c:size val="4"/>
            <c:spPr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7.0332127630921342E-3"/>
                  <c:y val="-4.5890030905444359E-17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A38-41BE-BE8A-D08E3D41E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'Análise paper1'!$AU$36</c:f>
              <c:numCache>
                <c:formatCode>0.00</c:formatCode>
                <c:ptCount val="1"/>
                <c:pt idx="0">
                  <c:v>0.77000000000000079</c:v>
                </c:pt>
              </c:numCache>
              <c:extLst xmlns:c15="http://schemas.microsoft.com/office/drawing/2012/chart"/>
            </c:numRef>
          </c:xVal>
          <c:yVal>
            <c:numRef>
              <c:f>'Análise paper1'!$AV$36</c:f>
              <c:numCache>
                <c:formatCode>0.00</c:formatCode>
                <c:ptCount val="1"/>
                <c:pt idx="0">
                  <c:v>0.67000000000000104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20-0A38-41BE-BE8A-D08E3D41E863}"/>
            </c:ext>
          </c:extLst>
        </c:ser>
        <c:ser>
          <c:idx val="27"/>
          <c:order val="25"/>
          <c:tx>
            <c:strRef>
              <c:f>'Análise paper1'!$AZ$14</c:f>
              <c:strCache>
                <c:ptCount val="1"/>
                <c:pt idx="0">
                  <c:v>Linha 1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paper1'!$AZ$15:$AZ$16</c:f>
              <c:numCache>
                <c:formatCode>General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xVal>
          <c:yVal>
            <c:numRef>
              <c:f>'Análise paper1'!$BA$15:$BA$16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3-0A38-41BE-BE8A-D08E3D41E863}"/>
            </c:ext>
          </c:extLst>
        </c:ser>
        <c:ser>
          <c:idx val="28"/>
          <c:order val="26"/>
          <c:tx>
            <c:strRef>
              <c:f>'Análise paper1'!$BB$14</c:f>
              <c:strCache>
                <c:ptCount val="1"/>
                <c:pt idx="0">
                  <c:v>Linha 2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paper1'!$BB$15:$BB$16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xVal>
          <c:yVal>
            <c:numRef>
              <c:f>'Análise paper1'!$BC$15:$BC$16</c:f>
              <c:numCache>
                <c:formatCode>General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4-0A38-41BE-BE8A-D08E3D41E863}"/>
            </c:ext>
          </c:extLst>
        </c:ser>
        <c:ser>
          <c:idx val="29"/>
          <c:order val="27"/>
          <c:tx>
            <c:strRef>
              <c:f>'Análise paper1'!$BD$14</c:f>
              <c:strCache>
                <c:ptCount val="1"/>
                <c:pt idx="0">
                  <c:v>Linha 3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paper1'!$BD$15:$BD$16</c:f>
              <c:numCache>
                <c:formatCode>General</c:formatCode>
                <c:ptCount val="2"/>
                <c:pt idx="0">
                  <c:v>0.75000000000000078</c:v>
                </c:pt>
                <c:pt idx="1">
                  <c:v>0.75000000000000078</c:v>
                </c:pt>
              </c:numCache>
            </c:numRef>
          </c:xVal>
          <c:yVal>
            <c:numRef>
              <c:f>'Análise paper1'!$BE$15:$BE$16</c:f>
              <c:numCache>
                <c:formatCode>General</c:formatCode>
                <c:ptCount val="2"/>
                <c:pt idx="0">
                  <c:v>0.5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5-0A38-41BE-BE8A-D08E3D41E863}"/>
            </c:ext>
          </c:extLst>
        </c:ser>
        <c:ser>
          <c:idx val="30"/>
          <c:order val="28"/>
          <c:tx>
            <c:strRef>
              <c:f>'Análise paper1'!$BF$14</c:f>
              <c:strCache>
                <c:ptCount val="1"/>
                <c:pt idx="0">
                  <c:v>Linha 4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paper1'!$BF$15:$BF$16</c:f>
              <c:numCache>
                <c:formatCode>General</c:formatCode>
                <c:ptCount val="2"/>
                <c:pt idx="0">
                  <c:v>0.5</c:v>
                </c:pt>
                <c:pt idx="1">
                  <c:v>1</c:v>
                </c:pt>
              </c:numCache>
            </c:numRef>
          </c:xVal>
          <c:yVal>
            <c:numRef>
              <c:f>'Análise paper1'!$BG$15:$BG$16</c:f>
              <c:numCache>
                <c:formatCode>General</c:formatCode>
                <c:ptCount val="2"/>
                <c:pt idx="0">
                  <c:v>0.75000000000000078</c:v>
                </c:pt>
                <c:pt idx="1">
                  <c:v>0.75000000000000078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6-0A38-41BE-BE8A-D08E3D41E863}"/>
            </c:ext>
          </c:extLst>
        </c:ser>
        <c:ser>
          <c:idx val="31"/>
          <c:order val="29"/>
          <c:tx>
            <c:strRef>
              <c:f>'Análise paper1'!$BH$14</c:f>
              <c:strCache>
                <c:ptCount val="1"/>
                <c:pt idx="0">
                  <c:v>Linha 5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paper1'!$BH$15:$BH$16</c:f>
              <c:numCache>
                <c:formatCode>General</c:formatCode>
                <c:ptCount val="2"/>
                <c:pt idx="0">
                  <c:v>0.25</c:v>
                </c:pt>
                <c:pt idx="1">
                  <c:v>0.25</c:v>
                </c:pt>
              </c:numCache>
            </c:numRef>
          </c:xVal>
          <c:yVal>
            <c:numRef>
              <c:f>'Análise paper1'!$BI$15:$BI$16</c:f>
              <c:numCache>
                <c:formatCode>General</c:formatCode>
                <c:ptCount val="2"/>
                <c:pt idx="0">
                  <c:v>1</c:v>
                </c:pt>
                <c:pt idx="1">
                  <c:v>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7-0A38-41BE-BE8A-D08E3D41E863}"/>
            </c:ext>
          </c:extLst>
        </c:ser>
        <c:ser>
          <c:idx val="32"/>
          <c:order val="30"/>
          <c:tx>
            <c:strRef>
              <c:f>'Análise paper1'!$BJ$14</c:f>
              <c:strCache>
                <c:ptCount val="1"/>
                <c:pt idx="0">
                  <c:v>Linha 6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paper1'!$BJ$15:$BJ$16</c:f>
              <c:numCache>
                <c:formatCode>General</c:formatCode>
                <c:ptCount val="2"/>
                <c:pt idx="0">
                  <c:v>0.5</c:v>
                </c:pt>
                <c:pt idx="1">
                  <c:v>0</c:v>
                </c:pt>
              </c:numCache>
            </c:numRef>
          </c:xVal>
          <c:yVal>
            <c:numRef>
              <c:f>'Análise paper1'!$BK$15:$BK$16</c:f>
              <c:numCache>
                <c:formatCode>General</c:formatCode>
                <c:ptCount val="2"/>
                <c:pt idx="0">
                  <c:v>0.75000000000000078</c:v>
                </c:pt>
                <c:pt idx="1">
                  <c:v>0.75000000000000078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8-0A38-41BE-BE8A-D08E3D41E863}"/>
            </c:ext>
          </c:extLst>
        </c:ser>
        <c:ser>
          <c:idx val="33"/>
          <c:order val="31"/>
          <c:tx>
            <c:strRef>
              <c:f>'Análise paper1'!$BL$14</c:f>
              <c:strCache>
                <c:ptCount val="1"/>
                <c:pt idx="0">
                  <c:v>Linha 7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pPr>
              <a:ln w="12700">
                <a:solidFill>
                  <a:schemeClr val="bg1">
                    <a:lumMod val="85000"/>
                  </a:schemeClr>
                </a:solidFill>
              </a:ln>
            </c:spPr>
          </c:marker>
          <c:dLbls>
            <c:delete val="1"/>
          </c:dLbls>
          <c:xVal>
            <c:numRef>
              <c:f>'Análise paper1'!$BL$15:$BL$16</c:f>
              <c:numCache>
                <c:formatCode>General</c:formatCode>
                <c:ptCount val="2"/>
                <c:pt idx="0">
                  <c:v>0.25</c:v>
                </c:pt>
                <c:pt idx="1">
                  <c:v>0.25</c:v>
                </c:pt>
              </c:numCache>
            </c:numRef>
          </c:xVal>
          <c:yVal>
            <c:numRef>
              <c:f>'Análise paper1'!$BM$15:$BM$16</c:f>
              <c:numCache>
                <c:formatCode>General</c:formatCode>
                <c:ptCount val="2"/>
                <c:pt idx="0">
                  <c:v>0.5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9-0A38-41BE-BE8A-D08E3D41E863}"/>
            </c:ext>
          </c:extLst>
        </c:ser>
        <c:ser>
          <c:idx val="34"/>
          <c:order val="32"/>
          <c:tx>
            <c:strRef>
              <c:f>'Análise paper1'!$BN$14</c:f>
              <c:strCache>
                <c:ptCount val="1"/>
                <c:pt idx="0">
                  <c:v>Linha 8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paper1'!$BN$15:$BN$16</c:f>
              <c:numCache>
                <c:formatCode>General</c:formatCode>
                <c:ptCount val="2"/>
                <c:pt idx="0">
                  <c:v>0.75000000000000078</c:v>
                </c:pt>
                <c:pt idx="1">
                  <c:v>0.75000000000000078</c:v>
                </c:pt>
              </c:numCache>
            </c:numRef>
          </c:xVal>
          <c:yVal>
            <c:numRef>
              <c:f>'Análise paper1'!$BO$15:$BO$16</c:f>
              <c:numCache>
                <c:formatCode>General</c:formatCode>
                <c:ptCount val="2"/>
                <c:pt idx="0">
                  <c:v>0.5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A-0A38-41BE-BE8A-D08E3D41E863}"/>
            </c:ext>
          </c:extLst>
        </c:ser>
        <c:ser>
          <c:idx val="35"/>
          <c:order val="33"/>
          <c:tx>
            <c:strRef>
              <c:f>'Análise paper1'!$BP$14</c:f>
              <c:strCache>
                <c:ptCount val="1"/>
                <c:pt idx="0">
                  <c:v>Linha 9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paper1'!$BP$15:$BP$16</c:f>
              <c:numCache>
                <c:formatCode>General</c:formatCode>
                <c:ptCount val="2"/>
                <c:pt idx="0">
                  <c:v>0</c:v>
                </c:pt>
                <c:pt idx="1">
                  <c:v>0.5</c:v>
                </c:pt>
              </c:numCache>
            </c:numRef>
          </c:xVal>
          <c:yVal>
            <c:numRef>
              <c:f>'Análise paper1'!$BQ$15:$BQ$16</c:f>
              <c:numCache>
                <c:formatCode>General</c:formatCode>
                <c:ptCount val="2"/>
                <c:pt idx="0">
                  <c:v>0.25</c:v>
                </c:pt>
                <c:pt idx="1">
                  <c:v>0.25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B-0A38-41BE-BE8A-D08E3D41E863}"/>
            </c:ext>
          </c:extLst>
        </c:ser>
        <c:ser>
          <c:idx val="36"/>
          <c:order val="34"/>
          <c:tx>
            <c:strRef>
              <c:f>'Análise paper1'!$BR$14</c:f>
              <c:strCache>
                <c:ptCount val="1"/>
                <c:pt idx="0">
                  <c:v>Linha 10</c:v>
                </c:pt>
              </c:strCache>
            </c:strRef>
          </c:tx>
          <c:spPr>
            <a:ln w="12700">
              <a:solidFill>
                <a:schemeClr val="bg1">
                  <a:lumMod val="85000"/>
                </a:schemeClr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'Análise paper1'!$BR$15:$BR$16</c:f>
              <c:numCache>
                <c:formatCode>General</c:formatCode>
                <c:ptCount val="2"/>
                <c:pt idx="0">
                  <c:v>0.5</c:v>
                </c:pt>
                <c:pt idx="1">
                  <c:v>1</c:v>
                </c:pt>
              </c:numCache>
            </c:numRef>
          </c:xVal>
          <c:yVal>
            <c:numRef>
              <c:f>'Análise paper1'!$BS$15:$BS$16</c:f>
              <c:numCache>
                <c:formatCode>General</c:formatCode>
                <c:ptCount val="2"/>
                <c:pt idx="0">
                  <c:v>0.25</c:v>
                </c:pt>
                <c:pt idx="1">
                  <c:v>0.25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C-0A38-41BE-BE8A-D08E3D41E8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82013568"/>
        <c:axId val="82028032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2"/>
                <c:tx>
                  <c:strRef>
                    <c:extLst>
                      <c:ext uri="{02D57815-91ED-43cb-92C2-25804820EDAC}">
                        <c15:formulaRef>
                          <c15:sqref>'Análise paper1'!$AT$16</c15:sqref>
                        </c15:formulaRef>
                      </c:ext>
                    </c:extLst>
                    <c:strCache>
                      <c:ptCount val="1"/>
                      <c:pt idx="0">
                        <c:v>E 3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-4.3300342684147633E-2"/>
                        <c:y val="-1.2930343801431092E-2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D-0A38-41BE-BE8A-D08E3D41E863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/>
                    <a:lstStyle/>
                    <a:p>
                      <a:pPr>
                        <a:defRPr sz="7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xVal>
                  <c:numRef>
                    <c:extLst>
                      <c:ext uri="{02D57815-91ED-43cb-92C2-25804820EDAC}">
                        <c15:formulaRef>
                          <c15:sqref>'Análise paper1'!$AU$16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0.74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'Análise paper1'!$AV$16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0.75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2E-0A38-41BE-BE8A-D08E3D41E863}"/>
                  </c:ext>
                </c:extLst>
              </c15:ser>
            </c15:filteredScatterSeries>
            <c15:filteredScatter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paper1'!$AT$21</c15:sqref>
                        </c15:formulaRef>
                      </c:ext>
                    </c:extLst>
                    <c:strCache>
                      <c:ptCount val="1"/>
                      <c:pt idx="0">
                        <c:v>E 8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noFill/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-2.8155020359737656E-2"/>
                        <c:y val="-2.2548412506931761E-2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F-0A38-41BE-BE8A-D08E3D41E863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 sz="7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paper1'!$AU$21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0.75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paper1'!$AV$21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0.78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0-0A38-41BE-BE8A-D08E3D41E863}"/>
                  </c:ext>
                </c:extLst>
              </c15:ser>
            </c15:filteredScatterSeries>
            <c15:filteredScatterSeries>
              <c15:ser>
                <c:idx val="7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paper1'!$AT$22</c15:sqref>
                        </c15:formulaRef>
                      </c:ext>
                    </c:extLst>
                    <c:strCache>
                      <c:ptCount val="1"/>
                      <c:pt idx="0">
                        <c:v>E 9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-5.1617537326185792E-2"/>
                        <c:y val="-2.5053791674369032E-3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1-0A38-41BE-BE8A-D08E3D41E863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 sz="7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paper1'!$AU$22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0.7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paper1'!$AV$22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0.73333333333333328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2-0A38-41BE-BE8A-D08E3D41E863}"/>
                  </c:ext>
                </c:extLst>
              </c15:ser>
            </c15:filteredScatterSeries>
            <c15:filteredScatte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paper1'!$AT$26</c15:sqref>
                        </c15:formulaRef>
                      </c:ext>
                    </c:extLst>
                    <c:strCache>
                      <c:ptCount val="1"/>
                      <c:pt idx="0">
                        <c:v>E 13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-7.0387550899344139E-3"/>
                        <c:y val="-4.5931420799316491E-17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0-0A38-41BE-BE8A-D08E3D41E863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/>
                    <a:lstStyle/>
                    <a:p>
                      <a:pPr>
                        <a:defRPr sz="7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paper1'!$AU$26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0.64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paper1'!$AV$26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0.6399999999999999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0A38-41BE-BE8A-D08E3D41E863}"/>
                  </c:ext>
                </c:extLst>
              </c15:ser>
            </c15:filteredScatterSeries>
            <c15:filteredScatter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paper1'!$AT$27</c15:sqref>
                        </c15:formulaRef>
                      </c:ext>
                    </c:extLst>
                    <c:strCache>
                      <c:ptCount val="1"/>
                      <c:pt idx="0">
                        <c:v>E 14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dLbl>
                    <c:idx val="0"/>
                    <c:spPr/>
                    <c:txPr>
                      <a:bodyPr/>
                      <a:lstStyle/>
                      <a:p>
                        <a:pPr>
                          <a:defRPr sz="70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defRPr>
                        </a:pPr>
                        <a:endParaRPr lang="pt-BR"/>
                      </a:p>
                    </c:txPr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2-0A38-41BE-BE8A-D08E3D41E863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paper1'!$AU$27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0.51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paper1'!$AV$27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0.3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0A38-41BE-BE8A-D08E3D41E863}"/>
                  </c:ext>
                </c:extLst>
              </c15:ser>
            </c15:filteredScatterSeries>
            <c15:filteredScatterSeries>
              <c15:ser>
                <c:idx val="17"/>
                <c:order val="1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paper1'!$AT$31</c15:sqref>
                        </c15:formulaRef>
                      </c:ext>
                    </c:extLst>
                    <c:strCache>
                      <c:ptCount val="1"/>
                      <c:pt idx="0">
                        <c:v>E 18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1.5712674515873791E-3"/>
                        <c:y val="-4.5968002278723629E-17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3-0A38-41BE-BE8A-D08E3D41E863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/>
                    <a:lstStyle/>
                    <a:p>
                      <a:pPr algn="ctr">
                        <a:defRPr lang="en-US" sz="700" b="0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paper1'!$AU$31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0.72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paper1'!$AV$31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0.57999999999999996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4-0A38-41BE-BE8A-D08E3D41E863}"/>
                  </c:ext>
                </c:extLst>
              </c15:ser>
            </c15:filteredScatterSeries>
            <c15:filteredScatterSeries>
              <c15:ser>
                <c:idx val="20"/>
                <c:order val="1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paper1'!$AT$33</c15:sqref>
                        </c15:formulaRef>
                      </c:ext>
                    </c:extLst>
                    <c:strCache>
                      <c:ptCount val="1"/>
                      <c:pt idx="0">
                        <c:v>E 20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/>
                    <a:lstStyle/>
                    <a:p>
                      <a:pPr>
                        <a:defRPr sz="7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paper1'!$AU$33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0.59000000000000008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paper1'!$AV$33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0.49000000000000005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5-0A38-41BE-BE8A-D08E3D41E863}"/>
                  </c:ext>
                </c:extLst>
              </c15:ser>
            </c15:filteredScatterSeries>
            <c15:filteredScatterSeries>
              <c15:ser>
                <c:idx val="24"/>
                <c:order val="2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paper1'!$AT$37</c15:sqref>
                        </c15:formulaRef>
                      </c:ext>
                    </c:extLst>
                    <c:strCache>
                      <c:ptCount val="1"/>
                      <c:pt idx="0">
                        <c:v>E 24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-6.1002544112764921E-2"/>
                        <c:y val="-2.5053791674368112E-3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1-0A38-41BE-BE8A-D08E3D41E863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 algn="ctr">
                        <a:defRPr lang="en-US" sz="700" b="0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paper1'!$AU$37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0.67999999999999994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paper1'!$AV$37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0.68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2-0A38-41BE-BE8A-D08E3D41E863}"/>
                  </c:ext>
                </c:extLst>
              </c15:ser>
            </c15:filteredScatterSeries>
            <c15:filteredScatterSeries>
              <c15:ser>
                <c:idx val="25"/>
                <c:order val="2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paper1'!$AT$38</c15:sqref>
                        </c15:formulaRef>
                      </c:ext>
                    </c:extLst>
                    <c:strCache>
                      <c:ptCount val="1"/>
                      <c:pt idx="0">
                        <c:v>E 25</c:v>
                      </c:pt>
                    </c:strCache>
                  </c:strRef>
                </c:tx>
                <c:spPr>
                  <a:ln w="28575">
                    <a:noFill/>
                  </a:ln>
                </c:spPr>
                <c:marker>
                  <c:symbol val="star"/>
                  <c:size val="4"/>
                  <c:spPr>
                    <a:ln w="6350">
                      <a:solidFill>
                        <a:schemeClr val="tx1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-3.4551832055726803E-2"/>
                        <c:y val="2.7764363868141899E-2"/>
                      </c:manualLayout>
                    </c:layout>
                    <c:showLegendKey val="0"/>
                    <c:showVal val="0"/>
                    <c:showCatName val="0"/>
                    <c:showSerName val="1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6-0A38-41BE-BE8A-D08E3D41E863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/>
                    <a:lstStyle/>
                    <a:p>
                      <a:pPr algn="ctr">
                        <a:defRPr lang="en-US" sz="700" b="0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pt-BR"/>
                    </a:p>
                  </c:txPr>
                  <c:showLegendKey val="0"/>
                  <c:showVal val="0"/>
                  <c:showCatName val="0"/>
                  <c:showSerName val="1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paper1'!$AU$38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0.59000000000000008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'Análise paper1'!$AV$38</c15:sqref>
                        </c15:formulaRef>
                      </c:ext>
                    </c:extLst>
                    <c:numCache>
                      <c:formatCode>0.00</c:formatCode>
                      <c:ptCount val="1"/>
                      <c:pt idx="0">
                        <c:v>0.63000000000000012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7-0A38-41BE-BE8A-D08E3D41E863}"/>
                  </c:ext>
                </c:extLst>
              </c15:ser>
            </c15:filteredScatterSeries>
          </c:ext>
        </c:extLst>
      </c:scatterChart>
      <c:valAx>
        <c:axId val="82013568"/>
        <c:scaling>
          <c:orientation val="minMax"/>
          <c:max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r>
                  <a:rPr lang="pt-BR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Probabilidade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in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028032"/>
        <c:crosses val="autoZero"/>
        <c:crossBetween val="midCat"/>
      </c:valAx>
      <c:valAx>
        <c:axId val="82028032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Favorabilidade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in"/>
        <c:minorTickMark val="cross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013568"/>
        <c:crosses val="autoZero"/>
        <c:crossBetween val="midCat"/>
      </c:valAx>
      <c:spPr>
        <a:ln w="12700"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0.7021</cdr:x>
      <cdr:y>0.16304</cdr:y>
    </cdr:from>
    <cdr:to>
      <cdr:x>0.90531</cdr:x>
      <cdr:y>0.61625</cdr:y>
    </cdr:to>
    <cdr:sp macro="" textlink="">
      <cdr:nvSpPr>
        <cdr:cNvPr id="9" name="Oval 8"/>
        <cdr:cNvSpPr/>
      </cdr:nvSpPr>
      <cdr:spPr>
        <a:xfrm xmlns:a="http://schemas.openxmlformats.org/drawingml/2006/main">
          <a:off x="4107181" y="830580"/>
          <a:ext cx="1188719" cy="230886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rgbClr val="0070C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0.6031</cdr:x>
      <cdr:y>0.4906</cdr:y>
    </cdr:from>
    <cdr:to>
      <cdr:x>0.76984</cdr:x>
      <cdr:y>0.73142</cdr:y>
    </cdr:to>
    <cdr:sp macro="" textlink="">
      <cdr:nvSpPr>
        <cdr:cNvPr id="12" name="Oval 11"/>
        <cdr:cNvSpPr/>
      </cdr:nvSpPr>
      <cdr:spPr>
        <a:xfrm xmlns:a="http://schemas.openxmlformats.org/drawingml/2006/main" rot="5400000">
          <a:off x="3402330" y="2625095"/>
          <a:ext cx="1226822" cy="97536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0.69698</cdr:x>
      <cdr:y>0.18265</cdr:y>
    </cdr:from>
    <cdr:to>
      <cdr:x>0.88715</cdr:x>
      <cdr:y>0.3324</cdr:y>
    </cdr:to>
    <cdr:sp macro="" textlink="">
      <cdr:nvSpPr>
        <cdr:cNvPr id="15" name="Oval 14"/>
        <cdr:cNvSpPr/>
      </cdr:nvSpPr>
      <cdr:spPr>
        <a:xfrm xmlns:a="http://schemas.openxmlformats.org/drawingml/2006/main" rot="20188992">
          <a:off x="4065799" y="930820"/>
          <a:ext cx="1109353" cy="763166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0.1291</cdr:x>
      <cdr:y>0.0851</cdr:y>
    </cdr:from>
    <cdr:to>
      <cdr:x>0.32408</cdr:x>
      <cdr:y>0.15727</cdr:y>
    </cdr:to>
    <cdr:sp macro="" textlink="">
      <cdr:nvSpPr>
        <cdr:cNvPr id="8" name="Rectangle 7"/>
        <cdr:cNvSpPr/>
      </cdr:nvSpPr>
      <cdr:spPr>
        <a:xfrm xmlns:a="http://schemas.openxmlformats.org/drawingml/2006/main">
          <a:off x="636488" y="346934"/>
          <a:ext cx="961274" cy="29421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>
            <a:alpha val="0"/>
          </a:schemeClr>
        </a:solidFill>
        <a:ln xmlns:a="http://schemas.openxmlformats.org/drawingml/2006/main" w="6350" cmpd="sng">
          <a:solidFill>
            <a:srgbClr val="0070C0"/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000"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Realista</a:t>
          </a:r>
          <a:endParaRPr lang="en-US" sz="1000">
            <a:solidFill>
              <a:schemeClr val="dk1"/>
            </a:solidFill>
            <a:effectLst/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0.32408</cdr:x>
      <cdr:y>0.12119</cdr:y>
    </cdr:from>
    <cdr:to>
      <cdr:x>0.8037</cdr:x>
      <cdr:y>0.16304</cdr:y>
    </cdr:to>
    <cdr:cxnSp macro="">
      <cdr:nvCxnSpPr>
        <cdr:cNvPr id="10" name="Straight Arrow Connector 9"/>
        <cdr:cNvCxnSpPr>
          <a:endCxn xmlns:a="http://schemas.openxmlformats.org/drawingml/2006/main" id="9" idx="0"/>
        </cdr:cNvCxnSpPr>
      </cdr:nvCxnSpPr>
      <cdr:spPr>
        <a:xfrm xmlns:a="http://schemas.openxmlformats.org/drawingml/2006/main">
          <a:off x="1844711" y="569763"/>
          <a:ext cx="2730090" cy="196776"/>
        </a:xfrm>
        <a:prstGeom xmlns:a="http://schemas.openxmlformats.org/drawingml/2006/main" prst="straightConnector1">
          <a:avLst/>
        </a:prstGeom>
        <a:ln xmlns:a="http://schemas.openxmlformats.org/drawingml/2006/main" w="6350">
          <a:solidFill>
            <a:srgbClr val="0070C0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0.12876</cdr:x>
      <cdr:y>0.18474</cdr:y>
    </cdr:from>
    <cdr:to>
      <cdr:x>0.32704</cdr:x>
      <cdr:y>0.26184</cdr:y>
    </cdr:to>
    <cdr:sp macro="" textlink="">
      <cdr:nvSpPr>
        <cdr:cNvPr id="11" name="Rectangle 10"/>
        <cdr:cNvSpPr/>
      </cdr:nvSpPr>
      <cdr:spPr>
        <a:xfrm xmlns:a="http://schemas.openxmlformats.org/drawingml/2006/main">
          <a:off x="732912" y="868549"/>
          <a:ext cx="1128649" cy="36250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>
            <a:alpha val="0"/>
          </a:schemeClr>
        </a:solidFill>
        <a:ln xmlns:a="http://schemas.openxmlformats.org/drawingml/2006/main" w="6350" cmpd="sng">
          <a:solidFill>
            <a:srgbClr val="00B050"/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Otimista</a:t>
          </a:r>
        </a:p>
      </cdr:txBody>
    </cdr:sp>
  </cdr:relSizeAnchor>
  <cdr:relSizeAnchor xmlns:cdr="http://schemas.openxmlformats.org/drawingml/2006/chartDrawing">
    <cdr:from>
      <cdr:x>0.32704</cdr:x>
      <cdr:y>0.22329</cdr:y>
    </cdr:from>
    <cdr:to>
      <cdr:x>0.71296</cdr:x>
      <cdr:y>0.24146</cdr:y>
    </cdr:to>
    <cdr:cxnSp macro="">
      <cdr:nvCxnSpPr>
        <cdr:cNvPr id="14" name="Straight Arrow Connector 13"/>
        <cdr:cNvCxnSpPr>
          <a:stCxn xmlns:a="http://schemas.openxmlformats.org/drawingml/2006/main" id="11" idx="3"/>
          <a:endCxn xmlns:a="http://schemas.openxmlformats.org/drawingml/2006/main" id="15" idx="1"/>
        </cdr:cNvCxnSpPr>
      </cdr:nvCxnSpPr>
      <cdr:spPr>
        <a:xfrm xmlns:a="http://schemas.openxmlformats.org/drawingml/2006/main">
          <a:off x="1861561" y="1049800"/>
          <a:ext cx="2196735" cy="85427"/>
        </a:xfrm>
        <a:prstGeom xmlns:a="http://schemas.openxmlformats.org/drawingml/2006/main" prst="straightConnector1">
          <a:avLst/>
        </a:prstGeom>
        <a:ln xmlns:a="http://schemas.openxmlformats.org/drawingml/2006/main" w="6350">
          <a:solidFill>
            <a:srgbClr val="00B050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0.32503</cdr:x>
      <cdr:y>0.60689</cdr:y>
    </cdr:from>
    <cdr:to>
      <cdr:x>0.6031</cdr:x>
      <cdr:y>0.61101</cdr:y>
    </cdr:to>
    <cdr:cxnSp macro="">
      <cdr:nvCxnSpPr>
        <cdr:cNvPr id="16" name="Straight Arrow Connector 15"/>
        <cdr:cNvCxnSpPr>
          <a:stCxn xmlns:a="http://schemas.openxmlformats.org/drawingml/2006/main" id="17" idx="3"/>
          <a:endCxn xmlns:a="http://schemas.openxmlformats.org/drawingml/2006/main" id="12" idx="4"/>
        </cdr:cNvCxnSpPr>
      </cdr:nvCxnSpPr>
      <cdr:spPr>
        <a:xfrm xmlns:a="http://schemas.openxmlformats.org/drawingml/2006/main">
          <a:off x="1850112" y="2853316"/>
          <a:ext cx="1582819" cy="19372"/>
        </a:xfrm>
        <a:prstGeom xmlns:a="http://schemas.openxmlformats.org/drawingml/2006/main" prst="straightConnector1">
          <a:avLst/>
        </a:prstGeom>
        <a:ln xmlns:a="http://schemas.openxmlformats.org/drawingml/2006/main" w="6350">
          <a:solidFill>
            <a:srgbClr val="FF0000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0.12894</cdr:x>
      <cdr:y>0.57293</cdr:y>
    </cdr:from>
    <cdr:to>
      <cdr:x>0.32503</cdr:x>
      <cdr:y>0.64085</cdr:y>
    </cdr:to>
    <cdr:sp macro="" textlink="">
      <cdr:nvSpPr>
        <cdr:cNvPr id="17" name="Rectangle 16"/>
        <cdr:cNvSpPr/>
      </cdr:nvSpPr>
      <cdr:spPr>
        <a:xfrm xmlns:a="http://schemas.openxmlformats.org/drawingml/2006/main">
          <a:off x="733930" y="2693636"/>
          <a:ext cx="1116182" cy="31935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>
            <a:alpha val="0"/>
          </a:schemeClr>
        </a:solidFill>
        <a:ln xmlns:a="http://schemas.openxmlformats.org/drawingml/2006/main" w="6350" cmpd="sng">
          <a:solidFill>
            <a:srgbClr val="FF0000"/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/>
            <a:t>Pesimista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B052-42B4-4440-A44B-622AE667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7522</Words>
  <Characters>42575</Characters>
  <Application>Microsoft Office Word</Application>
  <DocSecurity>0</DocSecurity>
  <Lines>988</Lines>
  <Paragraphs>536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49642</CharactersWithSpaces>
  <SharedDoc>false</SharedDoc>
  <HyperlinkBase/>
  <HLinks>
    <vt:vector size="6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cp:lastPrinted>2018-12-28T14:45:00Z</cp:lastPrinted>
  <dcterms:created xsi:type="dcterms:W3CDTF">2020-09-25T14:44:00Z</dcterms:created>
  <dcterms:modified xsi:type="dcterms:W3CDTF">2020-09-25T15:11:00Z</dcterms:modified>
  <cp:category/>
</cp:coreProperties>
</file>