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drawing>
          <wp:inline distT="0" distB="0" distL="0" distR="0">
            <wp:extent cx="5400040" cy="1350010"/>
            <wp:effectExtent l="0" t="0" r="0" b="0"/>
            <wp:docPr id="1" name="Imagem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
                    <pic:cNvPicPr>
                      <a:picLocks noChangeAspect="1" noChangeArrowheads="1"/>
                    </pic:cNvPicPr>
                  </pic:nvPicPr>
                  <pic:blipFill>
                    <a:blip r:embed="rId2"/>
                    <a:stretch>
                      <a:fillRect/>
                    </a:stretch>
                  </pic:blipFill>
                  <pic:spPr bwMode="auto">
                    <a:xfrm>
                      <a:off x="0" y="0"/>
                      <a:ext cx="5400040" cy="1350010"/>
                    </a:xfrm>
                    <a:prstGeom prst="rect">
                      <a:avLst/>
                    </a:prstGeom>
                  </pic:spPr>
                </pic:pic>
              </a:graphicData>
            </a:graphic>
          </wp:inline>
        </w:drawing>
      </w:r>
    </w:p>
    <w:p>
      <w:pPr>
        <w:pStyle w:val="Normal"/>
        <w:spacing w:lineRule="auto" w:line="240" w:before="0" w:after="0"/>
        <w:jc w:val="center"/>
        <w:rPr>
          <w:rFonts w:ascii="Times New Roman" w:hAnsi="Times New Roman" w:eastAsia="Times New Roman" w:cs="Times New Roman"/>
          <w:b/>
          <w:bCs/>
          <w:sz w:val="24"/>
          <w:szCs w:val="24"/>
          <w:lang w:eastAsia="pt-BR"/>
        </w:rPr>
      </w:pPr>
      <w:r>
        <w:rPr>
          <w:rFonts w:eastAsia="Times New Roman" w:cs="Times New Roman" w:ascii="Times New Roman" w:hAnsi="Times New Roman"/>
          <w:b/>
          <w:bCs/>
          <w:sz w:val="24"/>
          <w:szCs w:val="24"/>
          <w:lang w:eastAsia="pt-BR"/>
        </w:rPr>
        <w:t xml:space="preserve">REDES, TEIAS E COMUNIDADES VIRTUAIS DE APRENDIZAGEM: O NOVO ENSINAR NUM CONTEXTO HÍBRIDO </w:t>
      </w:r>
    </w:p>
    <w:p>
      <w:pPr>
        <w:pStyle w:val="Normal"/>
        <w:spacing w:lineRule="auto" w:line="240" w:before="0" w:after="0"/>
        <w:jc w:val="right"/>
        <w:rPr>
          <w:rFonts w:ascii="Times New Roman" w:hAnsi="Times New Roman" w:eastAsia="Times New Roman" w:cs="Times New Roman"/>
          <w:bCs/>
          <w:sz w:val="24"/>
          <w:szCs w:val="24"/>
          <w:lang w:eastAsia="pt-BR"/>
        </w:rPr>
      </w:pPr>
      <w:r>
        <w:rPr>
          <w:rFonts w:eastAsia="Times New Roman" w:cs="Times New Roman" w:ascii="Times New Roman" w:hAnsi="Times New Roman"/>
          <w:bCs/>
          <w:sz w:val="24"/>
          <w:szCs w:val="24"/>
          <w:lang w:eastAsia="pt-BR"/>
        </w:rPr>
      </w:r>
    </w:p>
    <w:p>
      <w:pPr>
        <w:pStyle w:val="Normal"/>
        <w:spacing w:lineRule="auto" w:line="240" w:before="0" w:after="0"/>
        <w:jc w:val="right"/>
        <w:rPr>
          <w:rFonts w:ascii="Times New Roman" w:hAnsi="Times New Roman" w:eastAsia="Times New Roman" w:cs="Times New Roman"/>
          <w:bCs/>
          <w:sz w:val="24"/>
          <w:szCs w:val="24"/>
          <w:lang w:eastAsia="pt-BR"/>
        </w:rPr>
      </w:pPr>
      <w:r>
        <w:rPr>
          <w:rFonts w:eastAsia="Times New Roman" w:cs="Times New Roman" w:ascii="Times New Roman" w:hAnsi="Times New Roman"/>
          <w:bCs/>
          <w:sz w:val="24"/>
          <w:szCs w:val="24"/>
          <w:lang w:eastAsia="pt-BR"/>
        </w:rPr>
        <w:t>Danilo Augusto Dias</w:t>
      </w:r>
    </w:p>
    <w:p>
      <w:pPr>
        <w:pStyle w:val="Normal"/>
        <w:spacing w:lineRule="auto" w:line="240" w:before="0" w:after="0"/>
        <w:jc w:val="right"/>
        <w:rPr>
          <w:rFonts w:ascii="Times New Roman" w:hAnsi="Times New Roman" w:eastAsia="Times New Roman" w:cs="Times New Roman"/>
          <w:sz w:val="24"/>
          <w:szCs w:val="24"/>
          <w:lang w:eastAsia="pt-BR"/>
        </w:rPr>
      </w:pPr>
      <w:r>
        <w:rPr>
          <w:rFonts w:eastAsia="Times New Roman" w:cs="Times New Roman" w:ascii="Times New Roman" w:hAnsi="Times New Roman"/>
          <w:sz w:val="24"/>
          <w:szCs w:val="24"/>
          <w:lang w:eastAsia="pt-BR"/>
        </w:rPr>
        <w:t>Universidade Federal de São Carlos (UFSCar)</w:t>
      </w:r>
    </w:p>
    <w:p>
      <w:pPr>
        <w:pStyle w:val="Normal"/>
        <w:spacing w:lineRule="auto" w:line="240" w:before="0" w:after="0"/>
        <w:jc w:val="right"/>
        <w:rPr>
          <w:rFonts w:ascii="Times New Roman" w:hAnsi="Times New Roman" w:eastAsia="Times New Roman" w:cs="Times New Roman"/>
          <w:sz w:val="24"/>
          <w:szCs w:val="24"/>
          <w:lang w:eastAsia="pt-BR"/>
        </w:rPr>
      </w:pPr>
      <w:r>
        <w:rPr>
          <w:rFonts w:eastAsia="Times New Roman" w:cs="Times New Roman" w:ascii="Times New Roman" w:hAnsi="Times New Roman"/>
          <w:sz w:val="24"/>
          <w:szCs w:val="24"/>
          <w:lang w:eastAsia="pt-BR"/>
        </w:rPr>
        <w:t>danilodias@estudante.ufscar.br</w:t>
      </w:r>
    </w:p>
    <w:p>
      <w:pPr>
        <w:pStyle w:val="Normal"/>
        <w:spacing w:lineRule="auto" w:line="240" w:before="0" w:after="0"/>
        <w:jc w:val="right"/>
        <w:rPr>
          <w:rFonts w:ascii="Times New Roman" w:hAnsi="Times New Roman" w:eastAsia="Times New Roman" w:cs="Times New Roman"/>
          <w:bCs/>
          <w:sz w:val="24"/>
          <w:szCs w:val="24"/>
          <w:lang w:eastAsia="pt-BR"/>
        </w:rPr>
      </w:pPr>
      <w:r>
        <w:rPr>
          <w:rFonts w:eastAsia="Times New Roman" w:cs="Times New Roman" w:ascii="Times New Roman" w:hAnsi="Times New Roman"/>
          <w:bCs/>
          <w:sz w:val="24"/>
          <w:szCs w:val="24"/>
          <w:lang w:eastAsia="pt-BR"/>
        </w:rPr>
      </w:r>
    </w:p>
    <w:p>
      <w:pPr>
        <w:pStyle w:val="Normal"/>
        <w:spacing w:lineRule="auto" w:line="240" w:before="0" w:after="0"/>
        <w:jc w:val="right"/>
        <w:rPr>
          <w:rFonts w:ascii="Times New Roman" w:hAnsi="Times New Roman" w:eastAsia="Times New Roman" w:cs="Times New Roman"/>
          <w:b/>
          <w:bCs/>
          <w:sz w:val="24"/>
          <w:szCs w:val="24"/>
          <w:lang w:eastAsia="pt-BR"/>
        </w:rPr>
      </w:pPr>
      <w:r>
        <w:rPr>
          <w:rFonts w:eastAsia="Times New Roman" w:cs="Times New Roman" w:ascii="Times New Roman" w:hAnsi="Times New Roman"/>
          <w:b/>
          <w:bCs/>
          <w:sz w:val="24"/>
          <w:szCs w:val="24"/>
          <w:lang w:eastAsia="pt-BR"/>
        </w:rPr>
        <w:t xml:space="preserve">Eixo 4 – </w:t>
      </w:r>
      <w:r>
        <w:rPr>
          <w:rFonts w:eastAsia="Times New Roman" w:cs="Times New Roman" w:ascii="Times New Roman" w:hAnsi="Times New Roman"/>
          <w:b w:val="false"/>
          <w:bCs w:val="false"/>
          <w:sz w:val="24"/>
          <w:szCs w:val="24"/>
          <w:lang w:eastAsia="pt-BR"/>
        </w:rPr>
        <w:t>Currículo, Práticas Pedagógicas e Formação Docente.</w:t>
      </w:r>
    </w:p>
    <w:p>
      <w:pPr>
        <w:pStyle w:val="Normal"/>
        <w:spacing w:lineRule="auto" w:line="240" w:before="0" w:after="0"/>
        <w:jc w:val="right"/>
        <w:rPr>
          <w:rFonts w:ascii="Times New Roman" w:hAnsi="Times New Roman" w:eastAsia="Times New Roman" w:cs="Times New Roman"/>
          <w:b/>
          <w:sz w:val="24"/>
          <w:szCs w:val="24"/>
          <w:lang w:eastAsia="pt-BR"/>
        </w:rPr>
      </w:pPr>
      <w:r>
        <w:rPr>
          <w:rFonts w:eastAsia="Times New Roman" w:cs="Times New Roman" w:ascii="Times New Roman" w:hAnsi="Times New Roman"/>
          <w:b/>
          <w:sz w:val="24"/>
          <w:szCs w:val="24"/>
          <w:lang w:eastAsia="pt-BR"/>
        </w:rPr>
        <w:t xml:space="preserve">Palavras-chave: </w:t>
      </w:r>
      <w:r>
        <w:rPr>
          <w:rFonts w:eastAsia="Times New Roman" w:cs="Times New Roman" w:ascii="Times New Roman" w:hAnsi="Times New Roman"/>
          <w:b w:val="false"/>
          <w:bCs w:val="false"/>
          <w:sz w:val="24"/>
          <w:szCs w:val="24"/>
          <w:lang w:eastAsia="pt-BR"/>
        </w:rPr>
        <w:t>blended learning; cooperação; TDIC</w:t>
      </w:r>
    </w:p>
    <w:p>
      <w:pPr>
        <w:pStyle w:val="Normal"/>
        <w:rPr/>
      </w:pPr>
      <w:r>
        <w:rPr/>
      </w:r>
    </w:p>
    <w:p>
      <w:pPr>
        <w:pStyle w:val="Normal"/>
        <w:jc w:val="both"/>
        <w:rPr>
          <w:rFonts w:ascii="Times New Roman" w:hAnsi="Times New Roman" w:eastAsia="Times New Roman" w:cs="Times New Roman"/>
          <w:b/>
          <w:sz w:val="24"/>
          <w:szCs w:val="24"/>
          <w:lang w:eastAsia="pt-BR"/>
        </w:rPr>
      </w:pPr>
      <w:r>
        <w:rPr>
          <w:rFonts w:eastAsia="Times New Roman" w:cs="Times New Roman" w:ascii="Times New Roman" w:hAnsi="Times New Roman"/>
          <w:b/>
          <w:sz w:val="24"/>
          <w:szCs w:val="24"/>
          <w:lang w:eastAsia="pt-BR"/>
        </w:rPr>
        <w:t>Introdução</w:t>
      </w:r>
    </w:p>
    <w:p>
      <w:pPr>
        <w:pStyle w:val="Normal"/>
        <w:jc w:val="both"/>
        <w:rPr>
          <w:rFonts w:ascii="Times New Roman" w:hAnsi="Times New Roman" w:eastAsia="Times New Roman" w:cs="Times New Roman"/>
          <w:b w:val="false"/>
          <w:bCs w:val="false"/>
          <w:sz w:val="24"/>
          <w:szCs w:val="24"/>
          <w:lang w:eastAsia="pt-BR"/>
        </w:rPr>
      </w:pPr>
      <w:r>
        <w:rPr>
          <w:rFonts w:eastAsia="Times New Roman" w:cs="Times New Roman" w:ascii="Times New Roman" w:hAnsi="Times New Roman"/>
          <w:b w:val="false"/>
          <w:bCs w:val="false"/>
          <w:sz w:val="24"/>
          <w:szCs w:val="24"/>
          <w:lang w:eastAsia="pt-BR"/>
        </w:rPr>
        <w:t>Quando a pandemia de Covid-19 forçou os estabelecimentos de ensino a adotarem um modelo a distância para a continuidade das aulas durante a suspensão das atividades presenciais, o debate sobre a inserção das tecnologias digitais no processo educativo se tornou evidente para um público maior do que aquele dos pesquisadores especializados. O Ensino Remoto Emergencial (ERE) explicitou como as Tecnologias Digitais de Informação e Comunicação (TDIC), por meio da conexão com a internet, podem contribuir com o processo de ensino-aprendizagem.</w:t>
      </w:r>
    </w:p>
    <w:p>
      <w:pPr>
        <w:pStyle w:val="Normal"/>
        <w:jc w:val="both"/>
        <w:rPr>
          <w:rFonts w:ascii="Times New Roman" w:hAnsi="Times New Roman" w:eastAsia="Times New Roman" w:cs="Times New Roman"/>
          <w:b w:val="false"/>
          <w:bCs w:val="false"/>
          <w:sz w:val="24"/>
          <w:szCs w:val="24"/>
          <w:lang w:eastAsia="pt-BR"/>
        </w:rPr>
      </w:pPr>
      <w:r>
        <w:rPr>
          <w:rFonts w:eastAsia="Times New Roman" w:cs="Times New Roman" w:ascii="Times New Roman" w:hAnsi="Times New Roman"/>
          <w:b w:val="false"/>
          <w:bCs w:val="false"/>
          <w:sz w:val="24"/>
          <w:szCs w:val="24"/>
          <w:lang w:eastAsia="pt-BR"/>
        </w:rPr>
        <w:t>Embora o Brasil seja um país continental, marcado por profundas desigualdades, não se pode ignorar que a discussão sobre o lugar das TDIC na educação não esteja cada vez mais presente em todos os segmentos educativos, desde a educação básica até o ensino superior. Nesse sentido, vemos que a inserção desses elementos tecnológicos leva a uma convergência entre modalidades educativas, a saber, a presencial e aquela que é feita a distância. Surge, dessa convergência, aquilo que chamamos de ensino híbrido ou educação híbrida.</w:t>
      </w:r>
    </w:p>
    <w:p>
      <w:pPr>
        <w:pStyle w:val="Normal"/>
        <w:jc w:val="both"/>
        <w:rPr>
          <w:rFonts w:ascii="Times New Roman" w:hAnsi="Times New Roman" w:eastAsia="Times New Roman" w:cs="Times New Roman"/>
          <w:b w:val="false"/>
          <w:bCs w:val="false"/>
          <w:sz w:val="24"/>
          <w:szCs w:val="24"/>
          <w:lang w:eastAsia="pt-BR"/>
        </w:rPr>
      </w:pPr>
      <w:r>
        <w:rPr>
          <w:rFonts w:eastAsia="Times New Roman" w:cs="Times New Roman" w:ascii="Times New Roman" w:hAnsi="Times New Roman"/>
          <w:b w:val="false"/>
          <w:bCs w:val="false"/>
          <w:sz w:val="24"/>
          <w:szCs w:val="24"/>
          <w:lang w:eastAsia="pt-BR"/>
        </w:rPr>
        <w:t>O presente trabalho busca compreender esse fenômeno de hibridização a partir da sua capacidade de criar, dentro dos ambientes educativos nos quais se encontra inserido, novas configurações que afetam tanto o ensino quanto o processo de aprendizagem. Partindo do modelo tradicional-presencial, percebemos que a virtualização do ensino por meio de aulas on-line, conteúdo digital e integração com tecnologias de realidade virtual/aumentada ou Inteligência Artificial (IA) apresenta oportunidades pedagógicas para a criação de comunidades virtuais de aprendizagem na forma de teias ou redes imersas no ciberespaço, com uma nova ecologia digital que favorece a interatividade e o aprendizado além dos muros escolares.</w:t>
      </w:r>
    </w:p>
    <w:p>
      <w:pPr>
        <w:pStyle w:val="Normal"/>
        <w:jc w:val="both"/>
        <w:rPr>
          <w:rFonts w:ascii="Times New Roman" w:hAnsi="Times New Roman" w:eastAsia="Times New Roman" w:cs="Times New Roman"/>
          <w:b w:val="false"/>
          <w:bCs w:val="false"/>
          <w:sz w:val="24"/>
          <w:szCs w:val="24"/>
          <w:lang w:eastAsia="pt-BR"/>
        </w:rPr>
      </w:pPr>
      <w:r>
        <w:rPr>
          <w:rFonts w:eastAsia="Times New Roman" w:cs="Times New Roman" w:ascii="Times New Roman" w:hAnsi="Times New Roman"/>
          <w:b w:val="false"/>
          <w:bCs w:val="false"/>
          <w:sz w:val="24"/>
          <w:szCs w:val="24"/>
          <w:lang w:eastAsia="pt-BR"/>
        </w:rPr>
        <w:t>Após essa breve introdução, apresentaremos os fundamentos teóricos nos quais este trabalho se apoia, a metodologia empregada seguida da análise dos resultados e as considerações finais.</w:t>
      </w:r>
    </w:p>
    <w:p>
      <w:pPr>
        <w:pStyle w:val="Normal"/>
        <w:jc w:val="both"/>
        <w:rPr>
          <w:rFonts w:ascii="Times New Roman" w:hAnsi="Times New Roman" w:eastAsia="Times New Roman" w:cs="Times New Roman"/>
          <w:b/>
          <w:sz w:val="24"/>
          <w:szCs w:val="24"/>
          <w:lang w:eastAsia="pt-BR"/>
        </w:rPr>
      </w:pPr>
      <w:r>
        <w:rPr>
          <w:rFonts w:eastAsia="Times New Roman" w:cs="Times New Roman" w:ascii="Times New Roman" w:hAnsi="Times New Roman"/>
          <w:b/>
          <w:sz w:val="24"/>
          <w:szCs w:val="24"/>
          <w:lang w:eastAsia="pt-BR"/>
        </w:rPr>
        <w:t>Fundamentos Teóricos</w:t>
      </w:r>
    </w:p>
    <w:p>
      <w:pPr>
        <w:pStyle w:val="Normal"/>
        <w:jc w:val="both"/>
        <w:rPr>
          <w:rFonts w:ascii="Times New Roman" w:hAnsi="Times New Roman" w:eastAsia="Times New Roman" w:cs="Times New Roman"/>
          <w:b w:val="false"/>
          <w:bCs w:val="false"/>
          <w:sz w:val="24"/>
          <w:szCs w:val="24"/>
          <w:lang w:eastAsia="pt-BR"/>
        </w:rPr>
      </w:pPr>
      <w:r>
        <w:rPr>
          <w:rFonts w:eastAsia="Times New Roman" w:cs="Times New Roman" w:ascii="Times New Roman" w:hAnsi="Times New Roman"/>
          <w:b w:val="false"/>
          <w:bCs w:val="false"/>
          <w:sz w:val="24"/>
          <w:szCs w:val="24"/>
          <w:lang w:eastAsia="pt-BR"/>
        </w:rPr>
        <w:t xml:space="preserve">A Educação Híbrida pode ser pensada, essencialmente, como uma fusão de experiências de ensino-aprendizagem, integrando de forma orgânica tanto as atividades que acontecem em um espaço físico tradicional quanto aquelas mediadas por tecnologias digitais. Essa abordagem, curiosamente, parece assentar-se na premissa de que a aprendizagem não se limita a um único formato, e que a própria educação, desde sempre, carrega um traço de “mistura” (Mill; Chaquime, 2021; Moran, 2015), combinando tempos, espaços e metodologias diversas. </w:t>
      </w:r>
    </w:p>
    <w:p>
      <w:pPr>
        <w:pStyle w:val="Normal"/>
        <w:jc w:val="both"/>
        <w:rPr>
          <w:rFonts w:ascii="Times New Roman" w:hAnsi="Times New Roman" w:eastAsia="Times New Roman" w:cs="Times New Roman"/>
          <w:b w:val="false"/>
          <w:bCs w:val="false"/>
          <w:sz w:val="24"/>
          <w:szCs w:val="24"/>
          <w:lang w:eastAsia="pt-BR"/>
        </w:rPr>
      </w:pPr>
      <w:r>
        <w:rPr>
          <w:rFonts w:eastAsia="Times New Roman" w:cs="Times New Roman" w:ascii="Times New Roman" w:hAnsi="Times New Roman"/>
          <w:b w:val="false"/>
          <w:bCs w:val="false"/>
          <w:sz w:val="24"/>
          <w:szCs w:val="24"/>
          <w:lang w:eastAsia="pt-BR"/>
        </w:rPr>
        <w:t xml:space="preserve">Por sua vez, as Comunidades Virtuais de Aprendizagem (CVA) se caracterizam por serem grupos de indivíduos que se unem no ciberespaço com o propósito de realizar uma tarefa específica ou alcançar um objetivo comum, o que, muitas vezes, culmina na produção de um produto ou conhecimento coletivo. Elas se distinguem por um fluxo constante de diálogo e interação reflexiva entre seus participantes, um elemento vital para a construção colaborativa do saber (Dias-Trindade, 2020a). Tais comunidades são inerentemente dinâmicas e estão em contínua evolução, adaptando-se às necessidades e interesses de quem delas faz parte. Um ponto interessante é que elas conseguem, em grande parte, dissolver as barreiras geográficas e sociais tradicionais, promovendo novas formas de conexão e reciprocidade na partilha de informações e na criação de saberes. </w:t>
      </w:r>
    </w:p>
    <w:p>
      <w:pPr>
        <w:pStyle w:val="Normal"/>
        <w:jc w:val="both"/>
        <w:rPr>
          <w:rFonts w:ascii="Times New Roman" w:hAnsi="Times New Roman" w:eastAsia="Times New Roman" w:cs="Times New Roman"/>
          <w:b w:val="false"/>
          <w:bCs w:val="false"/>
          <w:sz w:val="24"/>
          <w:szCs w:val="24"/>
          <w:lang w:eastAsia="pt-BR"/>
        </w:rPr>
      </w:pPr>
      <w:r>
        <w:rPr>
          <w:rFonts w:eastAsia="Times New Roman" w:cs="Times New Roman" w:ascii="Times New Roman" w:hAnsi="Times New Roman"/>
          <w:b w:val="false"/>
          <w:bCs w:val="false"/>
          <w:sz w:val="24"/>
          <w:szCs w:val="24"/>
          <w:lang w:eastAsia="pt-BR"/>
        </w:rPr>
        <w:t>A teoria que mais diretamente parece sustentar a ideia das CVA, especialmente no contexto digital, é o conectivismo, uma perspectiva bastante defendida por George Siemens (del Moral Pérez; Villalustre Martínez, 2015; Dias-Trindade, 2020a, b). Essa abordagem sugere que a aprendizagem, nesse ambiente, vai além da simples aquisição de informações; ela é a capacidade de construir e navegar por redes de conexões, sendo um processo coletivo e contínuo ao longo da vida, tanto em contextos formais quanto informais. Recorremos ainda a Illich (2018) que, já na década de 1970, cogitou redes ou teias de aprendizagem que conectariam indivíduos que querem aprender àqueles que desejam ensinar, numa proposta alternativa ao sistema escola compulsório vigente.</w:t>
      </w:r>
    </w:p>
    <w:p>
      <w:pPr>
        <w:pStyle w:val="Normal"/>
        <w:jc w:val="both"/>
        <w:rPr>
          <w:rFonts w:ascii="Times New Roman" w:hAnsi="Times New Roman" w:eastAsia="Times New Roman" w:cs="Times New Roman"/>
          <w:b/>
          <w:sz w:val="24"/>
          <w:szCs w:val="24"/>
          <w:lang w:eastAsia="pt-BR"/>
        </w:rPr>
      </w:pPr>
      <w:r>
        <w:rPr>
          <w:rFonts w:eastAsia="Times New Roman" w:cs="Times New Roman" w:ascii="Times New Roman" w:hAnsi="Times New Roman"/>
          <w:b/>
          <w:sz w:val="24"/>
          <w:szCs w:val="24"/>
          <w:lang w:eastAsia="pt-BR"/>
        </w:rPr>
        <w:t>Metodologia</w:t>
      </w:r>
    </w:p>
    <w:p>
      <w:pPr>
        <w:pStyle w:val="Normal"/>
        <w:jc w:val="both"/>
        <w:rPr>
          <w:rFonts w:ascii="Times New Roman" w:hAnsi="Times New Roman" w:eastAsia="Times New Roman" w:cs="Times New Roman"/>
          <w:b w:val="false"/>
          <w:bCs w:val="false"/>
          <w:sz w:val="24"/>
          <w:szCs w:val="24"/>
          <w:lang w:eastAsia="pt-BR"/>
        </w:rPr>
      </w:pPr>
      <w:r>
        <w:rPr>
          <w:rFonts w:eastAsia="Times New Roman" w:cs="Times New Roman" w:ascii="Times New Roman" w:hAnsi="Times New Roman"/>
          <w:b w:val="false"/>
          <w:bCs w:val="false"/>
          <w:sz w:val="24"/>
          <w:szCs w:val="24"/>
          <w:lang w:eastAsia="pt-BR"/>
        </w:rPr>
        <w:t>O presente trabalho tem uma abordagem qualitativa. De acordo com Severino (2021), é mais adequado falarmos em “abordagem” e não em “metodologia” qualitativa porque ela parte de uma epistemologia e não se restringe apenas a características de metodologia. Também se caracteriza como uma revisão bibliográfica, sendo dessa forma mais fluída e assistemática (Mattar &amp; Ramos, 2021). Optou-se pela revisão bibliográfica como forma de condensar a produção acadêmica sobre a temática, analisando-a criticamente de forma a subsidiar a reflexão.</w:t>
      </w:r>
    </w:p>
    <w:p>
      <w:pPr>
        <w:pStyle w:val="Normal"/>
        <w:jc w:val="both"/>
        <w:rPr>
          <w:rFonts w:ascii="Times New Roman" w:hAnsi="Times New Roman" w:eastAsia="Times New Roman" w:cs="Times New Roman"/>
          <w:b/>
          <w:sz w:val="24"/>
          <w:szCs w:val="24"/>
          <w:lang w:eastAsia="pt-BR"/>
        </w:rPr>
      </w:pPr>
      <w:r>
        <w:rPr>
          <w:rFonts w:eastAsia="Times New Roman" w:cs="Times New Roman" w:ascii="Times New Roman" w:hAnsi="Times New Roman"/>
          <w:b/>
          <w:sz w:val="24"/>
          <w:szCs w:val="24"/>
          <w:lang w:eastAsia="pt-BR"/>
        </w:rPr>
        <w:t>Análise de dados</w:t>
      </w:r>
    </w:p>
    <w:p>
      <w:pPr>
        <w:pStyle w:val="Normal"/>
        <w:jc w:val="both"/>
        <w:rPr>
          <w:rFonts w:ascii="Times New Roman" w:hAnsi="Times New Roman" w:eastAsia="Times New Roman" w:cs="Times New Roman"/>
          <w:b w:val="false"/>
          <w:bCs w:val="false"/>
          <w:sz w:val="24"/>
          <w:szCs w:val="24"/>
          <w:lang w:eastAsia="pt-BR"/>
        </w:rPr>
      </w:pPr>
      <w:r>
        <w:rPr>
          <w:rFonts w:eastAsia="Times New Roman" w:cs="Times New Roman" w:ascii="Times New Roman" w:hAnsi="Times New Roman"/>
          <w:b w:val="false"/>
          <w:bCs w:val="false"/>
          <w:sz w:val="24"/>
          <w:szCs w:val="24"/>
          <w:lang w:eastAsia="pt-BR"/>
        </w:rPr>
        <w:t>Quanto mais as TDIC são inseridas no ambiente educativo, mais o processo de ensino parece migrar para um espeço virtual-digital, deixando os limites da materialidade física e sendo sujeito às regras de conduta do ciberespaço, numa materialidade digital. Ao hibridizarmos os processos de ensino, professor e aluno já não estão ligados apenas pelo vínculo presencial – estar no mesmo lugar, ao mesmo tempo – mas ressignificam a presença e o pertencimento institucional por meio das interações em ambientes digitais.</w:t>
      </w:r>
    </w:p>
    <w:p>
      <w:pPr>
        <w:pStyle w:val="Normal"/>
        <w:jc w:val="both"/>
        <w:rPr>
          <w:rFonts w:ascii="Times New Roman" w:hAnsi="Times New Roman" w:eastAsia="Times New Roman" w:cs="Times New Roman"/>
          <w:b w:val="false"/>
          <w:bCs w:val="false"/>
          <w:sz w:val="24"/>
          <w:szCs w:val="24"/>
          <w:lang w:eastAsia="pt-BR"/>
        </w:rPr>
      </w:pPr>
      <w:r>
        <w:rPr>
          <w:rFonts w:eastAsia="Times New Roman" w:cs="Times New Roman" w:ascii="Times New Roman" w:hAnsi="Times New Roman"/>
          <w:b w:val="false"/>
          <w:bCs w:val="false"/>
          <w:sz w:val="24"/>
          <w:szCs w:val="24"/>
          <w:lang w:eastAsia="pt-BR"/>
        </w:rPr>
        <w:t>Tais ambientes digitais e as TDIC nos inserem, por sua vez, em múltiplas “ecologias de aprendizagem”, que influenciam a criação de novos “territórios educacionais” fora das instituições formais (Dias-Trindade, 2020b; Ficheman, 2008). A conectividade e as mídias sociais têm o potencial de fazer com que a escola e o mundo se fundam, permitindo que a aprendizagem ocorra em uma mistura fluida de espaços presenciais e virtuais, tanto formais quanto informais. Isso significa que os indivíduos podem, de certa forma, escolher o que aprender, quando e como, ajustando o ritmo e a metodologia às suas próprias necessidades e interesses (del Moral Pérez; Villalustre Martínez, 2015). Essa flexibilidade ajuda a superar as barreiras de aprendizagem tradicionais, tornando o conhecimento acessível em praticamente qualquer lugar e a qualquer momento, seja em um quiosque público ou por meio de um aplicativo no celular.</w:t>
      </w:r>
    </w:p>
    <w:p>
      <w:pPr>
        <w:pStyle w:val="Normal"/>
        <w:jc w:val="both"/>
        <w:rPr>
          <w:rFonts w:ascii="Times New Roman" w:hAnsi="Times New Roman" w:eastAsia="Times New Roman" w:cs="Times New Roman"/>
          <w:b w:val="false"/>
          <w:bCs w:val="false"/>
          <w:sz w:val="24"/>
          <w:szCs w:val="24"/>
          <w:lang w:eastAsia="pt-BR"/>
        </w:rPr>
      </w:pPr>
      <w:r>
        <w:rPr>
          <w:rFonts w:eastAsia="Times New Roman" w:cs="Times New Roman" w:ascii="Times New Roman" w:hAnsi="Times New Roman"/>
          <w:b w:val="false"/>
          <w:bCs w:val="false"/>
          <w:sz w:val="24"/>
          <w:szCs w:val="24"/>
          <w:lang w:eastAsia="pt-BR"/>
        </w:rPr>
        <w:t xml:space="preserve">Para além da flexibilidade, essas redes virtuais parecem ser verdadeiros viveiros para o desenvolvimento de competências cruciais e para uma aprendizagem mais profunda. Nessas ecologias de aprendizagem, que operam como sistemas vivos e em constante mutação (Dias-Trindade, 2020b), o conhecimento é ativamente partilhado e transformado através da interação e reciprocidade entre os participantes. </w:t>
      </w:r>
    </w:p>
    <w:p>
      <w:pPr>
        <w:pStyle w:val="Normal"/>
        <w:jc w:val="both"/>
        <w:rPr>
          <w:rFonts w:ascii="Times New Roman" w:hAnsi="Times New Roman" w:eastAsia="Times New Roman" w:cs="Times New Roman"/>
          <w:b/>
          <w:sz w:val="24"/>
          <w:szCs w:val="24"/>
          <w:lang w:eastAsia="pt-BR"/>
        </w:rPr>
      </w:pPr>
      <w:r>
        <w:rPr>
          <w:rFonts w:eastAsia="Times New Roman" w:cs="Times New Roman" w:ascii="Times New Roman" w:hAnsi="Times New Roman"/>
          <w:b/>
          <w:sz w:val="24"/>
          <w:szCs w:val="24"/>
          <w:lang w:eastAsia="pt-BR"/>
        </w:rPr>
        <w:t>Conclusões</w:t>
      </w:r>
    </w:p>
    <w:p>
      <w:pPr>
        <w:pStyle w:val="Normal"/>
        <w:jc w:val="both"/>
        <w:rPr>
          <w:rFonts w:ascii="Times New Roman" w:hAnsi="Times New Roman" w:eastAsia="Times New Roman" w:cs="Times New Roman"/>
          <w:b w:val="false"/>
          <w:bCs w:val="false"/>
          <w:sz w:val="24"/>
          <w:szCs w:val="24"/>
          <w:lang w:eastAsia="pt-BR"/>
        </w:rPr>
      </w:pPr>
      <w:r>
        <w:rPr>
          <w:rFonts w:eastAsia="Times New Roman" w:cs="Times New Roman" w:ascii="Times New Roman" w:hAnsi="Times New Roman"/>
          <w:b w:val="false"/>
          <w:bCs w:val="false"/>
          <w:sz w:val="24"/>
          <w:szCs w:val="24"/>
          <w:lang w:eastAsia="pt-BR"/>
        </w:rPr>
        <w:t>Hibridizar é muito mais do que inserir parte da carga horária de um curso ou disciplina num ambiente virtual. Hibridizar significa abrir o campo educativo para novas perspectivas didático-metodológicas, inserir criticamente as TDIC no processo de ensino-aprendizagem e perceber-se inserido num novo ecossistema educativo com características próprias. A hibridização permite que aluno e professor rompam os limites da sala de aula física, criando comunidades que, auxiliadas pela tecnologia digital, podem se conectar a outras comunidades ou outros grupos, formando verdadeiras teias em busca do conhecimento.</w:t>
      </w:r>
    </w:p>
    <w:p>
      <w:pPr>
        <w:pStyle w:val="Normal"/>
        <w:jc w:val="both"/>
        <w:rPr>
          <w:rFonts w:ascii="Times New Roman" w:hAnsi="Times New Roman" w:eastAsia="Times New Roman" w:cs="Times New Roman"/>
          <w:b/>
          <w:sz w:val="24"/>
          <w:szCs w:val="24"/>
          <w:lang w:eastAsia="pt-BR"/>
        </w:rPr>
      </w:pPr>
      <w:r>
        <w:rPr>
          <w:rFonts w:eastAsia="Times New Roman" w:cs="Times New Roman" w:ascii="Times New Roman" w:hAnsi="Times New Roman"/>
          <w:b/>
          <w:sz w:val="24"/>
          <w:szCs w:val="24"/>
          <w:lang w:eastAsia="pt-BR"/>
        </w:rPr>
        <w:t>Referências</w:t>
      </w:r>
    </w:p>
    <w:p>
      <w:pPr>
        <w:pStyle w:val="Normal"/>
        <w:spacing w:lineRule="auto" w:line="240" w:before="0" w:after="0"/>
        <w:ind w:hanging="0" w:left="0" w:right="0"/>
        <w:rPr/>
      </w:pPr>
      <w:r>
        <w:rPr>
          <w:rFonts w:ascii="Times New Roman" w:hAnsi="Times New Roman"/>
        </w:rPr>
        <w:t xml:space="preserve">DEL MORAL PÉREZ, M. E.; VILLALUSTRE MARTÍNEZ, L. MOOC: Ecosistemas digitales para la construcción de PLE en la educación superior. </w:t>
      </w:r>
      <w:r>
        <w:rPr>
          <w:rFonts w:ascii="Times New Roman" w:hAnsi="Times New Roman"/>
          <w:b/>
        </w:rPr>
        <w:t>RIED-Revista Iberoamericana de Educación a Distancia</w:t>
      </w:r>
      <w:r>
        <w:rPr>
          <w:rFonts w:ascii="Times New Roman" w:hAnsi="Times New Roman"/>
        </w:rPr>
        <w:t>, [</w:t>
      </w:r>
      <w:r>
        <w:rPr>
          <w:rFonts w:ascii="Times New Roman" w:hAnsi="Times New Roman"/>
          <w:i/>
        </w:rPr>
        <w:t>s. l.</w:t>
      </w:r>
      <w:r>
        <w:rPr>
          <w:rFonts w:ascii="Times New Roman" w:hAnsi="Times New Roman"/>
        </w:rPr>
        <w:t xml:space="preserve">], 2015. Disponível em: </w:t>
      </w:r>
      <w:hyperlink r:id="rId3">
        <w:r>
          <w:rPr>
            <w:rStyle w:val="Hyperlink"/>
            <w:rFonts w:ascii="Times New Roman" w:hAnsi="Times New Roman"/>
          </w:rPr>
          <w:t>https://www.redalyc.org/articulo.oa?id=331439257005</w:t>
        </w:r>
      </w:hyperlink>
      <w:r>
        <w:rPr>
          <w:rFonts w:ascii="Times New Roman" w:hAnsi="Times New Roman"/>
        </w:rPr>
        <w:t>.</w:t>
      </w:r>
    </w:p>
    <w:p>
      <w:pPr>
        <w:pStyle w:val="Normal"/>
        <w:spacing w:lineRule="auto" w:line="240" w:before="0" w:after="0"/>
        <w:ind w:hanging="0" w:left="0" w:right="0"/>
        <w:rPr>
          <w:rFonts w:ascii="Times New Roman" w:hAnsi="Times New Roman"/>
        </w:rPr>
      </w:pPr>
      <w:r>
        <w:rPr>
          <w:rFonts w:ascii="Times New Roman" w:hAnsi="Times New Roman"/>
        </w:rPr>
        <w:t xml:space="preserve">DIAS-TRINDADE, S. </w:t>
      </w:r>
      <w:r>
        <w:rPr>
          <w:rFonts w:ascii="Times New Roman" w:hAnsi="Times New Roman"/>
          <w:b/>
        </w:rPr>
        <w:t>Ecologias de aprendizagem e redes virtuais</w:t>
      </w:r>
      <w:r>
        <w:rPr>
          <w:rFonts w:ascii="Times New Roman" w:hAnsi="Times New Roman"/>
        </w:rPr>
        <w:t>. [</w:t>
      </w:r>
      <w:r>
        <w:rPr>
          <w:rFonts w:ascii="Times New Roman" w:hAnsi="Times New Roman"/>
          <w:i/>
        </w:rPr>
        <w:t>S. l.</w:t>
      </w:r>
      <w:r>
        <w:rPr>
          <w:rFonts w:ascii="Times New Roman" w:hAnsi="Times New Roman"/>
        </w:rPr>
        <w:t>]: Universidade Federal de São Carlos, 2020a(EduTec).</w:t>
      </w:r>
    </w:p>
    <w:p>
      <w:pPr>
        <w:pStyle w:val="Normal"/>
        <w:spacing w:lineRule="auto" w:line="240" w:before="0" w:after="0"/>
        <w:ind w:hanging="0" w:left="0" w:right="0"/>
        <w:rPr/>
      </w:pPr>
      <w:r>
        <w:rPr>
          <w:rFonts w:ascii="Times New Roman" w:hAnsi="Times New Roman"/>
        </w:rPr>
        <w:t>DIAS-TRINDADE, S. Ecologias Digitais de Aprendizagem_algumas considerações. [</w:t>
      </w:r>
      <w:r>
        <w:rPr>
          <w:rFonts w:ascii="Times New Roman" w:hAnsi="Times New Roman"/>
          <w:i/>
        </w:rPr>
        <w:t>s. l.</w:t>
      </w:r>
      <w:r>
        <w:rPr>
          <w:rFonts w:ascii="Times New Roman" w:hAnsi="Times New Roman"/>
        </w:rPr>
        <w:t xml:space="preserve">], 2020b. DOI </w:t>
      </w:r>
      <w:hyperlink r:id="rId4">
        <w:r>
          <w:rPr>
            <w:rStyle w:val="Hyperlink"/>
            <w:rFonts w:ascii="Times New Roman" w:hAnsi="Times New Roman"/>
          </w:rPr>
          <w:t>10.13140/RG.2.2.18337.76641</w:t>
        </w:r>
      </w:hyperlink>
      <w:r>
        <w:rPr>
          <w:rFonts w:ascii="Times New Roman" w:hAnsi="Times New Roman"/>
        </w:rPr>
        <w:t xml:space="preserve">. Disponível em: </w:t>
      </w:r>
      <w:hyperlink r:id="rId5">
        <w:r>
          <w:rPr>
            <w:rStyle w:val="Hyperlink"/>
            <w:rFonts w:ascii="Times New Roman" w:hAnsi="Times New Roman"/>
          </w:rPr>
          <w:t>http://rgdoi.net/10.13140/RG.2.2.18337.76641</w:t>
        </w:r>
      </w:hyperlink>
      <w:r>
        <w:rPr>
          <w:rFonts w:ascii="Times New Roman" w:hAnsi="Times New Roman"/>
        </w:rPr>
        <w:t>. Acesso em: 16 out. 2024.</w:t>
      </w:r>
    </w:p>
    <w:p>
      <w:pPr>
        <w:pStyle w:val="Normal"/>
        <w:spacing w:lineRule="auto" w:line="240" w:before="0" w:after="0"/>
        <w:ind w:hanging="0" w:left="0" w:right="0"/>
        <w:rPr/>
      </w:pPr>
      <w:r>
        <w:rPr>
          <w:rFonts w:ascii="Times New Roman" w:hAnsi="Times New Roman"/>
        </w:rPr>
        <w:t xml:space="preserve">FICHEMAN, I. K. </w:t>
      </w:r>
      <w:r>
        <w:rPr>
          <w:rFonts w:ascii="Times New Roman" w:hAnsi="Times New Roman"/>
          <w:b/>
        </w:rPr>
        <w:t>Ecossistemas digitais de aprendizagem: autoria, colaboração, imersão e mobilidade.</w:t>
      </w:r>
      <w:r>
        <w:rPr>
          <w:rFonts w:ascii="Times New Roman" w:hAnsi="Times New Roman"/>
        </w:rPr>
        <w:t xml:space="preserve"> 2008. Doutorado em Sistemas Eletrônicos – Universidade de São Paulo, São Paulo, 2008. DOI </w:t>
      </w:r>
      <w:hyperlink r:id="rId6">
        <w:r>
          <w:rPr>
            <w:rStyle w:val="Hyperlink"/>
            <w:rFonts w:ascii="Times New Roman" w:hAnsi="Times New Roman"/>
          </w:rPr>
          <w:t>10.11606/T.3.2008.tde-02022009-164226</w:t>
        </w:r>
      </w:hyperlink>
      <w:r>
        <w:rPr>
          <w:rFonts w:ascii="Times New Roman" w:hAnsi="Times New Roman"/>
        </w:rPr>
        <w:t xml:space="preserve">. Disponível em: </w:t>
      </w:r>
      <w:hyperlink r:id="rId7">
        <w:r>
          <w:rPr>
            <w:rStyle w:val="Hyperlink"/>
            <w:rFonts w:ascii="Times New Roman" w:hAnsi="Times New Roman"/>
          </w:rPr>
          <w:t>http://www.teses.usp.br/teses/disponiveis/3/3142/tde-02022009-164226/</w:t>
        </w:r>
      </w:hyperlink>
      <w:r>
        <w:rPr>
          <w:rFonts w:ascii="Times New Roman" w:hAnsi="Times New Roman"/>
        </w:rPr>
        <w:t>. Acesso em: 28 out. 2024.</w:t>
      </w:r>
    </w:p>
    <w:p>
      <w:pPr>
        <w:pStyle w:val="Normal"/>
        <w:spacing w:lineRule="auto" w:line="240" w:before="0" w:after="0"/>
        <w:ind w:hanging="0" w:left="0" w:right="0"/>
        <w:rPr>
          <w:rFonts w:ascii="Times New Roman" w:hAnsi="Times New Roman"/>
        </w:rPr>
      </w:pPr>
      <w:r>
        <w:rPr>
          <w:rFonts w:ascii="Times New Roman" w:hAnsi="Times New Roman"/>
        </w:rPr>
        <w:t xml:space="preserve">ILLICH, I. </w:t>
      </w:r>
      <w:r>
        <w:rPr>
          <w:rFonts w:ascii="Times New Roman" w:hAnsi="Times New Roman"/>
          <w:b/>
        </w:rPr>
        <w:t>Sociedade sem escolas</w:t>
      </w:r>
      <w:r>
        <w:rPr>
          <w:rFonts w:ascii="Times New Roman" w:hAnsi="Times New Roman"/>
        </w:rPr>
        <w:t>. [</w:t>
      </w:r>
      <w:r>
        <w:rPr>
          <w:rFonts w:ascii="Times New Roman" w:hAnsi="Times New Roman"/>
          <w:i/>
        </w:rPr>
        <w:t>S. l.</w:t>
      </w:r>
      <w:r>
        <w:rPr>
          <w:rFonts w:ascii="Times New Roman" w:hAnsi="Times New Roman"/>
        </w:rPr>
        <w:t>]: Editora Vozes, 2018.</w:t>
      </w:r>
    </w:p>
    <w:p>
      <w:pPr>
        <w:pStyle w:val="Normal"/>
        <w:spacing w:lineRule="auto" w:line="240" w:before="0" w:after="0"/>
        <w:ind w:hanging="0" w:left="0" w:right="0"/>
        <w:rPr>
          <w:rFonts w:ascii="Times New Roman" w:hAnsi="Times New Roman"/>
        </w:rPr>
      </w:pPr>
      <w:r>
        <w:rPr>
          <w:rFonts w:ascii="Times New Roman" w:hAnsi="Times New Roman"/>
        </w:rPr>
        <w:t xml:space="preserve">MILL, D.; CHAQUIME, L. P. Apontamentos sobre a educação híbrida como estratégia educacional para a cultura digital. </w:t>
      </w:r>
      <w:r>
        <w:rPr>
          <w:rFonts w:ascii="Times New Roman" w:hAnsi="Times New Roman"/>
          <w:i/>
        </w:rPr>
        <w:t>In</w:t>
      </w:r>
      <w:r>
        <w:rPr>
          <w:rFonts w:ascii="Times New Roman" w:hAnsi="Times New Roman"/>
        </w:rPr>
        <w:t xml:space="preserve">: MILL, D.; SANTIAGO, G. (orgs.). </w:t>
      </w:r>
      <w:r>
        <w:rPr>
          <w:rFonts w:ascii="Times New Roman" w:hAnsi="Times New Roman"/>
          <w:b/>
        </w:rPr>
        <w:t>Luzes sobre a Gestão da Educação a Distância : uma visão propositiva</w:t>
      </w:r>
      <w:r>
        <w:rPr>
          <w:rFonts w:ascii="Times New Roman" w:hAnsi="Times New Roman"/>
        </w:rPr>
        <w:t>. Coleção Estudos sobre Educação e Tecnologias. 1. ed. São Carlos: SEaD-UFSCar, 2021. v. 1, p. 274.</w:t>
      </w:r>
    </w:p>
    <w:p>
      <w:pPr>
        <w:pStyle w:val="Normal"/>
        <w:spacing w:lineRule="auto" w:line="240" w:before="0" w:after="0"/>
        <w:rPr>
          <w:rFonts w:ascii="Times New Roman" w:hAnsi="Times New Roman"/>
        </w:rPr>
      </w:pPr>
      <w:r>
        <w:rPr>
          <w:rFonts w:ascii="Times New Roman" w:hAnsi="Times New Roman"/>
        </w:rPr>
        <w:t xml:space="preserve">MORAN, J. Educação híbrida: um conceito-chave para a educação, hoje. </w:t>
      </w:r>
      <w:r>
        <w:rPr>
          <w:rFonts w:ascii="Times New Roman" w:hAnsi="Times New Roman"/>
          <w:i/>
        </w:rPr>
        <w:t>In</w:t>
      </w:r>
      <w:r>
        <w:rPr>
          <w:rFonts w:ascii="Times New Roman" w:hAnsi="Times New Roman"/>
        </w:rPr>
        <w:t>: BACICH, Lilian.; TANZI NETO, Adolfo.; TREVISANI, F. de Mello.</w:t>
      </w:r>
      <w:r>
        <w:rPr>
          <w:rFonts w:ascii="Times New Roman" w:hAnsi="Times New Roman"/>
          <w:b/>
        </w:rPr>
        <w:t>Ensino híbrido : personalização e tecnologia na educação</w:t>
      </w:r>
      <w:r>
        <w:rPr>
          <w:rFonts w:ascii="Times New Roman" w:hAnsi="Times New Roman"/>
        </w:rPr>
        <w:t>. Porto Alegre: Penso, 2015. p. 27–45.</w:t>
      </w:r>
    </w:p>
    <w:p>
      <w:pPr>
        <w:pStyle w:val="Normal"/>
        <w:spacing w:lineRule="auto" w:line="240" w:before="0" w:after="160"/>
        <w:rPr>
          <w:rFonts w:ascii="Times New Roman" w:hAnsi="Times New Roman"/>
        </w:rPr>
      </w:pPr>
      <w:r>
        <w:rPr>
          <w:rFonts w:ascii="Times New Roman" w:hAnsi="Times New Roman"/>
        </w:rPr>
      </w:r>
    </w:p>
    <w:sectPr>
      <w:type w:val="nextPage"/>
      <w:pgSz w:w="11906" w:h="16838"/>
      <w:pgMar w:left="1701" w:right="1701" w:gutter="0" w:header="0" w:top="1417" w:footer="0" w:bottom="1417"/>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default"/>
  </w:font>
  <w:font w:name="Times New Roman">
    <w:charset w:val="01"/>
    <w:family w:val="roman"/>
    <w:pitch w:val="default"/>
  </w:font>
</w:fonts>
</file>

<file path=word/settings.xml><?xml version="1.0" encoding="utf-8"?>
<w:settings xmlns:w="http://schemas.openxmlformats.org/wordprocessingml/2006/main">
  <w:zoom w:percent="180"/>
  <w:defaultTabStop w:val="708"/>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pt-B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pt-BR"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pt-BR" w:eastAsia="en-US" w:bidi="ar-SA"/>
    </w:rPr>
  </w:style>
  <w:style w:type="character" w:styleId="DefaultParagraphFont" w:default="1">
    <w:name w:val="Default Paragraph Font"/>
    <w:uiPriority w:val="1"/>
    <w:semiHidden/>
    <w:unhideWhenUsed/>
    <w:qFormat/>
    <w:rPr/>
  </w:style>
  <w:style w:type="character" w:styleId="Hyperlink">
    <w:name w:val="Hyperlink"/>
    <w:rPr>
      <w:color w:val="000080"/>
      <w:u w:val="single"/>
    </w:rPr>
  </w:style>
  <w:style w:type="paragraph" w:styleId="Ttulo">
    <w:name w:val="Título"/>
    <w:basedOn w:val="Normal"/>
    <w:next w:val="BodyText"/>
    <w:qFormat/>
    <w:pPr>
      <w:keepNext w:val="true"/>
      <w:spacing w:before="240" w:after="120"/>
    </w:pPr>
    <w:rPr>
      <w:rFonts w:ascii="Times New Roman" w:hAnsi="Times New Roman"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Times New Roman" w:hAnsi="Times New Roman" w:cs="Noto Sans"/>
    </w:rPr>
  </w:style>
  <w:style w:type="paragraph" w:styleId="Caption">
    <w:name w:val="Caption"/>
    <w:basedOn w:val="Normal"/>
    <w:qFormat/>
    <w:pPr>
      <w:suppressLineNumbers/>
      <w:spacing w:before="120" w:after="120"/>
    </w:pPr>
    <w:rPr>
      <w:rFonts w:ascii="Times New Roman" w:hAnsi="Times New Roman" w:cs="Noto Sans"/>
      <w:i/>
      <w:iCs/>
      <w:sz w:val="24"/>
      <w:szCs w:val="24"/>
    </w:rPr>
  </w:style>
  <w:style w:type="paragraph" w:styleId="Ndice">
    <w:name w:val="Índice"/>
    <w:basedOn w:val="Normal"/>
    <w:qFormat/>
    <w:pPr>
      <w:suppressLineNumbers/>
    </w:pPr>
    <w:rPr>
      <w:rFonts w:ascii="Times New Roman" w:hAnsi="Times New Roman" w:cs="Noto Sans"/>
    </w:rPr>
  </w:style>
  <w:style w:type="paragraph" w:styleId="TOC1">
    <w:name w:val="TOC 1"/>
    <w:basedOn w:val="Normal"/>
    <w:next w:val="Normal"/>
    <w:autoRedefine/>
    <w:uiPriority w:val="39"/>
    <w:rsid w:val="00660186"/>
    <w:pPr>
      <w:tabs>
        <w:tab w:val="clear" w:pos="708"/>
        <w:tab w:val="right" w:pos="9202" w:leader="dot"/>
      </w:tabs>
      <w:spacing w:lineRule="auto" w:line="360" w:before="120" w:after="120"/>
    </w:pPr>
    <w:rPr>
      <w:rFonts w:ascii="Times New Roman" w:hAnsi="Times New Roman" w:eastAsia="Calibri" w:cs="Calibri" w:cstheme="minorHAnsi"/>
      <w:b/>
      <w:bCs/>
      <w:caps/>
      <w:sz w:val="24"/>
      <w:szCs w:val="20"/>
    </w:rPr>
  </w:style>
  <w:style w:type="numbering" w:styleId="NoList" w:default="1">
    <w:name w:val="No List"/>
    <w:uiPriority w:val="99"/>
    <w:semiHidden/>
    <w:unhideWhenUsed/>
    <w:qFormat/>
  </w:style>
  <w:style w:type="table" w:default="1" w:styleId="Tabela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s://www.redalyc.org/articulo.oa?id=331439257005" TargetMode="External"/><Relationship Id="rId4" Type="http://schemas.openxmlformats.org/officeDocument/2006/relationships/hyperlink" Target="https://doi.org/10.13140/RG.2.2.18337.76641" TargetMode="External"/><Relationship Id="rId5" Type="http://schemas.openxmlformats.org/officeDocument/2006/relationships/hyperlink" Target="http://rgdoi.net/10.13140/RG.2.2.18337.76641" TargetMode="External"/><Relationship Id="rId6" Type="http://schemas.openxmlformats.org/officeDocument/2006/relationships/hyperlink" Target="https://doi.org/10.11606/T.3.2008.tde-02022009-164226" TargetMode="External"/><Relationship Id="rId7" Type="http://schemas.openxmlformats.org/officeDocument/2006/relationships/hyperlink" Target="http://www.teses.usp.br/teses/disponiveis/3/3142/tde-02022009-164226/" TargetMode="Externa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Tema do Office">
  <a:themeElements>
    <a:clrScheme name="Escritório">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14</TotalTime>
  <Application>LibreOffice/24.2.2.2$Linux_X86_64 LibreOffice_project/d56cc158d8a96260b836f100ef4b4ef25d6f1a01</Application>
  <AppVersion>15.0000</AppVersion>
  <Pages>4</Pages>
  <Words>1277</Words>
  <Characters>7716</Characters>
  <CharactersWithSpaces>8969</CharactersWithSpaces>
  <Paragraphs>32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2025-07-07T16:04:00Z</dcterms:created>
  <dc:creator>Conta da Microsoft</dc:creator>
  <dc:description/>
  <dc:language>pt-BR</dc:language>
  <cp:lastModifiedBy>Danilo Augusto</cp:lastModifiedBy>
  <dcterms:modified xsi:type="dcterms:W3CDTF">2025-09-14T18:53:12Z</dcterms:modified>
  <cp:revision>9</cp:revision>
  <dc:subject/>
  <dc:title/>
</cp:coreProperties>
</file>

<file path=docProps/custom.xml><?xml version="1.0" encoding="utf-8"?>
<Properties xmlns="http://schemas.openxmlformats.org/officeDocument/2006/custom-properties" xmlns:vt="http://schemas.openxmlformats.org/officeDocument/2006/docPropsVTypes"/>
</file>