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A27CF9" w14:textId="77777777" w:rsidR="00E5097D" w:rsidRDefault="00E509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14:paraId="487DC384" w14:textId="43A33C09" w:rsidR="008A6904" w:rsidRDefault="008A690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</w:t>
      </w:r>
      <w:r w:rsidRPr="008A6904">
        <w:rPr>
          <w:b/>
          <w:sz w:val="28"/>
          <w:szCs w:val="28"/>
        </w:rPr>
        <w:t xml:space="preserve">iability of </w:t>
      </w:r>
      <w:r w:rsidRPr="008A6904">
        <w:rPr>
          <w:b/>
          <w:i/>
          <w:iCs/>
          <w:sz w:val="28"/>
          <w:szCs w:val="28"/>
        </w:rPr>
        <w:t>Cordyceps javanica</w:t>
      </w:r>
      <w:r w:rsidRPr="008A6904">
        <w:rPr>
          <w:b/>
          <w:sz w:val="28"/>
          <w:szCs w:val="28"/>
        </w:rPr>
        <w:t xml:space="preserve"> conidia</w:t>
      </w:r>
      <w:r>
        <w:rPr>
          <w:b/>
          <w:sz w:val="28"/>
          <w:szCs w:val="28"/>
        </w:rPr>
        <w:t xml:space="preserve"> submitted to surfactants in </w:t>
      </w:r>
      <w:r w:rsidRPr="008A6904">
        <w:rPr>
          <w:b/>
          <w:sz w:val="28"/>
          <w:szCs w:val="28"/>
        </w:rPr>
        <w:t>oil dispersion formulations</w:t>
      </w:r>
    </w:p>
    <w:p w14:paraId="0143B9D7" w14:textId="77777777" w:rsidR="008A6904" w:rsidRDefault="008A6904">
      <w:pPr>
        <w:jc w:val="center"/>
      </w:pPr>
    </w:p>
    <w:p w14:paraId="5C6B4FA9" w14:textId="02B55327" w:rsidR="00E5097D" w:rsidRPr="008A6904" w:rsidRDefault="008A6904">
      <w:pPr>
        <w:jc w:val="center"/>
        <w:rPr>
          <w:b/>
          <w:bCs/>
          <w:sz w:val="22"/>
          <w:szCs w:val="22"/>
        </w:rPr>
      </w:pPr>
      <w:r w:rsidRPr="008A6904">
        <w:rPr>
          <w:b/>
          <w:bCs/>
          <w:sz w:val="22"/>
          <w:szCs w:val="22"/>
          <w:u w:val="single"/>
        </w:rPr>
        <w:t>Daniela Souza de Oliveira</w:t>
      </w:r>
      <w:r w:rsidRPr="008A6904">
        <w:rPr>
          <w:b/>
          <w:bCs/>
          <w:sz w:val="22"/>
          <w:szCs w:val="22"/>
          <w:vertAlign w:val="superscript"/>
        </w:rPr>
        <w:t>1</w:t>
      </w:r>
      <w:r w:rsidRPr="008A6904">
        <w:rPr>
          <w:b/>
          <w:bCs/>
          <w:sz w:val="22"/>
          <w:szCs w:val="22"/>
        </w:rPr>
        <w:t>*; Ana Beatriz R. Z. Botelho</w:t>
      </w:r>
      <w:r w:rsidRPr="008A6904">
        <w:rPr>
          <w:b/>
          <w:bCs/>
          <w:sz w:val="22"/>
          <w:szCs w:val="22"/>
          <w:vertAlign w:val="superscript"/>
        </w:rPr>
        <w:t>1</w:t>
      </w:r>
      <w:r w:rsidRPr="008A6904">
        <w:rPr>
          <w:b/>
          <w:bCs/>
          <w:sz w:val="22"/>
          <w:szCs w:val="22"/>
        </w:rPr>
        <w:t>; Rafael M. Rodrigues</w:t>
      </w:r>
      <w:r w:rsidRPr="008A6904">
        <w:rPr>
          <w:b/>
          <w:bCs/>
          <w:sz w:val="22"/>
          <w:szCs w:val="22"/>
          <w:vertAlign w:val="superscript"/>
        </w:rPr>
        <w:t>1</w:t>
      </w:r>
      <w:r w:rsidRPr="008A6904">
        <w:rPr>
          <w:b/>
          <w:bCs/>
          <w:sz w:val="22"/>
          <w:szCs w:val="22"/>
        </w:rPr>
        <w:t>; Vinicius F. Guidotti</w:t>
      </w:r>
      <w:r w:rsidRPr="008A6904">
        <w:rPr>
          <w:b/>
          <w:bCs/>
          <w:sz w:val="22"/>
          <w:szCs w:val="22"/>
          <w:vertAlign w:val="superscript"/>
        </w:rPr>
        <w:t>1</w:t>
      </w:r>
    </w:p>
    <w:p w14:paraId="04CDE928" w14:textId="16F86904" w:rsidR="00E5097D" w:rsidRDefault="008A6904" w:rsidP="008A6904">
      <w:pPr>
        <w:jc w:val="center"/>
        <w:rPr>
          <w:i/>
          <w:sz w:val="22"/>
          <w:szCs w:val="22"/>
        </w:rPr>
      </w:pPr>
      <w:r w:rsidRPr="008A6904">
        <w:rPr>
          <w:i/>
          <w:sz w:val="18"/>
          <w:szCs w:val="18"/>
          <w:vertAlign w:val="superscript"/>
        </w:rPr>
        <w:t>1</w:t>
      </w:r>
      <w:r w:rsidRPr="008A6904">
        <w:rPr>
          <w:i/>
          <w:sz w:val="18"/>
          <w:szCs w:val="18"/>
        </w:rPr>
        <w:t>Oligos Biotecnologia. Rua Capitão José Pinto Siqueira, 797 - Unileste, Piracicaba - SP, 13422-150.</w:t>
      </w:r>
    </w:p>
    <w:p w14:paraId="6A7666E4" w14:textId="7F417798" w:rsidR="00E5097D" w:rsidRDefault="00272DA2">
      <w:pPr>
        <w:jc w:val="center"/>
        <w:rPr>
          <w:i/>
        </w:rPr>
      </w:pPr>
      <w:r w:rsidRPr="008A6904">
        <w:rPr>
          <w:i/>
          <w:sz w:val="18"/>
          <w:szCs w:val="18"/>
        </w:rPr>
        <w:t>*</w:t>
      </w:r>
      <w:r w:rsidR="008A6904" w:rsidRPr="008A6904">
        <w:rPr>
          <w:i/>
          <w:sz w:val="18"/>
          <w:szCs w:val="18"/>
        </w:rPr>
        <w:t>oliveira.daniela@oligosbiotec.com.br</w:t>
      </w:r>
    </w:p>
    <w:p w14:paraId="5B561DFB" w14:textId="77777777" w:rsidR="00E5097D" w:rsidRDefault="00E5097D">
      <w:pPr>
        <w:jc w:val="center"/>
      </w:pPr>
    </w:p>
    <w:p w14:paraId="715C4D10" w14:textId="578D558E" w:rsidR="00053DC2" w:rsidRDefault="001C4729" w:rsidP="00F02A7A">
      <w:r w:rsidRPr="001C4729">
        <w:t xml:space="preserve">Entomopathogenic fungi </w:t>
      </w:r>
      <w:r>
        <w:t xml:space="preserve">represent one of the </w:t>
      </w:r>
      <w:r w:rsidR="00D15A56">
        <w:t>main</w:t>
      </w:r>
      <w:r>
        <w:t xml:space="preserve"> classes of microbial insecticides</w:t>
      </w:r>
      <w:r w:rsidR="00895FEE">
        <w:t>,</w:t>
      </w:r>
      <w:r w:rsidRPr="001C4729">
        <w:t xml:space="preserve"> and their effectiveness depends on conidial stability in formulated products.</w:t>
      </w:r>
      <w:r>
        <w:t xml:space="preserve"> </w:t>
      </w:r>
      <w:r w:rsidRPr="001C4729">
        <w:t>Oil dispersion</w:t>
      </w:r>
      <w:r w:rsidR="00BE030B">
        <w:t xml:space="preserve"> (OD)</w:t>
      </w:r>
      <w:r w:rsidRPr="001C4729">
        <w:t xml:space="preserve"> formulations containing surfactants</w:t>
      </w:r>
      <w:r w:rsidR="00F81A63">
        <w:t xml:space="preserve">, </w:t>
      </w:r>
      <w:r w:rsidR="00895FEE">
        <w:t>e</w:t>
      </w:r>
      <w:r w:rsidR="00F81A63">
        <w:t xml:space="preserve">specially </w:t>
      </w:r>
      <w:r w:rsidR="00895FEE">
        <w:t xml:space="preserve">those </w:t>
      </w:r>
      <w:r w:rsidR="00D15A56">
        <w:t>with</w:t>
      </w:r>
      <w:r w:rsidR="00976631">
        <w:t xml:space="preserve"> </w:t>
      </w:r>
      <w:r w:rsidR="006707FB">
        <w:t>d</w:t>
      </w:r>
      <w:r w:rsidR="00F81A63" w:rsidRPr="00F81A63">
        <w:t xml:space="preserve">ioctyl </w:t>
      </w:r>
      <w:r w:rsidR="006707FB">
        <w:t>s</w:t>
      </w:r>
      <w:r w:rsidR="00F81A63" w:rsidRPr="00F81A63">
        <w:t xml:space="preserve">odium </w:t>
      </w:r>
      <w:r w:rsidR="006707FB">
        <w:t>s</w:t>
      </w:r>
      <w:r w:rsidR="00F81A63" w:rsidRPr="00F81A63">
        <w:t>ulfosuccinate (DOSS)</w:t>
      </w:r>
      <w:r w:rsidR="00F81A63">
        <w:t>,</w:t>
      </w:r>
      <w:r w:rsidRPr="001C4729">
        <w:t xml:space="preserve"> can influence </w:t>
      </w:r>
      <w:r>
        <w:t>conidia</w:t>
      </w:r>
      <w:r w:rsidR="00895FEE">
        <w:t>l</w:t>
      </w:r>
      <w:r>
        <w:t xml:space="preserve"> </w:t>
      </w:r>
      <w:r w:rsidRPr="001C4729">
        <w:t>viability over</w:t>
      </w:r>
      <w:r w:rsidR="00895FEE">
        <w:t xml:space="preserve"> </w:t>
      </w:r>
      <w:r w:rsidRPr="001C4729">
        <w:t>time</w:t>
      </w:r>
      <w:r w:rsidR="00895FEE">
        <w:t xml:space="preserve">, </w:t>
      </w:r>
      <w:r w:rsidR="00D15A56">
        <w:t xml:space="preserve">making </w:t>
      </w:r>
      <w:r w:rsidRPr="001C4729">
        <w:t xml:space="preserve">compatibility </w:t>
      </w:r>
      <w:r w:rsidR="00D15A56">
        <w:t xml:space="preserve">a key factor </w:t>
      </w:r>
      <w:r>
        <w:t>i</w:t>
      </w:r>
      <w:r w:rsidR="00D15A56">
        <w:t xml:space="preserve">n </w:t>
      </w:r>
      <w:r>
        <w:t xml:space="preserve">product </w:t>
      </w:r>
      <w:r w:rsidRPr="001C4729">
        <w:t>development.</w:t>
      </w:r>
      <w:r>
        <w:t xml:space="preserve"> </w:t>
      </w:r>
      <w:r w:rsidR="00622ADA">
        <w:t>T</w:t>
      </w:r>
      <w:r w:rsidR="00BE030B">
        <w:t xml:space="preserve">o </w:t>
      </w:r>
      <w:r w:rsidR="00163845" w:rsidRPr="00163845">
        <w:t>maintain</w:t>
      </w:r>
      <w:r w:rsidR="00BE030B">
        <w:t xml:space="preserve"> </w:t>
      </w:r>
      <w:r w:rsidR="00BE030B" w:rsidRPr="00BE030B">
        <w:rPr>
          <w:i/>
          <w:iCs/>
        </w:rPr>
        <w:t>Cordyceps javanica</w:t>
      </w:r>
      <w:r w:rsidR="00BE030B">
        <w:t xml:space="preserve"> </w:t>
      </w:r>
      <w:r w:rsidR="00F477AB" w:rsidRPr="001C4729">
        <w:t>(ESALQ 3428)</w:t>
      </w:r>
      <w:r w:rsidR="00F477AB">
        <w:t xml:space="preserve"> </w:t>
      </w:r>
      <w:r w:rsidR="00BE030B">
        <w:t>conidia</w:t>
      </w:r>
      <w:r w:rsidR="00F02A7A">
        <w:t>l</w:t>
      </w:r>
      <w:r w:rsidR="00F477AB">
        <w:t xml:space="preserve"> </w:t>
      </w:r>
      <w:r w:rsidR="00F477AB" w:rsidRPr="001C4729">
        <w:t>viability</w:t>
      </w:r>
      <w:r w:rsidR="006B49B9">
        <w:t>,</w:t>
      </w:r>
      <w:r w:rsidR="00BE030B">
        <w:t xml:space="preserve"> </w:t>
      </w:r>
      <w:r w:rsidR="00F477AB">
        <w:t xml:space="preserve">we first </w:t>
      </w:r>
      <w:r w:rsidR="00BE030B" w:rsidRPr="00BE030B">
        <w:t>evaluate</w:t>
      </w:r>
      <w:r w:rsidR="00F477AB">
        <w:t>d</w:t>
      </w:r>
      <w:r w:rsidR="00BE030B">
        <w:t xml:space="preserve"> the performance of </w:t>
      </w:r>
      <w:r w:rsidR="00F02A7A">
        <w:t>s</w:t>
      </w:r>
      <w:r w:rsidR="00BE030B">
        <w:t>urfactant A (4, 2, 1</w:t>
      </w:r>
      <w:r w:rsidR="00622ADA">
        <w:t>,</w:t>
      </w:r>
      <w:r w:rsidR="00BE030B">
        <w:t xml:space="preserve"> and 0%) and </w:t>
      </w:r>
      <w:r w:rsidR="00F477AB">
        <w:t>then</w:t>
      </w:r>
      <w:r w:rsidR="00F02A7A">
        <w:t xml:space="preserve"> </w:t>
      </w:r>
      <w:r w:rsidR="00BE030B">
        <w:t>the compatibility of seven</w:t>
      </w:r>
      <w:r w:rsidR="00F02A7A">
        <w:t xml:space="preserve"> </w:t>
      </w:r>
      <w:r w:rsidR="00D15A56">
        <w:t>additional</w:t>
      </w:r>
      <w:r w:rsidR="00BE030B">
        <w:t xml:space="preserve"> </w:t>
      </w:r>
      <w:r w:rsidR="00BE030B" w:rsidRPr="001C4729">
        <w:t>surfactants</w:t>
      </w:r>
      <w:r w:rsidR="00E779E2">
        <w:t xml:space="preserve"> (4% concentration)</w:t>
      </w:r>
      <w:r w:rsidR="00BE030B">
        <w:t xml:space="preserve"> in a</w:t>
      </w:r>
      <w:r w:rsidR="00D15A56">
        <w:t>n</w:t>
      </w:r>
      <w:r w:rsidR="00BE030B">
        <w:t xml:space="preserve"> OD</w:t>
      </w:r>
      <w:r w:rsidR="00F02A7A">
        <w:t xml:space="preserve"> formulation</w:t>
      </w:r>
      <w:r w:rsidR="00BE030B">
        <w:t xml:space="preserve">. </w:t>
      </w:r>
      <w:r w:rsidR="00BE030B" w:rsidRPr="00BE030B">
        <w:t>Formulations were stored under refrigerat</w:t>
      </w:r>
      <w:r w:rsidR="006B49B9">
        <w:t>ion</w:t>
      </w:r>
      <w:r w:rsidR="00BE030B" w:rsidRPr="00BE030B">
        <w:t>, and conidial viability</w:t>
      </w:r>
      <w:r w:rsidR="00F477AB">
        <w:t xml:space="preserve"> was</w:t>
      </w:r>
      <w:r w:rsidR="00BE030B" w:rsidRPr="00BE030B">
        <w:t xml:space="preserve"> assessed at 2</w:t>
      </w:r>
      <w:r w:rsidR="00BE030B">
        <w:t xml:space="preserve">, </w:t>
      </w:r>
      <w:r w:rsidR="00BE030B" w:rsidRPr="00BE030B">
        <w:t>30</w:t>
      </w:r>
      <w:r w:rsidR="00622ADA">
        <w:t>,</w:t>
      </w:r>
      <w:r w:rsidR="00BE030B">
        <w:t xml:space="preserve"> and 60</w:t>
      </w:r>
      <w:r w:rsidR="00BE030B" w:rsidRPr="00BE030B">
        <w:t xml:space="preserve"> days </w:t>
      </w:r>
      <w:r w:rsidR="00BE030B">
        <w:t>in the first step</w:t>
      </w:r>
      <w:r w:rsidR="00D15A56">
        <w:t>,</w:t>
      </w:r>
      <w:r w:rsidR="00BE030B">
        <w:t xml:space="preserve"> and </w:t>
      </w:r>
      <w:r w:rsidR="00622ADA">
        <w:t xml:space="preserve">at </w:t>
      </w:r>
      <w:r w:rsidR="00F477AB">
        <w:t>2 and 30 days in the compatibility</w:t>
      </w:r>
      <w:r w:rsidR="00F02A7A">
        <w:t xml:space="preserve"> step</w:t>
      </w:r>
      <w:r w:rsidR="00F477AB">
        <w:t>.</w:t>
      </w:r>
      <w:r w:rsidR="001437D2">
        <w:t xml:space="preserve"> </w:t>
      </w:r>
      <w:r w:rsidR="00053DC2">
        <w:t>After 60 days, i</w:t>
      </w:r>
      <w:r w:rsidR="001437D2" w:rsidRPr="001437D2">
        <w:t>ncreas</w:t>
      </w:r>
      <w:r w:rsidR="001437D2">
        <w:t>ing</w:t>
      </w:r>
      <w:r w:rsidR="001437D2" w:rsidRPr="001437D2">
        <w:t xml:space="preserve"> surfactant </w:t>
      </w:r>
      <w:r w:rsidR="001437D2">
        <w:t xml:space="preserve">A </w:t>
      </w:r>
      <w:r w:rsidR="001437D2" w:rsidRPr="001437D2">
        <w:t>concentration</w:t>
      </w:r>
      <w:r w:rsidR="001437D2">
        <w:t xml:space="preserve"> reduced </w:t>
      </w:r>
      <w:r w:rsidR="001437D2" w:rsidRPr="00BE030B">
        <w:rPr>
          <w:i/>
          <w:iCs/>
        </w:rPr>
        <w:t>C</w:t>
      </w:r>
      <w:r w:rsidR="001437D2">
        <w:rPr>
          <w:i/>
          <w:iCs/>
        </w:rPr>
        <w:t>.</w:t>
      </w:r>
      <w:r w:rsidR="001437D2" w:rsidRPr="00BE030B">
        <w:rPr>
          <w:i/>
          <w:iCs/>
        </w:rPr>
        <w:t xml:space="preserve"> javanica</w:t>
      </w:r>
      <w:r w:rsidR="001437D2">
        <w:t xml:space="preserve"> conidia</w:t>
      </w:r>
      <w:r w:rsidR="00F02A7A">
        <w:t>l</w:t>
      </w:r>
      <w:r w:rsidR="001437D2">
        <w:t xml:space="preserve"> viability.</w:t>
      </w:r>
      <w:r w:rsidR="00F02A7A">
        <w:t xml:space="preserve"> The</w:t>
      </w:r>
      <w:r w:rsidR="001437D2">
        <w:t xml:space="preserve"> </w:t>
      </w:r>
      <w:r w:rsidR="009743FA">
        <w:t>4%</w:t>
      </w:r>
      <w:r w:rsidR="001437D2">
        <w:t xml:space="preserve"> concentration </w:t>
      </w:r>
      <w:r w:rsidR="001437D2" w:rsidRPr="001437D2">
        <w:t>showed the lowest stability, with high dispersion</w:t>
      </w:r>
      <w:r w:rsidR="009743FA">
        <w:t xml:space="preserve"> </w:t>
      </w:r>
      <w:r w:rsidR="001437D2" w:rsidRPr="001437D2">
        <w:t xml:space="preserve">and very low retention (8.51%), indicating </w:t>
      </w:r>
      <w:r w:rsidR="00D15581">
        <w:t>pronounced</w:t>
      </w:r>
      <w:r w:rsidR="001437D2" w:rsidRPr="001437D2">
        <w:t xml:space="preserve"> degradation</w:t>
      </w:r>
      <w:r w:rsidR="001437D2">
        <w:t xml:space="preserve">. Treatments </w:t>
      </w:r>
      <w:r w:rsidR="00D15581">
        <w:t>at</w:t>
      </w:r>
      <w:r w:rsidR="001437D2">
        <w:t xml:space="preserve"> 2</w:t>
      </w:r>
      <w:r w:rsidR="00D15581">
        <w:t xml:space="preserve">% </w:t>
      </w:r>
      <w:r w:rsidR="00F22D43">
        <w:t>and</w:t>
      </w:r>
      <w:r w:rsidR="009401DE">
        <w:t xml:space="preserve"> </w:t>
      </w:r>
      <w:r w:rsidR="001437D2">
        <w:t>1</w:t>
      </w:r>
      <w:r w:rsidR="00F22D43">
        <w:t>%</w:t>
      </w:r>
      <w:r w:rsidR="009401DE">
        <w:t xml:space="preserve"> </w:t>
      </w:r>
      <w:r w:rsidR="00F02A7A">
        <w:t xml:space="preserve">showed </w:t>
      </w:r>
      <w:r w:rsidR="009743FA" w:rsidRPr="001437D2">
        <w:t xml:space="preserve">low variability </w:t>
      </w:r>
      <w:r w:rsidR="009743FA">
        <w:t>and moderate</w:t>
      </w:r>
      <w:r w:rsidR="009401DE">
        <w:t xml:space="preserve"> </w:t>
      </w:r>
      <w:r w:rsidR="009401DE" w:rsidRPr="001437D2">
        <w:t>stability</w:t>
      </w:r>
      <w:r w:rsidR="009743FA">
        <w:t xml:space="preserve"> </w:t>
      </w:r>
      <w:r w:rsidR="009743FA" w:rsidRPr="001437D2">
        <w:t>(</w:t>
      </w:r>
      <w:r w:rsidR="009743FA">
        <w:t xml:space="preserve">retention </w:t>
      </w:r>
      <w:r w:rsidR="00D15581">
        <w:t xml:space="preserve">= </w:t>
      </w:r>
      <w:r w:rsidR="009743FA" w:rsidRPr="001437D2">
        <w:t>101.89</w:t>
      </w:r>
      <w:r w:rsidR="00622ADA">
        <w:t>%</w:t>
      </w:r>
      <w:r w:rsidR="009743FA">
        <w:t xml:space="preserve"> </w:t>
      </w:r>
      <w:r w:rsidR="009743FA" w:rsidRPr="001437D2">
        <w:t>and 93.69%</w:t>
      </w:r>
      <w:r w:rsidR="009743FA">
        <w:t>, respectively</w:t>
      </w:r>
      <w:r w:rsidR="009743FA" w:rsidRPr="001437D2">
        <w:t>)</w:t>
      </w:r>
      <w:r w:rsidR="00622ADA">
        <w:t xml:space="preserve">, </w:t>
      </w:r>
      <w:r w:rsidR="00D15581">
        <w:t xml:space="preserve">whereas the </w:t>
      </w:r>
      <w:r w:rsidR="009743FA">
        <w:t>0%</w:t>
      </w:r>
      <w:r w:rsidR="00D15581">
        <w:t xml:space="preserve"> treatment</w:t>
      </w:r>
      <w:r w:rsidR="009743FA">
        <w:t xml:space="preserve"> and </w:t>
      </w:r>
      <w:r w:rsidR="00D15581">
        <w:t xml:space="preserve">the </w:t>
      </w:r>
      <w:r w:rsidR="009401DE">
        <w:t>control</w:t>
      </w:r>
      <w:r w:rsidR="00D15581">
        <w:t xml:space="preserve"> </w:t>
      </w:r>
      <w:r w:rsidR="00F02A7A">
        <w:t>showed</w:t>
      </w:r>
      <w:r w:rsidR="009743FA" w:rsidRPr="001437D2">
        <w:t xml:space="preserve"> the most consistent performance</w:t>
      </w:r>
      <w:r w:rsidR="009743FA">
        <w:t xml:space="preserve"> (</w:t>
      </w:r>
      <w:r w:rsidR="009743FA" w:rsidRPr="001437D2">
        <w:t>retention</w:t>
      </w:r>
      <w:r w:rsidR="00D15581">
        <w:t xml:space="preserve"> =</w:t>
      </w:r>
      <w:r w:rsidR="009743FA" w:rsidRPr="001437D2">
        <w:t xml:space="preserve"> 99.18</w:t>
      </w:r>
      <w:r w:rsidR="00622ADA">
        <w:t>%</w:t>
      </w:r>
      <w:r w:rsidR="009743FA">
        <w:t xml:space="preserve"> and </w:t>
      </w:r>
      <w:r w:rsidR="009743FA" w:rsidRPr="001437D2">
        <w:t>97.31%</w:t>
      </w:r>
      <w:r w:rsidR="009743FA">
        <w:t>, respectively). These results indicate</w:t>
      </w:r>
      <w:r w:rsidR="00D15581">
        <w:t xml:space="preserve"> </w:t>
      </w:r>
      <w:r w:rsidR="009743FA">
        <w:t xml:space="preserve">that </w:t>
      </w:r>
      <w:r w:rsidR="009743FA" w:rsidRPr="001437D2">
        <w:t xml:space="preserve">surfactant </w:t>
      </w:r>
      <w:r w:rsidR="009743FA">
        <w:t xml:space="preserve">A </w:t>
      </w:r>
      <w:r w:rsidR="00D15581">
        <w:t>is</w:t>
      </w:r>
      <w:r w:rsidR="009743FA">
        <w:t xml:space="preserve"> not </w:t>
      </w:r>
      <w:r w:rsidR="00D15581">
        <w:t>suitable</w:t>
      </w:r>
      <w:r w:rsidR="009743FA">
        <w:t xml:space="preserve"> for</w:t>
      </w:r>
      <w:r w:rsidR="00D15581">
        <w:t xml:space="preserve"> maintaining</w:t>
      </w:r>
      <w:r w:rsidR="009743FA">
        <w:t xml:space="preserve"> </w:t>
      </w:r>
      <w:r w:rsidR="009743FA" w:rsidRPr="009743FA">
        <w:rPr>
          <w:i/>
          <w:iCs/>
        </w:rPr>
        <w:t xml:space="preserve">C. </w:t>
      </w:r>
      <w:r w:rsidR="00622ADA">
        <w:rPr>
          <w:i/>
          <w:iCs/>
        </w:rPr>
        <w:t>j</w:t>
      </w:r>
      <w:r w:rsidR="009743FA" w:rsidRPr="009743FA">
        <w:rPr>
          <w:i/>
          <w:iCs/>
        </w:rPr>
        <w:t>avanica</w:t>
      </w:r>
      <w:r w:rsidR="00D15581">
        <w:rPr>
          <w:i/>
          <w:iCs/>
        </w:rPr>
        <w:t xml:space="preserve"> </w:t>
      </w:r>
      <w:r w:rsidR="00D15581" w:rsidRPr="00D15581">
        <w:t>stability</w:t>
      </w:r>
      <w:r w:rsidR="009743FA">
        <w:t xml:space="preserve">. </w:t>
      </w:r>
      <w:r w:rsidR="00F81A63">
        <w:t xml:space="preserve">The compatibility </w:t>
      </w:r>
      <w:r w:rsidR="00F02A7A">
        <w:t>between</w:t>
      </w:r>
      <w:r w:rsidR="00F81A63">
        <w:t xml:space="preserve"> conidia </w:t>
      </w:r>
      <w:r w:rsidR="00D15A56">
        <w:t>and</w:t>
      </w:r>
      <w:r w:rsidR="00F81A63">
        <w:t xml:space="preserve"> surfactant components </w:t>
      </w:r>
      <w:r w:rsidR="00E779E2">
        <w:t xml:space="preserve">also </w:t>
      </w:r>
      <w:r w:rsidR="00F81A63" w:rsidRPr="00F81A63">
        <w:t xml:space="preserve">influenced </w:t>
      </w:r>
      <w:r w:rsidR="00E779E2">
        <w:t>conidia</w:t>
      </w:r>
      <w:r w:rsidR="00D15A56">
        <w:t>l</w:t>
      </w:r>
      <w:r w:rsidR="00E779E2">
        <w:t xml:space="preserve"> viability</w:t>
      </w:r>
      <w:r w:rsidR="00053DC2">
        <w:t xml:space="preserve"> after 30 days</w:t>
      </w:r>
      <w:r w:rsidR="00D15A56">
        <w:t xml:space="preserve"> of</w:t>
      </w:r>
      <w:r w:rsidR="00053DC2">
        <w:t xml:space="preserve"> formulation</w:t>
      </w:r>
      <w:r w:rsidR="00F81A63">
        <w:t>. Surfactants A</w:t>
      </w:r>
      <w:r w:rsidR="00E779E2">
        <w:t xml:space="preserve"> and</w:t>
      </w:r>
      <w:r w:rsidR="00F81A63">
        <w:t xml:space="preserve"> C </w:t>
      </w:r>
      <w:r w:rsidR="00D15A56">
        <w:t>showed</w:t>
      </w:r>
      <w:r w:rsidR="00E779E2">
        <w:t xml:space="preserve"> </w:t>
      </w:r>
      <w:r w:rsidR="00E779E2" w:rsidRPr="00E779E2">
        <w:t>high variability and near-zero retention (0.00–0.83%),</w:t>
      </w:r>
      <w:r w:rsidR="00E779E2">
        <w:t xml:space="preserve"> followed by</w:t>
      </w:r>
      <w:r w:rsidR="00622ADA">
        <w:t xml:space="preserve"> surfactant</w:t>
      </w:r>
      <w:r w:rsidR="00E779E2">
        <w:t xml:space="preserve"> H (</w:t>
      </w:r>
      <w:r w:rsidR="00E779E2" w:rsidRPr="00E779E2">
        <w:t xml:space="preserve">retention </w:t>
      </w:r>
      <w:r w:rsidR="00622ADA">
        <w:t xml:space="preserve">= </w:t>
      </w:r>
      <w:r w:rsidR="00E779E2" w:rsidRPr="00E779E2">
        <w:t>29.60</w:t>
      </w:r>
      <w:r w:rsidR="00E779E2">
        <w:t>%)</w:t>
      </w:r>
      <w:r w:rsidR="00D15A56">
        <w:t>,</w:t>
      </w:r>
      <w:r w:rsidR="00E779E2">
        <w:t xml:space="preserve"> </w:t>
      </w:r>
      <w:r w:rsidR="00E779E2" w:rsidRPr="00E779E2">
        <w:t>indicating severe instability</w:t>
      </w:r>
      <w:r w:rsidR="00D15A56">
        <w:t xml:space="preserve">, </w:t>
      </w:r>
      <w:r w:rsidR="00D15581">
        <w:t>likely associated with</w:t>
      </w:r>
      <w:r w:rsidR="00EC746C">
        <w:t xml:space="preserve"> hexanol </w:t>
      </w:r>
      <w:r w:rsidR="00A847D2">
        <w:t>or</w:t>
      </w:r>
      <w:r w:rsidR="00EC746C">
        <w:t xml:space="preserve"> glycol</w:t>
      </w:r>
      <w:r w:rsidR="00560DBF">
        <w:t xml:space="preserve"> </w:t>
      </w:r>
      <w:r w:rsidR="00EC746C">
        <w:t>components</w:t>
      </w:r>
      <w:r w:rsidR="00E779E2" w:rsidRPr="00E779E2">
        <w:t>.</w:t>
      </w:r>
      <w:r w:rsidR="00E779E2">
        <w:t xml:space="preserve"> Surfactants B and D</w:t>
      </w:r>
      <w:r w:rsidR="00E779E2" w:rsidRPr="00E779E2">
        <w:t xml:space="preserve"> </w:t>
      </w:r>
      <w:r w:rsidR="00E779E2" w:rsidRPr="00F81A63">
        <w:t>showed moderate retention (≈67–68%)</w:t>
      </w:r>
      <w:r w:rsidR="00E779E2">
        <w:t xml:space="preserve"> </w:t>
      </w:r>
      <w:r w:rsidR="00EC746C">
        <w:t>and</w:t>
      </w:r>
      <w:r w:rsidR="00E779E2">
        <w:t xml:space="preserve"> stability</w:t>
      </w:r>
      <w:r w:rsidR="00D15581">
        <w:t>, suggesting potential</w:t>
      </w:r>
      <w:r w:rsidR="00EC746C">
        <w:t xml:space="preserve"> </w:t>
      </w:r>
      <w:r w:rsidR="00E779E2">
        <w:t>risks over</w:t>
      </w:r>
      <w:r w:rsidR="00D15A56">
        <w:t xml:space="preserve"> </w:t>
      </w:r>
      <w:r w:rsidR="00E779E2">
        <w:t>time</w:t>
      </w:r>
      <w:r w:rsidR="00053DC2">
        <w:t>.</w:t>
      </w:r>
      <w:r w:rsidR="00E779E2">
        <w:t xml:space="preserve"> </w:t>
      </w:r>
      <w:r w:rsidR="00053DC2">
        <w:t>Surfactant</w:t>
      </w:r>
      <w:r w:rsidR="00E779E2">
        <w:t xml:space="preserve"> E</w:t>
      </w:r>
      <w:r w:rsidR="00053DC2">
        <w:t xml:space="preserve"> </w:t>
      </w:r>
      <w:r w:rsidR="00053DC2" w:rsidRPr="00F81A63">
        <w:t>showed stable performance (retention = 89.01%</w:t>
      </w:r>
      <w:r w:rsidR="00053DC2">
        <w:t>)</w:t>
      </w:r>
      <w:r w:rsidR="00D15A56">
        <w:t>,</w:t>
      </w:r>
      <w:r w:rsidR="00053DC2">
        <w:t xml:space="preserve"> </w:t>
      </w:r>
      <w:r w:rsidR="00D15A56">
        <w:t>f</w:t>
      </w:r>
      <w:r w:rsidR="00053DC2">
        <w:t>ollowed by F and G</w:t>
      </w:r>
      <w:r w:rsidR="00D15A56">
        <w:t>,</w:t>
      </w:r>
      <w:r w:rsidR="00053DC2">
        <w:t xml:space="preserve"> </w:t>
      </w:r>
      <w:r w:rsidR="00D15A56">
        <w:t>which</w:t>
      </w:r>
      <w:r w:rsidR="00053DC2">
        <w:t xml:space="preserve"> </w:t>
      </w:r>
      <w:r w:rsidR="00D15A56">
        <w:t xml:space="preserve">showed </w:t>
      </w:r>
      <w:r w:rsidR="00053DC2">
        <w:t>the</w:t>
      </w:r>
      <w:r w:rsidR="00D15A56">
        <w:t xml:space="preserve"> </w:t>
      </w:r>
      <w:r w:rsidR="00053DC2" w:rsidRPr="00F81A63">
        <w:t xml:space="preserve">highest stability, </w:t>
      </w:r>
      <w:r w:rsidR="00D15A56">
        <w:t>with</w:t>
      </w:r>
      <w:r w:rsidR="00053DC2" w:rsidRPr="00F81A63">
        <w:t xml:space="preserve"> retention ≈</w:t>
      </w:r>
      <w:r w:rsidR="00053DC2">
        <w:t xml:space="preserve"> </w:t>
      </w:r>
      <w:r w:rsidR="00053DC2" w:rsidRPr="00F81A63">
        <w:t>100%</w:t>
      </w:r>
      <w:r w:rsidR="00622ADA">
        <w:t xml:space="preserve">, </w:t>
      </w:r>
      <w:r w:rsidR="00053DC2">
        <w:t>compar</w:t>
      </w:r>
      <w:r w:rsidR="00D15581">
        <w:t xml:space="preserve">able </w:t>
      </w:r>
      <w:r w:rsidR="00053DC2">
        <w:t>to</w:t>
      </w:r>
      <w:r w:rsidR="00D15A56">
        <w:t xml:space="preserve"> the</w:t>
      </w:r>
      <w:r w:rsidR="00053DC2">
        <w:t xml:space="preserve"> control. Both represen</w:t>
      </w:r>
      <w:r w:rsidR="00D15A56">
        <w:t>t</w:t>
      </w:r>
      <w:r w:rsidR="00053DC2">
        <w:t xml:space="preserve"> promis</w:t>
      </w:r>
      <w:r w:rsidR="00D15A56">
        <w:t xml:space="preserve">ing </w:t>
      </w:r>
      <w:r w:rsidR="00053DC2">
        <w:t>surfactants t</w:t>
      </w:r>
      <w:r w:rsidR="00A8618A">
        <w:t xml:space="preserve">hat </w:t>
      </w:r>
      <w:r w:rsidR="003A2E01">
        <w:t>may</w:t>
      </w:r>
      <w:r w:rsidR="00A8618A">
        <w:t xml:space="preserve"> </w:t>
      </w:r>
      <w:r w:rsidR="00053DC2">
        <w:t xml:space="preserve">be </w:t>
      </w:r>
      <w:r w:rsidR="003A2E01">
        <w:t xml:space="preserve">considered for </w:t>
      </w:r>
      <w:r w:rsidR="00053DC2">
        <w:t>use in oil dispersion formulation</w:t>
      </w:r>
      <w:r w:rsidR="00622ADA">
        <w:t>s</w:t>
      </w:r>
      <w:r w:rsidR="00053DC2">
        <w:t xml:space="preserve"> with </w:t>
      </w:r>
      <w:r w:rsidR="00053DC2" w:rsidRPr="00053DC2">
        <w:rPr>
          <w:i/>
          <w:iCs/>
        </w:rPr>
        <w:t>C. javanica</w:t>
      </w:r>
      <w:r w:rsidR="00053DC2">
        <w:t xml:space="preserve"> as</w:t>
      </w:r>
      <w:r w:rsidR="00D15A56">
        <w:t xml:space="preserve"> the</w:t>
      </w:r>
      <w:r w:rsidR="00053DC2">
        <w:t xml:space="preserve"> active ingredient. </w:t>
      </w:r>
    </w:p>
    <w:p w14:paraId="06147F01" w14:textId="77777777" w:rsidR="00E5097D" w:rsidRPr="00FA568A" w:rsidRDefault="00E5097D"/>
    <w:p w14:paraId="5B58F858" w14:textId="6FB30E93" w:rsidR="00E5097D" w:rsidRDefault="00272DA2">
      <w:pPr>
        <w:tabs>
          <w:tab w:val="left" w:pos="8300"/>
        </w:tabs>
        <w:rPr>
          <w:sz w:val="22"/>
          <w:szCs w:val="22"/>
        </w:rPr>
        <w:sectPr w:rsidR="00E5097D" w:rsidSect="00957029">
          <w:headerReference w:type="even" r:id="rId8"/>
          <w:headerReference w:type="first" r:id="rId9"/>
          <w:pgSz w:w="11906" w:h="16838"/>
          <w:pgMar w:top="1418" w:right="1701" w:bottom="1418" w:left="1701" w:header="0" w:footer="1134" w:gutter="0"/>
          <w:pgNumType w:start="1"/>
          <w:cols w:space="720"/>
          <w:titlePg/>
          <w:docGrid w:linePitch="326"/>
        </w:sectPr>
      </w:pPr>
      <w:r>
        <w:rPr>
          <w:b/>
          <w:smallCaps/>
          <w:sz w:val="22"/>
          <w:szCs w:val="22"/>
        </w:rPr>
        <w:t>KEYWORDS</w:t>
      </w:r>
      <w:r>
        <w:rPr>
          <w:sz w:val="22"/>
          <w:szCs w:val="22"/>
        </w:rPr>
        <w:t xml:space="preserve">: </w:t>
      </w:r>
      <w:r w:rsidR="00EC746C" w:rsidRPr="00EC746C">
        <w:rPr>
          <w:i/>
          <w:iCs/>
          <w:sz w:val="22"/>
          <w:szCs w:val="22"/>
        </w:rPr>
        <w:t>Cordyceps javanica</w:t>
      </w:r>
      <w:r w:rsidR="00EC746C" w:rsidRPr="00EC746C">
        <w:rPr>
          <w:sz w:val="22"/>
          <w:szCs w:val="22"/>
        </w:rPr>
        <w:t>, oil dispersion formulation</w:t>
      </w:r>
      <w:r w:rsidR="00622ADA">
        <w:rPr>
          <w:sz w:val="22"/>
          <w:szCs w:val="22"/>
        </w:rPr>
        <w:t>s</w:t>
      </w:r>
      <w:r w:rsidR="00EC746C" w:rsidRPr="00EC746C">
        <w:rPr>
          <w:sz w:val="22"/>
          <w:szCs w:val="22"/>
        </w:rPr>
        <w:t>, surfactants, conidia</w:t>
      </w:r>
      <w:r w:rsidR="00622ADA">
        <w:rPr>
          <w:sz w:val="22"/>
          <w:szCs w:val="22"/>
        </w:rPr>
        <w:t>l</w:t>
      </w:r>
      <w:r w:rsidR="00EC746C" w:rsidRPr="00EC746C">
        <w:rPr>
          <w:sz w:val="22"/>
          <w:szCs w:val="22"/>
        </w:rPr>
        <w:t xml:space="preserve"> viability, formulation stability.</w:t>
      </w:r>
      <w:r>
        <w:rPr>
          <w:color w:val="C00000"/>
          <w:sz w:val="22"/>
          <w:szCs w:val="22"/>
        </w:rPr>
        <w:t xml:space="preserve"> </w:t>
      </w:r>
    </w:p>
    <w:p w14:paraId="7F3C1D89" w14:textId="77777777" w:rsidR="00E5097D" w:rsidRDefault="00E5097D">
      <w:pPr>
        <w:jc w:val="center"/>
      </w:pPr>
    </w:p>
    <w:p w14:paraId="57C457B5" w14:textId="00CDD3C2" w:rsidR="00E5097D" w:rsidRDefault="00272DA2">
      <w:pPr>
        <w:tabs>
          <w:tab w:val="left" w:pos="8300"/>
        </w:tabs>
        <w:rPr>
          <w:sz w:val="22"/>
          <w:szCs w:val="22"/>
        </w:rPr>
        <w:sectPr w:rsidR="00E5097D">
          <w:headerReference w:type="even" r:id="rId10"/>
          <w:headerReference w:type="first" r:id="rId11"/>
          <w:type w:val="continuous"/>
          <w:pgSz w:w="11906" w:h="16838"/>
          <w:pgMar w:top="1418" w:right="1701" w:bottom="1418" w:left="1701" w:header="284" w:footer="709" w:gutter="0"/>
          <w:cols w:space="720"/>
          <w:titlePg/>
        </w:sectPr>
      </w:pPr>
      <w:r>
        <w:rPr>
          <w:b/>
          <w:smallCaps/>
          <w:sz w:val="22"/>
          <w:szCs w:val="22"/>
        </w:rPr>
        <w:t>FUNDING:</w:t>
      </w:r>
      <w:r w:rsidR="00EC746C">
        <w:rPr>
          <w:b/>
          <w:smallCaps/>
          <w:sz w:val="22"/>
          <w:szCs w:val="22"/>
        </w:rPr>
        <w:t xml:space="preserve"> </w:t>
      </w:r>
      <w:r w:rsidR="00EC746C" w:rsidRPr="00EC746C">
        <w:rPr>
          <w:bCs/>
          <w:smallCaps/>
          <w:sz w:val="22"/>
          <w:szCs w:val="22"/>
        </w:rPr>
        <w:t>Oligos Biotecnologia Fabricação de Defensivos Agrícolas Ltda</w:t>
      </w:r>
    </w:p>
    <w:p w14:paraId="2265A0F5" w14:textId="77777777" w:rsidR="00E5097D" w:rsidRDefault="00E5097D">
      <w:pPr>
        <w:rPr>
          <w:sz w:val="16"/>
          <w:szCs w:val="16"/>
        </w:rPr>
      </w:pPr>
    </w:p>
    <w:sectPr w:rsidR="00E5097D">
      <w:type w:val="continuous"/>
      <w:pgSz w:w="11906" w:h="16838"/>
      <w:pgMar w:top="1134" w:right="1134" w:bottom="1134" w:left="1134" w:header="284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8C6374" w14:textId="77777777" w:rsidR="001D2F92" w:rsidRDefault="001D2F92">
      <w:r>
        <w:separator/>
      </w:r>
    </w:p>
  </w:endnote>
  <w:endnote w:type="continuationSeparator" w:id="0">
    <w:p w14:paraId="10EAB3C2" w14:textId="77777777" w:rsidR="001D2F92" w:rsidRDefault="001D2F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3C458E" w14:textId="77777777" w:rsidR="001D2F92" w:rsidRDefault="001D2F92">
      <w:r>
        <w:separator/>
      </w:r>
    </w:p>
  </w:footnote>
  <w:footnote w:type="continuationSeparator" w:id="0">
    <w:p w14:paraId="2559778D" w14:textId="77777777" w:rsidR="001D2F92" w:rsidRDefault="001D2F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2BA91" w14:textId="77777777" w:rsidR="00E5097D" w:rsidRDefault="001D2F9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778F8A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alt="" style="position:absolute;left:0;text-align:left;margin-left:0;margin-top:0;width:424.7pt;height:424.7pt;z-index:-251659264;mso-position-horizontal:center;mso-position-horizontal-relative:margin;mso-position-vertical:center;mso-position-vertical-relative:margin">
          <v:imagedata r:id="rId1" o:title="image6" gain="19661f" blacklevel="22938f"/>
          <w10:wrap anchorx="margin" anchory="margin"/>
        </v:shape>
      </w:pict>
    </w:r>
    <w:r>
      <w:rPr>
        <w:color w:val="000000"/>
      </w:rPr>
      <w:pict w14:anchorId="58BB698C">
        <v:shape id="WordPictureWatermark2" o:spid="_x0000_s1027" type="#_x0000_t75" alt="" style="position:absolute;left:0;text-align:left;margin-left:0;margin-top:0;width:481.75pt;height:503.6pt;z-index:-251658240;mso-position-horizontal:center;mso-position-horizontal-relative:margin;mso-position-vertical:center;mso-position-vertical-relative:margin">
          <v:imagedata r:id="rId2" o:title="image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DCD30" w14:textId="510AE8FD" w:rsidR="00957029" w:rsidRDefault="00750B6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noProof/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1312" behindDoc="0" locked="0" layoutInCell="1" allowOverlap="1" wp14:anchorId="2A991F3B" wp14:editId="41A77563">
          <wp:simplePos x="0" y="0"/>
          <wp:positionH relativeFrom="page">
            <wp:posOffset>0</wp:posOffset>
          </wp:positionH>
          <wp:positionV relativeFrom="paragraph">
            <wp:posOffset>-3175</wp:posOffset>
          </wp:positionV>
          <wp:extent cx="7562850" cy="1761490"/>
          <wp:effectExtent l="0" t="0" r="0" b="0"/>
          <wp:wrapNone/>
          <wp:docPr id="178566394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5663949" name="Imagem 17856639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761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06F2A3E" w14:textId="0DD86E5F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noProof/>
        <w:color w:val="000000"/>
      </w:rPr>
    </w:pPr>
  </w:p>
  <w:p w14:paraId="08AB67C6" w14:textId="115DB492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noProof/>
        <w:color w:val="000000"/>
      </w:rPr>
    </w:pPr>
  </w:p>
  <w:p w14:paraId="7747FD4B" w14:textId="77777777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noProof/>
        <w:color w:val="000000"/>
      </w:rPr>
    </w:pPr>
  </w:p>
  <w:p w14:paraId="1BA7E2C5" w14:textId="77777777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noProof/>
        <w:color w:val="000000"/>
      </w:rPr>
    </w:pPr>
  </w:p>
  <w:p w14:paraId="0121DB05" w14:textId="175B6DCC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36E336D0" w14:textId="2DA359E5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2589F7A4" w14:textId="5C1F22DB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20050B6A" w14:textId="77777777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06654763" w14:textId="1D739474" w:rsidR="00E5097D" w:rsidRDefault="00E5097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6A837" w14:textId="77777777" w:rsidR="00E5097D" w:rsidRDefault="001D2F9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27945F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left:0;text-align:left;margin-left:0;margin-top:0;width:424.7pt;height:424.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tipo1" gain="19661f" blacklevel="22938f"/>
          <w10:wrap anchorx="margin" anchory="margin"/>
        </v:shape>
      </w:pict>
    </w:r>
    <w:r>
      <w:rPr>
        <w:color w:val="000000"/>
      </w:rPr>
      <w:pict w14:anchorId="0224E3F4">
        <v:shape id="_x0000_s1025" type="#_x0000_t75" alt="" style="position:absolute;left:0;text-align:left;margin-left:0;margin-top:0;width:481.75pt;height:503.6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APG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09433" w14:textId="77777777" w:rsidR="00E5097D" w:rsidRDefault="00272DA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114300" distR="114300" simplePos="0" relativeHeight="251656192" behindDoc="0" locked="0" layoutInCell="1" hidden="0" allowOverlap="1" wp14:anchorId="5C49B9EB" wp14:editId="136E41A5">
          <wp:simplePos x="0" y="0"/>
          <wp:positionH relativeFrom="column">
            <wp:posOffset>-1097914</wp:posOffset>
          </wp:positionH>
          <wp:positionV relativeFrom="paragraph">
            <wp:posOffset>-198119</wp:posOffset>
          </wp:positionV>
          <wp:extent cx="7598410" cy="2517775"/>
          <wp:effectExtent l="0" t="0" r="0" b="0"/>
          <wp:wrapSquare wrapText="bothSides" distT="0" distB="0" distL="114300" distR="114300"/>
          <wp:docPr id="443375056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8410" cy="2517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97D"/>
    <w:rsid w:val="00053DC2"/>
    <w:rsid w:val="001437D2"/>
    <w:rsid w:val="00163845"/>
    <w:rsid w:val="001C4729"/>
    <w:rsid w:val="001D2F92"/>
    <w:rsid w:val="00246BCD"/>
    <w:rsid w:val="00272DA2"/>
    <w:rsid w:val="003526FA"/>
    <w:rsid w:val="003A2E01"/>
    <w:rsid w:val="00560DBF"/>
    <w:rsid w:val="00622ADA"/>
    <w:rsid w:val="006442F1"/>
    <w:rsid w:val="006707FB"/>
    <w:rsid w:val="006A0F2D"/>
    <w:rsid w:val="006B49B9"/>
    <w:rsid w:val="00750B66"/>
    <w:rsid w:val="007A7424"/>
    <w:rsid w:val="00895FEE"/>
    <w:rsid w:val="008A6904"/>
    <w:rsid w:val="009401DE"/>
    <w:rsid w:val="00957029"/>
    <w:rsid w:val="009743FA"/>
    <w:rsid w:val="00976631"/>
    <w:rsid w:val="00A847D2"/>
    <w:rsid w:val="00A8618A"/>
    <w:rsid w:val="00BE030B"/>
    <w:rsid w:val="00D022EB"/>
    <w:rsid w:val="00D15581"/>
    <w:rsid w:val="00D15A56"/>
    <w:rsid w:val="00DF4DAA"/>
    <w:rsid w:val="00E5097D"/>
    <w:rsid w:val="00E779E2"/>
    <w:rsid w:val="00EC746C"/>
    <w:rsid w:val="00F01F94"/>
    <w:rsid w:val="00F02A7A"/>
    <w:rsid w:val="00F16E9C"/>
    <w:rsid w:val="00F22D43"/>
    <w:rsid w:val="00F27DF1"/>
    <w:rsid w:val="00F477AB"/>
    <w:rsid w:val="00F47DB5"/>
    <w:rsid w:val="00F81A63"/>
    <w:rsid w:val="00FA568A"/>
    <w:rsid w:val="00FF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34C83D"/>
  <w15:docId w15:val="{1C1A80EC-CCC6-46CD-96DA-1A3090272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0B2C"/>
    <w:rPr>
      <w:lang w:val="fr-FR" w:eastAsia="fr-FR"/>
    </w:rPr>
  </w:style>
  <w:style w:type="paragraph" w:styleId="Ttulo1">
    <w:name w:val="heading 1"/>
    <w:basedOn w:val="Normal"/>
    <w:next w:val="Normal"/>
    <w:uiPriority w:val="9"/>
    <w:qFormat/>
    <w:rsid w:val="00060B2C"/>
    <w:pPr>
      <w:keepNext/>
      <w:spacing w:before="120" w:after="120"/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Ref">
    <w:name w:val="Ref"/>
    <w:basedOn w:val="Normal"/>
    <w:autoRedefine/>
    <w:rsid w:val="00060B2C"/>
    <w:pPr>
      <w:ind w:left="720" w:hanging="720"/>
    </w:pPr>
    <w:rPr>
      <w:lang w:val="en-GB"/>
    </w:rPr>
  </w:style>
  <w:style w:type="paragraph" w:customStyle="1" w:styleId="Authors">
    <w:name w:val="Authors"/>
    <w:basedOn w:val="Normal"/>
    <w:rsid w:val="00060B2C"/>
    <w:pPr>
      <w:spacing w:before="240" w:after="240"/>
      <w:jc w:val="center"/>
    </w:pPr>
    <w:rPr>
      <w:i/>
      <w:sz w:val="28"/>
      <w:lang w:val="en-GB"/>
    </w:rPr>
  </w:style>
  <w:style w:type="paragraph" w:customStyle="1" w:styleId="address">
    <w:name w:val="address"/>
    <w:basedOn w:val="Normal"/>
    <w:rsid w:val="00060B2C"/>
    <w:pPr>
      <w:spacing w:before="120" w:after="120"/>
    </w:pPr>
    <w:rPr>
      <w:lang w:val="en-GB"/>
    </w:rPr>
  </w:style>
  <w:style w:type="paragraph" w:styleId="Textodenotadefim">
    <w:name w:val="endnote text"/>
    <w:basedOn w:val="Normal"/>
    <w:semiHidden/>
    <w:rsid w:val="00060B2C"/>
    <w:rPr>
      <w:sz w:val="20"/>
      <w:szCs w:val="20"/>
    </w:rPr>
  </w:style>
  <w:style w:type="character" w:styleId="Refdenotadefim">
    <w:name w:val="endnote reference"/>
    <w:semiHidden/>
    <w:rsid w:val="00060B2C"/>
    <w:rPr>
      <w:vertAlign w:val="superscript"/>
    </w:rPr>
  </w:style>
  <w:style w:type="character" w:styleId="Hyperlink">
    <w:name w:val="Hyperlink"/>
    <w:rsid w:val="00060B2C"/>
    <w:rPr>
      <w:color w:val="0000FF"/>
      <w:u w:val="single"/>
    </w:rPr>
  </w:style>
  <w:style w:type="paragraph" w:styleId="Textodenotaderodap">
    <w:name w:val="footnote text"/>
    <w:basedOn w:val="Normal"/>
    <w:rsid w:val="00060B2C"/>
    <w:rPr>
      <w:sz w:val="20"/>
      <w:szCs w:val="20"/>
    </w:rPr>
  </w:style>
  <w:style w:type="character" w:styleId="Refdenotaderodap">
    <w:name w:val="footnote reference"/>
    <w:rsid w:val="00060B2C"/>
    <w:rPr>
      <w:vertAlign w:val="superscript"/>
    </w:rPr>
  </w:style>
  <w:style w:type="table" w:styleId="Tabelacomgrade">
    <w:name w:val="Table Grid"/>
    <w:basedOn w:val="Tabelanormal"/>
    <w:rsid w:val="006807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qFormat/>
    <w:rsid w:val="008408D9"/>
    <w:rPr>
      <w:b/>
      <w:bCs/>
      <w:i w:val="0"/>
      <w:iCs w:val="0"/>
    </w:rPr>
  </w:style>
  <w:style w:type="paragraph" w:styleId="Textodebalo">
    <w:name w:val="Balloon Text"/>
    <w:basedOn w:val="Normal"/>
    <w:link w:val="TextodebaloChar"/>
    <w:rsid w:val="00412AC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412AC7"/>
    <w:rPr>
      <w:rFonts w:ascii="Tahoma" w:hAnsi="Tahoma" w:cs="Tahoma"/>
      <w:sz w:val="16"/>
      <w:szCs w:val="16"/>
      <w:lang w:val="fr-FR" w:eastAsia="fr-FR"/>
    </w:rPr>
  </w:style>
  <w:style w:type="paragraph" w:styleId="Cabealho">
    <w:name w:val="header"/>
    <w:basedOn w:val="Normal"/>
    <w:link w:val="CabealhoChar"/>
    <w:uiPriority w:val="99"/>
    <w:rsid w:val="00412AC7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12AC7"/>
    <w:rPr>
      <w:sz w:val="24"/>
      <w:szCs w:val="24"/>
      <w:lang w:val="fr-FR" w:eastAsia="fr-FR"/>
    </w:rPr>
  </w:style>
  <w:style w:type="paragraph" w:styleId="Rodap">
    <w:name w:val="footer"/>
    <w:basedOn w:val="Normal"/>
    <w:link w:val="RodapChar"/>
    <w:rsid w:val="00412AC7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rsid w:val="00412AC7"/>
    <w:rPr>
      <w:sz w:val="24"/>
      <w:szCs w:val="24"/>
      <w:lang w:val="fr-FR" w:eastAsia="fr-FR"/>
    </w:rPr>
  </w:style>
  <w:style w:type="paragraph" w:styleId="PargrafodaLista">
    <w:name w:val="List Paragraph"/>
    <w:basedOn w:val="Normal"/>
    <w:uiPriority w:val="34"/>
    <w:qFormat/>
    <w:rsid w:val="002F65FB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YGSCFWvtO65Hu9wsxMBqeMim9Q==">CgMxLjA4AHIhMUFEYXV0VDNtNjBJdTBLZkJRTzFRazVzU3VqUTdXUGxt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0C8BA30-7B86-42F1-B3E7-29D4BC81D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412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</dc:creator>
  <cp:lastModifiedBy>Daniela Oliveira</cp:lastModifiedBy>
  <cp:revision>13</cp:revision>
  <dcterms:created xsi:type="dcterms:W3CDTF">2026-04-14T13:49:00Z</dcterms:created>
  <dcterms:modified xsi:type="dcterms:W3CDTF">2026-04-14T18:37:00Z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1580a1a669ec4e2626f2d32a2f49dd9c37598e64e8755b019c5a3dc59254f409</vt:lpwstr>
  </property>
</Properties>
</file>