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A390F25" w:rsidR="0027518C" w:rsidRDefault="00C4086A">
          <w:r>
            <w:rPr>
              <w:noProof/>
            </w:rPr>
            <mc:AlternateContent>
              <mc:Choice Requires="wps">
                <w:drawing>
                  <wp:anchor distT="0" distB="0" distL="114300" distR="114300" simplePos="0" relativeHeight="251665408" behindDoc="0" locked="0" layoutInCell="1" allowOverlap="1" wp14:anchorId="784170F8" wp14:editId="333BBC41">
                    <wp:simplePos x="0" y="0"/>
                    <wp:positionH relativeFrom="column">
                      <wp:posOffset>497205</wp:posOffset>
                    </wp:positionH>
                    <wp:positionV relativeFrom="paragraph">
                      <wp:posOffset>6878320</wp:posOffset>
                    </wp:positionV>
                    <wp:extent cx="1066800"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1066800" cy="494030"/>
                            </a:xfrm>
                            <a:prstGeom prst="rect">
                              <a:avLst/>
                            </a:prstGeom>
                            <a:noFill/>
                            <a:ln w="6350">
                              <a:noFill/>
                            </a:ln>
                          </wps:spPr>
                          <wps:txbx>
                            <w:txbxContent>
                              <w:p w14:paraId="7AC046C5" w14:textId="26BE3B50" w:rsidR="0053021A" w:rsidRPr="00C4086A" w:rsidRDefault="0053021A" w:rsidP="0053021A">
                                <w:pPr>
                                  <w:rPr>
                                    <w:rFonts w:ascii="Antonio" w:hAnsi="Antonio"/>
                                    <w:color w:val="F8EDD1"/>
                                    <w:sz w:val="40"/>
                                    <w:szCs w:val="36"/>
                                  </w:rPr>
                                </w:pPr>
                                <w:r w:rsidRPr="00C4086A">
                                  <w:rPr>
                                    <w:rFonts w:ascii="Antonio" w:hAnsi="Antonio"/>
                                    <w:color w:val="F8EDD1"/>
                                    <w:sz w:val="40"/>
                                    <w:szCs w:val="36"/>
                                  </w:rPr>
                                  <w:t xml:space="preserve">GT </w:t>
                                </w:r>
                                <w:r w:rsidR="00C4086A" w:rsidRPr="00C4086A">
                                  <w:rPr>
                                    <w:rFonts w:ascii="Antonio" w:hAnsi="Antonio"/>
                                    <w:color w:val="F8EDD1"/>
                                    <w:sz w:val="40"/>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39.15pt;margin-top:541.6pt;width:84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" filled="f" stroked="f" strokeweight=".5pt">
                    <v:textbox>
                      <w:txbxContent>
                        <w:p w14:paraId="7AC046C5" w14:textId="26BE3B50" w:rsidR="0053021A" w:rsidRPr="00C4086A" w:rsidRDefault="0053021A" w:rsidP="0053021A">
                          <w:pPr>
                            <w:rPr>
                              <w:rFonts w:ascii="Antonio" w:hAnsi="Antonio"/>
                              <w:color w:val="F8EDD1"/>
                              <w:sz w:val="40"/>
                              <w:szCs w:val="36"/>
                            </w:rPr>
                          </w:pPr>
                          <w:r w:rsidRPr="00C4086A">
                            <w:rPr>
                              <w:rFonts w:ascii="Antonio" w:hAnsi="Antonio"/>
                              <w:color w:val="F8EDD1"/>
                              <w:sz w:val="40"/>
                              <w:szCs w:val="36"/>
                            </w:rPr>
                            <w:t xml:space="preserve">GT </w:t>
                          </w:r>
                          <w:r w:rsidR="00C4086A" w:rsidRPr="00C4086A">
                            <w:rPr>
                              <w:rFonts w:ascii="Antonio" w:hAnsi="Antonio"/>
                              <w:color w:val="F8EDD1"/>
                              <w:sz w:val="40"/>
                              <w:szCs w:val="36"/>
                            </w:rPr>
                            <w:t>10</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E65D060" wp14:editId="1A222AB5">
                    <wp:simplePos x="0" y="0"/>
                    <wp:positionH relativeFrom="column">
                      <wp:posOffset>1335405</wp:posOffset>
                    </wp:positionH>
                    <wp:positionV relativeFrom="paragraph">
                      <wp:posOffset>6847840</wp:posOffset>
                    </wp:positionV>
                    <wp:extent cx="3694430" cy="1531620"/>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531620"/>
                            </a:xfrm>
                            <a:prstGeom prst="rect">
                              <a:avLst/>
                            </a:prstGeom>
                            <a:noFill/>
                            <a:ln w="6350">
                              <a:noFill/>
                            </a:ln>
                          </wps:spPr>
                          <wps:txbx>
                            <w:txbxContent>
                              <w:p w14:paraId="638EDCFA" w14:textId="5F729F63" w:rsidR="0053021A" w:rsidRPr="00733AFB" w:rsidRDefault="00C4086A" w:rsidP="0053021A">
                                <w:pPr>
                                  <w:rPr>
                                    <w:rFonts w:ascii="Antonio" w:hAnsi="Antonio"/>
                                    <w:color w:val="1A9B3C"/>
                                    <w:sz w:val="36"/>
                                    <w:szCs w:val="36"/>
                                  </w:rPr>
                                </w:pPr>
                                <w:r w:rsidRPr="00C4086A">
                                  <w:rPr>
                                    <w:rFonts w:ascii="Antonio" w:hAnsi="Antonio"/>
                                    <w:color w:val="1A9B3C"/>
                                    <w:sz w:val="36"/>
                                    <w:szCs w:val="36"/>
                                  </w:rPr>
                                  <w:t>PERSPECTIVA TERRITORIAL DO DESENVOLVIMENTO RURAL: PRÁTICAS, POLÍTICAS E PROCESSOS NO CONTEXTO DAS MUDANÇAS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D060" id="Caixa de Texto 2" o:spid="_x0000_s1027" type="#_x0000_t202" style="position:absolute;margin-left:105.15pt;margin-top:539.2pt;width:290.9pt;height:1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" filled="f" stroked="f" strokeweight=".5pt">
                    <v:textbox>
                      <w:txbxContent>
                        <w:p w14:paraId="638EDCFA" w14:textId="5F729F63" w:rsidR="0053021A" w:rsidRPr="00733AFB" w:rsidRDefault="00C4086A" w:rsidP="0053021A">
                          <w:pPr>
                            <w:rPr>
                              <w:rFonts w:ascii="Antonio" w:hAnsi="Antonio"/>
                              <w:color w:val="1A9B3C"/>
                              <w:sz w:val="36"/>
                              <w:szCs w:val="36"/>
                            </w:rPr>
                          </w:pPr>
                          <w:r w:rsidRPr="00C4086A">
                            <w:rPr>
                              <w:rFonts w:ascii="Antonio" w:hAnsi="Antonio"/>
                              <w:color w:val="1A9B3C"/>
                              <w:sz w:val="36"/>
                              <w:szCs w:val="36"/>
                            </w:rPr>
                            <w:t>PERSPECTIVA TERRITORIAL DO DESENVOLVIMENTO RURAL: PRÁTICAS, POLÍTICAS E PROCESSOS NO CONTEXTO DAS MUDANÇAS CLIMÁTICAS</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78A6D684">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487A49"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34C61875" w:rsidR="00216EFF" w:rsidRPr="00216EFF" w:rsidRDefault="00C4086A" w:rsidP="00216EFF">
      <w:pPr>
        <w:spacing w:after="240" w:line="360" w:lineRule="auto"/>
        <w:jc w:val="center"/>
        <w:rPr>
          <w:rFonts w:eastAsia="Arial"/>
          <w:b/>
          <w:bCs/>
        </w:rPr>
      </w:pPr>
      <w:r w:rsidRPr="00C4086A">
        <w:rPr>
          <w:rFonts w:eastAsia="Arial"/>
          <w:b/>
          <w:bCs/>
        </w:rPr>
        <w:t xml:space="preserve">TERRITÓRIO COMO HORIZONTE DE AÇÃO: DILEMAS E POTÊNCIAS DA ABORDAGEM TERRITORIAL NA </w:t>
      </w:r>
      <w:r>
        <w:rPr>
          <w:rFonts w:eastAsia="Arial"/>
          <w:b/>
          <w:bCs/>
        </w:rPr>
        <w:t>PEAPO-SP</w:t>
      </w:r>
    </w:p>
    <w:p w14:paraId="50A5D750" w14:textId="2996BEB8" w:rsidR="00216EFF" w:rsidRPr="00216EFF" w:rsidRDefault="00C4086A" w:rsidP="00216EFF">
      <w:pPr>
        <w:spacing w:line="360" w:lineRule="auto"/>
        <w:ind w:hanging="2"/>
        <w:jc w:val="center"/>
        <w:rPr>
          <w:rFonts w:eastAsia="Arial" w:cs="Arial"/>
          <w:vertAlign w:val="superscript"/>
        </w:rPr>
      </w:pPr>
      <w:r>
        <w:rPr>
          <w:rFonts w:eastAsia="Arial" w:cs="Arial"/>
        </w:rPr>
        <w:t>Wolney Felippe Antunes Junior</w:t>
      </w:r>
      <w:r w:rsidR="00216EFF" w:rsidRPr="00216EFF">
        <w:rPr>
          <w:rStyle w:val="Refdenotaderodap"/>
          <w:rFonts w:eastAsia="Arial" w:cs="Arial"/>
        </w:rPr>
        <w:footnoteReference w:id="1"/>
      </w:r>
    </w:p>
    <w:p w14:paraId="05420B62" w14:textId="6D6C4AA5" w:rsidR="00216EFF" w:rsidRPr="00216EFF" w:rsidRDefault="00C4086A" w:rsidP="00216EFF">
      <w:pPr>
        <w:spacing w:line="360" w:lineRule="auto"/>
        <w:ind w:hanging="2"/>
        <w:jc w:val="center"/>
        <w:rPr>
          <w:rFonts w:eastAsia="Arial" w:cs="Arial"/>
        </w:rPr>
      </w:pPr>
      <w:proofErr w:type="spellStart"/>
      <w:r>
        <w:rPr>
          <w:rFonts w:eastAsia="Arial" w:cs="Arial"/>
        </w:rPr>
        <w:t>Vanilde</w:t>
      </w:r>
      <w:proofErr w:type="spellEnd"/>
      <w:r>
        <w:rPr>
          <w:rFonts w:eastAsia="Arial" w:cs="Arial"/>
        </w:rPr>
        <w:t xml:space="preserve"> Ferreira de Souza-Esquerdo</w:t>
      </w:r>
      <w:r w:rsidR="00216EFF" w:rsidRPr="00216EFF">
        <w:rPr>
          <w:rStyle w:val="Refdenotaderodap"/>
          <w:rFonts w:eastAsia="Arial" w:cs="Arial"/>
        </w:rPr>
        <w:footnoteReference w:id="2"/>
      </w:r>
    </w:p>
    <w:p w14:paraId="1A10A913" w14:textId="77777777" w:rsidR="00216EFF" w:rsidRPr="00216EFF" w:rsidRDefault="00216EFF" w:rsidP="00C4086A">
      <w:pPr>
        <w:spacing w:line="360" w:lineRule="auto"/>
        <w:rPr>
          <w:rFonts w:eastAsia="Arial" w:cs="Arial"/>
          <w:color w:val="FF0000"/>
        </w:rPr>
      </w:pPr>
    </w:p>
    <w:p w14:paraId="0C32F20E" w14:textId="077F8EE2" w:rsidR="00216EFF" w:rsidRPr="00216EFF" w:rsidRDefault="00216EFF" w:rsidP="00C4086A">
      <w:pPr>
        <w:spacing w:line="360" w:lineRule="auto"/>
        <w:ind w:hanging="2"/>
        <w:jc w:val="both"/>
        <w:rPr>
          <w:rFonts w:eastAsia="Arial" w:cs="Arial"/>
        </w:rPr>
      </w:pPr>
      <w:r w:rsidRPr="00216EFF">
        <w:rPr>
          <w:rFonts w:eastAsia="Arial" w:cs="Arial"/>
          <w:b/>
        </w:rPr>
        <w:t xml:space="preserve">GT </w:t>
      </w:r>
      <w:r w:rsidR="00C4086A">
        <w:rPr>
          <w:rFonts w:eastAsia="Arial" w:cs="Arial"/>
          <w:b/>
        </w:rPr>
        <w:t>10</w:t>
      </w:r>
      <w:r w:rsidRPr="00216EFF">
        <w:rPr>
          <w:rFonts w:eastAsia="Arial" w:cs="Arial"/>
          <w:b/>
        </w:rPr>
        <w:t>:</w:t>
      </w:r>
      <w:r w:rsidRPr="00216EFF">
        <w:rPr>
          <w:rFonts w:eastAsia="Arial" w:cs="Arial"/>
        </w:rPr>
        <w:t xml:space="preserve"> </w:t>
      </w:r>
      <w:r w:rsidR="00C4086A" w:rsidRPr="00C4086A">
        <w:rPr>
          <w:rFonts w:eastAsia="Arial" w:cs="Arial"/>
        </w:rPr>
        <w:t>PERSPECTIVA TERRITORIAL DO DESENVOLVIMENTO RURAL: PRÁTICAS, POLÍTICAS E PROCESSOS NO CONTEXTO DAS MUDANÇAS CLIMÁTICAS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3D61334B" w:rsidR="00216EFF" w:rsidRPr="00216EFF" w:rsidRDefault="00A35F4D" w:rsidP="00A35F4D">
      <w:pPr>
        <w:spacing w:line="360" w:lineRule="auto"/>
        <w:ind w:hanging="2"/>
        <w:jc w:val="both"/>
        <w:rPr>
          <w:rFonts w:eastAsia="Arial" w:cs="Arial"/>
        </w:rPr>
      </w:pPr>
      <w:r>
        <w:rPr>
          <w:rFonts w:eastAsia="Arial" w:cs="Arial"/>
          <w:color w:val="000000"/>
        </w:rPr>
        <w:t xml:space="preserve">A mobilização da abordagem territorial segue sendo estratégica, tanto política quanto metodologicamente, para o fortalecimento e implementação de </w:t>
      </w:r>
      <w:r w:rsidR="004E0F26">
        <w:rPr>
          <w:rFonts w:eastAsia="Arial" w:cs="Arial"/>
          <w:color w:val="000000"/>
        </w:rPr>
        <w:t>ações</w:t>
      </w:r>
      <w:r>
        <w:rPr>
          <w:rFonts w:eastAsia="Arial" w:cs="Arial"/>
          <w:color w:val="000000"/>
        </w:rPr>
        <w:t xml:space="preserve"> de desenvolvimento rural e agroecologia. Nosso objetivo foi discutir os dilemas e as potências dessa abordagem à luz de dados empíricos produzidos nos territórios Sudoeste Paulista e Metropolitano de São Paulo, </w:t>
      </w:r>
      <w:r w:rsidR="004E0F26">
        <w:rPr>
          <w:rFonts w:eastAsia="Arial" w:cs="Arial"/>
          <w:color w:val="000000"/>
        </w:rPr>
        <w:t xml:space="preserve">no âmbito da </w:t>
      </w:r>
      <w:r>
        <w:rPr>
          <w:rFonts w:eastAsia="Arial" w:cs="Arial"/>
          <w:color w:val="000000"/>
        </w:rPr>
        <w:t xml:space="preserve">Política Estadual de Agroecologia e Produção Orgânica de São Paulo (PEAPO-SP). </w:t>
      </w:r>
      <w:r w:rsidR="004E0F26">
        <w:rPr>
          <w:rFonts w:eastAsia="Arial" w:cs="Arial"/>
          <w:color w:val="000000"/>
        </w:rPr>
        <w:t xml:space="preserve">Mobilizamos </w:t>
      </w:r>
      <w:r>
        <w:rPr>
          <w:rFonts w:eastAsia="Arial" w:cs="Arial"/>
          <w:color w:val="000000"/>
        </w:rPr>
        <w:t xml:space="preserve">três etapas metodológicas: mapeamento de estruturas locais de governança, identificação de atores-chave e aplicação de questionário </w:t>
      </w:r>
      <w:proofErr w:type="spellStart"/>
      <w:r>
        <w:rPr>
          <w:rFonts w:eastAsia="Arial" w:cs="Arial"/>
          <w:color w:val="000000"/>
        </w:rPr>
        <w:t>survey</w:t>
      </w:r>
      <w:proofErr w:type="spellEnd"/>
      <w:r>
        <w:rPr>
          <w:rFonts w:eastAsia="Arial" w:cs="Arial"/>
          <w:color w:val="000000"/>
        </w:rPr>
        <w:t xml:space="preserve">, cujos resultados foram analisados </w:t>
      </w:r>
      <w:r w:rsidR="004E0F26">
        <w:rPr>
          <w:rFonts w:eastAsia="Arial" w:cs="Arial"/>
          <w:color w:val="000000"/>
        </w:rPr>
        <w:t>através de</w:t>
      </w:r>
      <w:r>
        <w:rPr>
          <w:rFonts w:eastAsia="Arial" w:cs="Arial"/>
          <w:color w:val="000000"/>
        </w:rPr>
        <w:t xml:space="preserve"> mapas de rede. Observamos que o Sudoeste Paulista apresenta maior densidade e articulação intermunicipal, enquanto o Metropolitano de São Paulo ainda opera predominantemente na escala municipal, com baixa coordenação territorial. Apontamos que a efetivação territorial da PEAPO-SP requer</w:t>
      </w:r>
      <w:r w:rsidR="004E0F26">
        <w:rPr>
          <w:rFonts w:eastAsia="Arial" w:cs="Arial"/>
          <w:color w:val="000000"/>
        </w:rPr>
        <w:t xml:space="preserve"> a combinação</w:t>
      </w:r>
      <w:r>
        <w:rPr>
          <w:rFonts w:eastAsia="Arial" w:cs="Arial"/>
          <w:color w:val="000000"/>
        </w:rPr>
        <w:t xml:space="preserve"> da </w:t>
      </w:r>
      <w:r w:rsidR="004E0F26">
        <w:rPr>
          <w:rFonts w:eastAsia="Arial" w:cs="Arial"/>
          <w:color w:val="000000"/>
        </w:rPr>
        <w:t>municipalidade</w:t>
      </w:r>
      <w:r>
        <w:rPr>
          <w:rFonts w:eastAsia="Arial" w:cs="Arial"/>
          <w:color w:val="000000"/>
        </w:rPr>
        <w:t xml:space="preserve"> como base executiva, </w:t>
      </w:r>
      <w:r w:rsidR="004E0F26">
        <w:rPr>
          <w:rFonts w:eastAsia="Arial" w:cs="Arial"/>
          <w:color w:val="000000"/>
        </w:rPr>
        <w:t>com a</w:t>
      </w:r>
      <w:r>
        <w:rPr>
          <w:rFonts w:eastAsia="Arial" w:cs="Arial"/>
          <w:color w:val="000000"/>
        </w:rPr>
        <w:t xml:space="preserve"> con</w:t>
      </w:r>
      <w:r w:rsidR="004E0F26">
        <w:rPr>
          <w:rFonts w:eastAsia="Arial" w:cs="Arial"/>
          <w:color w:val="000000"/>
        </w:rPr>
        <w:t>formação</w:t>
      </w:r>
      <w:r>
        <w:rPr>
          <w:rFonts w:eastAsia="Arial" w:cs="Arial"/>
          <w:color w:val="000000"/>
        </w:rPr>
        <w:t xml:space="preserve"> de fóruns territoriais </w:t>
      </w:r>
      <w:r w:rsidR="004E0F26">
        <w:rPr>
          <w:rFonts w:eastAsia="Arial" w:cs="Arial"/>
          <w:color w:val="000000"/>
        </w:rPr>
        <w:t xml:space="preserve">que </w:t>
      </w:r>
      <w:r w:rsidR="004E0F26" w:rsidRPr="004E0F26">
        <w:rPr>
          <w:rFonts w:eastAsia="Arial" w:cs="Arial"/>
          <w:color w:val="000000"/>
        </w:rPr>
        <w:t xml:space="preserve">promovam </w:t>
      </w:r>
      <w:r w:rsidR="004E0F26" w:rsidRPr="004E0F26">
        <w:rPr>
          <w:rFonts w:eastAsia="Arial" w:cs="Arial"/>
          <w:color w:val="000000"/>
        </w:rPr>
        <w:lastRenderedPageBreak/>
        <w:t xml:space="preserve">reflexão coletiva e favoreçam a formulação integrada de estratégias de implementação </w:t>
      </w:r>
      <w:r w:rsidR="004E0F26">
        <w:rPr>
          <w:rFonts w:eastAsia="Arial" w:cs="Arial"/>
          <w:color w:val="000000"/>
        </w:rPr>
        <w:t xml:space="preserve">territorial </w:t>
      </w:r>
      <w:r w:rsidR="004E0F26" w:rsidRPr="004E0F26">
        <w:rPr>
          <w:rFonts w:eastAsia="Arial" w:cs="Arial"/>
          <w:color w:val="000000"/>
        </w:rPr>
        <w:t>da PEAPO-S</w:t>
      </w:r>
      <w:r w:rsidR="004E0F26">
        <w:rPr>
          <w:rFonts w:eastAsia="Arial" w:cs="Arial"/>
          <w:color w:val="000000"/>
        </w:rPr>
        <w:t>P.</w:t>
      </w:r>
      <w:r w:rsidR="004E0F26" w:rsidRPr="004E0F26">
        <w:rPr>
          <w:rFonts w:eastAsia="Arial" w:cs="Arial"/>
          <w:color w:val="000000"/>
        </w:rPr>
        <w:t xml:space="preserve"> </w:t>
      </w:r>
    </w:p>
    <w:p w14:paraId="4E4F01F6" w14:textId="77777777" w:rsidR="00216EFF" w:rsidRPr="00216EFF" w:rsidRDefault="00216EFF" w:rsidP="00216EFF">
      <w:pPr>
        <w:spacing w:line="360" w:lineRule="auto"/>
        <w:ind w:hanging="2"/>
        <w:jc w:val="both"/>
        <w:rPr>
          <w:rFonts w:eastAsia="Arial" w:cs="Arial"/>
        </w:rPr>
      </w:pPr>
    </w:p>
    <w:p w14:paraId="480B2C1C" w14:textId="1920B731" w:rsidR="00216EFF" w:rsidRPr="00216EFF" w:rsidRDefault="00216EFF" w:rsidP="00216EFF">
      <w:pPr>
        <w:spacing w:line="360" w:lineRule="auto"/>
        <w:ind w:hanging="2"/>
        <w:jc w:val="both"/>
        <w:rPr>
          <w:rFonts w:eastAsia="Arial" w:cs="Arial"/>
        </w:rPr>
      </w:pPr>
      <w:r w:rsidRPr="00216EFF">
        <w:rPr>
          <w:rFonts w:eastAsia="Arial" w:cs="Arial"/>
        </w:rPr>
        <w:t>Palavras-chave:</w:t>
      </w:r>
      <w:r w:rsidR="004E0F26">
        <w:rPr>
          <w:rFonts w:eastAsia="Arial" w:cs="Arial"/>
        </w:rPr>
        <w:t xml:space="preserve"> Governança territorial; agroecologia; participação social; implementação de políticas públicas</w:t>
      </w:r>
    </w:p>
    <w:p w14:paraId="46CCC6D9" w14:textId="77777777" w:rsidR="00FE27EB" w:rsidRDefault="00FE27EB" w:rsidP="00216EFF">
      <w:pPr>
        <w:spacing w:line="360" w:lineRule="auto"/>
        <w:jc w:val="both"/>
        <w:rPr>
          <w:rFonts w:eastAsia="Arial" w:cs="Arial"/>
          <w:b/>
        </w:rPr>
      </w:pPr>
    </w:p>
    <w:p w14:paraId="25F4F952" w14:textId="0591D609" w:rsidR="00216EFF" w:rsidRPr="00216EFF" w:rsidRDefault="00216EFF" w:rsidP="00F471C6">
      <w:pPr>
        <w:jc w:val="both"/>
        <w:rPr>
          <w:rFonts w:eastAsia="Arial" w:cs="Arial"/>
          <w:b/>
        </w:rPr>
      </w:pPr>
      <w:r w:rsidRPr="00216EFF">
        <w:rPr>
          <w:rFonts w:eastAsia="Arial" w:cs="Arial"/>
          <w:b/>
        </w:rPr>
        <w:t>INTRODUÇÃO</w:t>
      </w:r>
    </w:p>
    <w:p w14:paraId="7BB05DE8" w14:textId="1535B4E0" w:rsidR="0099244D" w:rsidRPr="0099244D" w:rsidRDefault="0099244D" w:rsidP="00F471C6">
      <w:pPr>
        <w:ind w:firstLine="709"/>
        <w:jc w:val="both"/>
        <w:rPr>
          <w:rFonts w:eastAsia="Arial" w:cs="Arial"/>
        </w:rPr>
      </w:pPr>
      <w:r w:rsidRPr="0099244D">
        <w:rPr>
          <w:rFonts w:eastAsia="Arial" w:cs="Arial"/>
        </w:rPr>
        <w:t xml:space="preserve">Nas últimas décadas, a noção de território tem ganhado centralidade nos discursos e nas práticas dos movimentos sociais vinculados à agroecologia, assim como na produção acadêmica que se inscreve nesse campo político e epistêmico. Território, nesse contexto, é mais do que um recorte geográfico: é o palco de articulação de sujeitos, saberes, práticas e disputas por projetos de vida e </w:t>
      </w:r>
      <w:r w:rsidR="003E27D9">
        <w:rPr>
          <w:rFonts w:eastAsia="Arial" w:cs="Arial"/>
        </w:rPr>
        <w:t xml:space="preserve">de </w:t>
      </w:r>
      <w:r w:rsidRPr="0099244D">
        <w:rPr>
          <w:rFonts w:eastAsia="Arial" w:cs="Arial"/>
        </w:rPr>
        <w:t>desenvolvimento, o que o torna uma categoria operativa para pensar os múltiplos anseios agroecológicos — que vão do redesenho dos sistemas produtivos à reconfiguração mais ampla e complexa dos sistemas alimentares.</w:t>
      </w:r>
    </w:p>
    <w:p w14:paraId="47DEBDEE" w14:textId="77777777" w:rsidR="0099244D" w:rsidRPr="0099244D" w:rsidRDefault="0099244D" w:rsidP="00F471C6">
      <w:pPr>
        <w:ind w:firstLine="709"/>
        <w:jc w:val="both"/>
        <w:rPr>
          <w:rFonts w:eastAsia="Arial" w:cs="Arial"/>
        </w:rPr>
      </w:pPr>
      <w:r w:rsidRPr="0099244D">
        <w:rPr>
          <w:rFonts w:eastAsia="Arial" w:cs="Arial"/>
        </w:rPr>
        <w:t>A academia tem recorrido ao território como chave analítica capaz de integrar, de maneira relacional, as múltiplas dimensões da transição agroecológica. Em contraposição a abordagens setoriais e fragmentadas, o território permite apreender as dinâmicas concretas da agroecologia como processo histórico, político, situado e potencialmente transformador. Sua mobilização aponta para a necessidade de superarmos os limites das experiências pontuais e restritas ao “nicho”, avançando para uma escala mais ampla e complexa — a do território — que, embora agregadora, preserva a capacidade de refletir as especificidades ambientais, ecológicas, sociais, culturais e institucionais dos contextos locais. A abordagem territorial, nesse sentido, não dilui a diversidade, mas a acolhe: permite considerar a singularidade dos biomas, das práticas produtivas, das formas de organização social e dos saberes acumulados em cada território, constituindo-se como um horizonte potente para o planejamento e a implementação de ações.</w:t>
      </w:r>
    </w:p>
    <w:p w14:paraId="103D65D9" w14:textId="47A25E84" w:rsidR="0099244D" w:rsidRPr="0099244D" w:rsidRDefault="0099244D" w:rsidP="00F471C6">
      <w:pPr>
        <w:ind w:firstLine="709"/>
        <w:jc w:val="both"/>
        <w:rPr>
          <w:rFonts w:eastAsia="Arial" w:cs="Arial"/>
        </w:rPr>
      </w:pPr>
      <w:r w:rsidRPr="0099244D">
        <w:rPr>
          <w:rFonts w:eastAsia="Arial" w:cs="Arial"/>
        </w:rPr>
        <w:t xml:space="preserve">No campo das políticas públicas, entretanto, mobilizar a noção de território impõe desafios importantes — especialmente em países com estruturas federativas como o Brasil. Frequentemente, o território é confundido com divisões político-administrativas e carece de reconhecimento institucional como unidade de gestão ou planejamento </w:t>
      </w:r>
      <w:sdt>
        <w:sdtPr>
          <w:rPr>
            <w:rFonts w:eastAsia="Arial" w:cs="Arial"/>
            <w:color w:val="000000"/>
          </w:rPr>
          <w:tag w:val="MENDELEY_CITATION_v3_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"/>
          <w:id w:val="862172771"/>
          <w:placeholder>
            <w:docPart w:val="DefaultPlaceholder_-1854013440"/>
          </w:placeholder>
        </w:sdtPr>
        <w:sdtContent>
          <w:r w:rsidR="004E0F26" w:rsidRPr="004E0F26">
            <w:rPr>
              <w:rFonts w:eastAsia="Arial" w:cs="Arial"/>
              <w:color w:val="000000"/>
            </w:rPr>
            <w:t>(ANTUNES JUNIOR; BORSATTO; SOUZA-ESQUERDO, 2021)</w:t>
          </w:r>
        </w:sdtContent>
      </w:sdt>
      <w:r w:rsidRPr="0099244D">
        <w:rPr>
          <w:rFonts w:eastAsia="Arial" w:cs="Arial"/>
        </w:rPr>
        <w:t>.</w:t>
      </w:r>
    </w:p>
    <w:p w14:paraId="21309B23" w14:textId="7EDE1ADD" w:rsidR="0099244D" w:rsidRPr="0099244D" w:rsidRDefault="0099244D" w:rsidP="00F471C6">
      <w:pPr>
        <w:ind w:firstLine="709"/>
        <w:jc w:val="both"/>
        <w:rPr>
          <w:rFonts w:eastAsia="Arial" w:cs="Arial"/>
        </w:rPr>
      </w:pPr>
      <w:r w:rsidRPr="0099244D">
        <w:rPr>
          <w:rFonts w:eastAsia="Arial" w:cs="Arial"/>
        </w:rPr>
        <w:t xml:space="preserve">Ainda assim, insistimos no território. Em primeiro lugar, porque se trata de uma noção que nos contempla — contempla os movimentos sociais que constroem a agroecologia desde os territórios, contempla a academia engajada com as transições sociotécnicas e ecológicas, e engaja os atores locais. Em </w:t>
      </w:r>
      <w:r w:rsidRPr="0099244D">
        <w:rPr>
          <w:rFonts w:eastAsia="Arial" w:cs="Arial"/>
        </w:rPr>
        <w:lastRenderedPageBreak/>
        <w:t>segundo, porque o Brasil acumulou uma trajetória relevante de políticas públicas com enfoque territorial — como os programas Fome Zero/</w:t>
      </w:r>
      <w:proofErr w:type="spellStart"/>
      <w:r w:rsidRPr="0099244D">
        <w:rPr>
          <w:rFonts w:eastAsia="Arial" w:cs="Arial"/>
        </w:rPr>
        <w:t>CONSADs</w:t>
      </w:r>
      <w:proofErr w:type="spellEnd"/>
      <w:r w:rsidRPr="0099244D">
        <w:rPr>
          <w:rFonts w:eastAsia="Arial" w:cs="Arial"/>
        </w:rPr>
        <w:t xml:space="preserve">, PRONAT e Territórios da Cidadania — cujos legados, apesar de seus limites, contribuíram para a construção de identidades territoriais e para o fortalecimento de organizações sociais </w:t>
      </w:r>
      <w:r>
        <w:rPr>
          <w:rFonts w:eastAsia="Arial" w:cs="Arial"/>
        </w:rPr>
        <w:t>para atuação em processos de escala intermunicipal</w:t>
      </w:r>
      <w:r w:rsidRPr="0099244D">
        <w:rPr>
          <w:rFonts w:eastAsia="Arial" w:cs="Arial"/>
        </w:rPr>
        <w:t xml:space="preserve"> </w:t>
      </w:r>
      <w:sdt>
        <w:sdtPr>
          <w:rPr>
            <w:rFonts w:eastAsia="Arial" w:cs="Arial"/>
            <w:color w:val="000000"/>
          </w:rPr>
          <w:tag w:val="MENDELEY_CITATION_v3_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"/>
          <w:id w:val="1545411268"/>
          <w:placeholder>
            <w:docPart w:val="DefaultPlaceholder_-1854013440"/>
          </w:placeholder>
        </w:sdtPr>
        <w:sdtContent>
          <w:r w:rsidR="004E0F26" w:rsidRPr="004E0F26">
            <w:rPr>
              <w:rFonts w:eastAsia="Arial" w:cs="Arial"/>
              <w:color w:val="000000"/>
            </w:rPr>
            <w:t>(ANTUNES JUNIOR; BORSATTO; SOUZA-ESQUERDO, 2024).</w:t>
          </w:r>
        </w:sdtContent>
      </w:sdt>
    </w:p>
    <w:p w14:paraId="35F4AEBC" w14:textId="586846DF" w:rsidR="0099244D" w:rsidRPr="0099244D" w:rsidRDefault="0099244D" w:rsidP="00F471C6">
      <w:pPr>
        <w:ind w:firstLine="709"/>
        <w:jc w:val="both"/>
        <w:rPr>
          <w:rFonts w:eastAsia="Arial" w:cs="Arial"/>
        </w:rPr>
      </w:pPr>
      <w:r w:rsidRPr="0099244D">
        <w:rPr>
          <w:rFonts w:eastAsia="Arial" w:cs="Arial"/>
        </w:rPr>
        <w:t xml:space="preserve">Este artigo parte da Política Estadual de Agroecologia e Produção Orgânica de São Paulo (PEAPO-SP) para discutir as possibilidades — e </w:t>
      </w:r>
      <w:r w:rsidR="003E27D9">
        <w:rPr>
          <w:rFonts w:eastAsia="Arial" w:cs="Arial"/>
        </w:rPr>
        <w:t xml:space="preserve">também </w:t>
      </w:r>
      <w:r w:rsidRPr="0099244D">
        <w:rPr>
          <w:rFonts w:eastAsia="Arial" w:cs="Arial"/>
        </w:rPr>
        <w:t xml:space="preserve">os limites — de seguir encampando a abordagem territorial no campo das políticas públicas. O argumento central que sustenta esta análise é que, apesar das contradições e das disputas em torno da definição e uso da categoria “território”, sua mobilização continua sendo uma aposta política e metodológica para </w:t>
      </w:r>
      <w:r w:rsidR="003E27D9">
        <w:rPr>
          <w:rFonts w:eastAsia="Arial" w:cs="Arial"/>
        </w:rPr>
        <w:t xml:space="preserve">ações de desenvolvimento rural e para </w:t>
      </w:r>
      <w:r>
        <w:rPr>
          <w:rFonts w:eastAsia="Arial" w:cs="Arial"/>
        </w:rPr>
        <w:t>o escalonamento da agroecologia.</w:t>
      </w:r>
    </w:p>
    <w:p w14:paraId="4A75BAC4" w14:textId="4B1283F8" w:rsidR="00F51E79" w:rsidRDefault="0099244D" w:rsidP="00F471C6">
      <w:pPr>
        <w:ind w:firstLine="709"/>
        <w:jc w:val="both"/>
        <w:rPr>
          <w:rFonts w:eastAsia="Arial" w:cs="Arial"/>
        </w:rPr>
      </w:pPr>
      <w:r w:rsidRPr="0099244D">
        <w:rPr>
          <w:rFonts w:eastAsia="Arial" w:cs="Arial"/>
        </w:rPr>
        <w:t>A reflexão aqui proposta insere-se no contexto do projeto em andamento “Política Estadual de Agroecologia e Produção Orgânica (</w:t>
      </w:r>
      <w:proofErr w:type="spellStart"/>
      <w:r w:rsidRPr="0099244D">
        <w:rPr>
          <w:rFonts w:eastAsia="Arial" w:cs="Arial"/>
        </w:rPr>
        <w:t>Peapo</w:t>
      </w:r>
      <w:proofErr w:type="spellEnd"/>
      <w:r w:rsidRPr="0099244D">
        <w:rPr>
          <w:rFonts w:eastAsia="Arial" w:cs="Arial"/>
        </w:rPr>
        <w:t>) e Plano Estadual de Agroecologia e Produção Orgânica (</w:t>
      </w:r>
      <w:proofErr w:type="spellStart"/>
      <w:r w:rsidRPr="0099244D">
        <w:rPr>
          <w:rFonts w:eastAsia="Arial" w:cs="Arial"/>
        </w:rPr>
        <w:t>Pleapo</w:t>
      </w:r>
      <w:proofErr w:type="spellEnd"/>
      <w:r w:rsidRPr="0099244D">
        <w:rPr>
          <w:rFonts w:eastAsia="Arial" w:cs="Arial"/>
        </w:rPr>
        <w:t xml:space="preserve">) do estado de São Paulo: implementação e governança territorial”, desenvolvido por pesquisadores, gestores públicos e representantes da sociedade civil, com financiamento da FAPESP (Processos nº 2023/10150-1 e 2024/07001-7). O projeto </w:t>
      </w:r>
      <w:r w:rsidR="003E27D9">
        <w:rPr>
          <w:rFonts w:eastAsia="Arial" w:cs="Arial"/>
        </w:rPr>
        <w:t xml:space="preserve">atua </w:t>
      </w:r>
      <w:r w:rsidRPr="0099244D">
        <w:rPr>
          <w:rFonts w:eastAsia="Arial" w:cs="Arial"/>
        </w:rPr>
        <w:t>com ênfase na construção de estratégias participativas voltadas à implementação territorial da PEAPO-SP, tendo como foco a mobilização de atores e a ativação de estruturas territoriais de governança</w:t>
      </w:r>
      <w:r w:rsidR="00F51E79" w:rsidRPr="00975E4E">
        <w:rPr>
          <w:bCs/>
        </w:rPr>
        <w:t>.</w:t>
      </w:r>
    </w:p>
    <w:p w14:paraId="3E26A78F" w14:textId="77777777" w:rsidR="00C4086A" w:rsidRDefault="00C4086A" w:rsidP="00F471C6">
      <w:pPr>
        <w:ind w:firstLine="709"/>
        <w:jc w:val="both"/>
        <w:rPr>
          <w:rFonts w:eastAsia="Arial" w:cs="Arial"/>
          <w:b/>
        </w:rPr>
      </w:pPr>
    </w:p>
    <w:p w14:paraId="285855B4" w14:textId="27991CB6" w:rsidR="009B4BD9" w:rsidRPr="009B4BD9" w:rsidRDefault="009B4BD9" w:rsidP="00F471C6">
      <w:pPr>
        <w:jc w:val="both"/>
        <w:rPr>
          <w:rFonts w:eastAsia="Arial" w:cs="Arial"/>
          <w:b/>
        </w:rPr>
      </w:pPr>
      <w:r w:rsidRPr="009B4BD9">
        <w:rPr>
          <w:rFonts w:eastAsia="Arial" w:cs="Arial"/>
          <w:b/>
        </w:rPr>
        <w:t>PERSPECTIVAS TEÓRICAS SOBRE TERRITÓRIO E POLÍTICAS DE DESENVOLVIMENTO RURAL</w:t>
      </w:r>
    </w:p>
    <w:p w14:paraId="5482DC08" w14:textId="60BFA26E" w:rsidR="009B4BD9" w:rsidRPr="009B4BD9" w:rsidRDefault="009B4BD9" w:rsidP="00F471C6">
      <w:pPr>
        <w:ind w:firstLine="709"/>
        <w:jc w:val="both"/>
        <w:rPr>
          <w:rFonts w:eastAsia="Arial" w:cs="Arial"/>
          <w:bCs/>
        </w:rPr>
      </w:pPr>
      <w:r w:rsidRPr="009B4BD9">
        <w:rPr>
          <w:rFonts w:eastAsia="Arial" w:cs="Arial"/>
          <w:bCs/>
        </w:rPr>
        <w:t xml:space="preserve">A ideia de território, quando mobilizada em políticas públicas voltadas ao desenvolvimento rural e à agroecologia, carrega consigo uma multiplicidade de sentidos e disputas. Longe de ser uma categoria neutra, o território é compreendido, na tradição crítica da geografia agrária, como um campo de relações sociais em disputa, no qual diferentes grupos lutam por reconhecimento, recursos e formas de existência </w:t>
      </w:r>
      <w:sdt>
        <w:sdtPr>
          <w:rPr>
            <w:rFonts w:eastAsia="Arial" w:cs="Arial"/>
            <w:bCs/>
            <w:color w:val="000000"/>
          </w:rPr>
          <w:tag w:val="MENDELEY_CITATION_v3_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"/>
          <w:id w:val="1951656546"/>
          <w:placeholder>
            <w:docPart w:val="DefaultPlaceholder_-1854013440"/>
          </w:placeholder>
        </w:sdtPr>
        <w:sdtContent>
          <w:r w:rsidR="004E0F26" w:rsidRPr="004E0F26">
            <w:rPr>
              <w:rFonts w:eastAsia="Arial" w:cs="Arial"/>
              <w:bCs/>
              <w:color w:val="000000"/>
            </w:rPr>
            <w:t>(FERNANDES, 2009)</w:t>
          </w:r>
        </w:sdtContent>
      </w:sdt>
      <w:r w:rsidRPr="009B4BD9">
        <w:rPr>
          <w:rFonts w:eastAsia="Arial" w:cs="Arial"/>
          <w:bCs/>
        </w:rPr>
        <w:t xml:space="preserve">. Trata-se, portanto, de uma construção social, </w:t>
      </w:r>
      <w:proofErr w:type="spellStart"/>
      <w:r w:rsidRPr="009B4BD9">
        <w:rPr>
          <w:rFonts w:eastAsia="Arial" w:cs="Arial"/>
          <w:bCs/>
        </w:rPr>
        <w:t>multiescalar</w:t>
      </w:r>
      <w:proofErr w:type="spellEnd"/>
      <w:r w:rsidRPr="009B4BD9">
        <w:rPr>
          <w:rFonts w:eastAsia="Arial" w:cs="Arial"/>
          <w:bCs/>
        </w:rPr>
        <w:t xml:space="preserve"> e relacional, que articula dimensões materiais e simbólicas e se manifesta como expressão de projetos políticos em confronto.</w:t>
      </w:r>
    </w:p>
    <w:p w14:paraId="213C1D4B" w14:textId="10ECE2AC" w:rsidR="009B4BD9" w:rsidRPr="009B4BD9" w:rsidRDefault="009B4BD9" w:rsidP="00F471C6">
      <w:pPr>
        <w:ind w:firstLine="709"/>
        <w:jc w:val="both"/>
        <w:rPr>
          <w:rFonts w:eastAsia="Arial" w:cs="Arial"/>
          <w:bCs/>
        </w:rPr>
      </w:pPr>
      <w:r w:rsidRPr="009B4BD9">
        <w:rPr>
          <w:rFonts w:eastAsia="Arial" w:cs="Arial"/>
          <w:bCs/>
        </w:rPr>
        <w:t xml:space="preserve">No campo das políticas públicas, especialmente na experiência brasileira das últimas décadas, o enfoque territorial foi incorporado como resposta à necessidade de enfrentar a fragmentação setorial e promover estratégias mais integradas de desenvolvimento rural. Nesse contexto, programas como o PRONAT e os Territórios da Cidadania propuseram-se a reconhecer e ativar arranjos institucionais e sociais nos territórios, articulando ações intersetoriais e valorizando a diversidade local </w:t>
      </w:r>
      <w:sdt>
        <w:sdtPr>
          <w:rPr>
            <w:rFonts w:eastAsia="Arial" w:cs="Arial"/>
            <w:bCs/>
            <w:color w:val="000000"/>
          </w:rPr>
          <w:tag w:val="MENDELEY_CITATION_v3_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"/>
          <w:id w:val="495158571"/>
          <w:placeholder>
            <w:docPart w:val="DefaultPlaceholder_-1854013440"/>
          </w:placeholder>
        </w:sdtPr>
        <w:sdtContent>
          <w:r w:rsidR="004E0F26" w:rsidRPr="004E0F26">
            <w:rPr>
              <w:rFonts w:eastAsia="Arial" w:cs="Arial"/>
              <w:bCs/>
              <w:color w:val="000000"/>
            </w:rPr>
            <w:t>(BRASIL, 2005; FAVARETO, 2010)</w:t>
          </w:r>
        </w:sdtContent>
      </w:sdt>
      <w:r w:rsidRPr="009B4BD9">
        <w:rPr>
          <w:rFonts w:eastAsia="Arial" w:cs="Arial"/>
          <w:bCs/>
        </w:rPr>
        <w:t xml:space="preserve">. Embora tais </w:t>
      </w:r>
      <w:r w:rsidRPr="009B4BD9">
        <w:rPr>
          <w:rFonts w:eastAsia="Arial" w:cs="Arial"/>
          <w:bCs/>
        </w:rPr>
        <w:lastRenderedPageBreak/>
        <w:t>políticas tenham sofrido descontinuidades, deixaram como legado um repertório político, institucional e metodológico que segue influenciando experiências contemporâneas.</w:t>
      </w:r>
    </w:p>
    <w:p w14:paraId="1E4FD1C9" w14:textId="34FE5E1E" w:rsidR="009B4BD9" w:rsidRPr="009B4BD9" w:rsidRDefault="009B4BD9" w:rsidP="00F471C6">
      <w:pPr>
        <w:ind w:firstLine="709"/>
        <w:jc w:val="both"/>
        <w:rPr>
          <w:rFonts w:eastAsia="Arial" w:cs="Arial"/>
          <w:bCs/>
        </w:rPr>
      </w:pPr>
      <w:r w:rsidRPr="009B4BD9">
        <w:rPr>
          <w:rFonts w:eastAsia="Arial" w:cs="Arial"/>
          <w:bCs/>
        </w:rPr>
        <w:t xml:space="preserve">A literatura sobre desenvolvimento territorial distingue, nesse processo, diferentes abordagens. Entre elas, destaca-se o enfoque endógeno — que valoriza a mobilização de recursos e capacidades locais — e o </w:t>
      </w:r>
      <w:proofErr w:type="spellStart"/>
      <w:r w:rsidRPr="009B4BD9">
        <w:rPr>
          <w:rFonts w:eastAsia="Arial" w:cs="Arial"/>
          <w:bCs/>
        </w:rPr>
        <w:t>neoendógeno</w:t>
      </w:r>
      <w:proofErr w:type="spellEnd"/>
      <w:r w:rsidRPr="009B4BD9">
        <w:rPr>
          <w:rFonts w:eastAsia="Arial" w:cs="Arial"/>
          <w:bCs/>
        </w:rPr>
        <w:t xml:space="preserve">, que reconhece a importância de articulações entre atores internos e externos ao território </w:t>
      </w:r>
      <w:sdt>
        <w:sdtPr>
          <w:rPr>
            <w:rFonts w:eastAsia="Arial" w:cs="Arial"/>
            <w:bCs/>
            <w:color w:val="000000"/>
          </w:rPr>
          <w:tag w:val="MENDELEY_CITATION_v3_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"/>
          <w:id w:val="-755908043"/>
          <w:placeholder>
            <w:docPart w:val="DefaultPlaceholder_-1854013440"/>
          </w:placeholder>
        </w:sdtPr>
        <w:sdtContent>
          <w:r w:rsidR="004E0F26" w:rsidRPr="004E0F26">
            <w:rPr>
              <w:rFonts w:eastAsia="Arial" w:cs="Arial"/>
              <w:bCs/>
              <w:color w:val="000000"/>
            </w:rPr>
            <w:t>(NAVARRO; WOODS; CEJUDO, 2016; RAY, 2000)</w:t>
          </w:r>
        </w:sdtContent>
      </w:sdt>
      <w:r w:rsidRPr="009B4BD9">
        <w:rPr>
          <w:rFonts w:eastAsia="Arial" w:cs="Arial"/>
          <w:bCs/>
        </w:rPr>
        <w:t>. Em ambas as abordagens, o papel dos atores locais e a construção de coalizões sociopolíticas são elementos centrais, alinhando-se a concepções de território como espaço de agência e ação coletiva.</w:t>
      </w:r>
    </w:p>
    <w:p w14:paraId="7F6D4A50" w14:textId="7ACF80F7" w:rsidR="009B4BD9" w:rsidRPr="009B4BD9" w:rsidRDefault="009B4BD9" w:rsidP="00F471C6">
      <w:pPr>
        <w:ind w:firstLine="709"/>
        <w:jc w:val="both"/>
        <w:rPr>
          <w:rFonts w:eastAsia="Arial" w:cs="Arial"/>
          <w:bCs/>
        </w:rPr>
      </w:pPr>
      <w:r w:rsidRPr="009B4BD9">
        <w:rPr>
          <w:rFonts w:eastAsia="Arial" w:cs="Arial"/>
          <w:bCs/>
        </w:rPr>
        <w:t xml:space="preserve">No campo da agroecologia, o território tem se consolidado como categoria operativa, seja para compreender os processos de transição sociotécnica em curso, seja como horizonte para políticas públicas. Isso se expressa na articulação entre dimensões ecológicas, sociais, culturais e institucionais, capazes de sustentar dinâmicas locais de produção, consumo e </w:t>
      </w:r>
      <w:r w:rsidR="008C690B">
        <w:rPr>
          <w:rFonts w:eastAsia="Arial" w:cs="Arial"/>
          <w:bCs/>
        </w:rPr>
        <w:t>modos particulares de</w:t>
      </w:r>
      <w:r w:rsidRPr="009B4BD9">
        <w:rPr>
          <w:rFonts w:eastAsia="Arial" w:cs="Arial"/>
          <w:bCs/>
        </w:rPr>
        <w:t xml:space="preserve"> vida. Nesse sentido, o território aparece como escala de ação e de resistência, mas também de construção de alternativas, em que a agroecologia </w:t>
      </w:r>
      <w:r w:rsidR="008C690B">
        <w:rPr>
          <w:rFonts w:eastAsia="Arial" w:cs="Arial"/>
          <w:bCs/>
        </w:rPr>
        <w:t xml:space="preserve">pode </w:t>
      </w:r>
      <w:r w:rsidRPr="009B4BD9">
        <w:rPr>
          <w:rFonts w:eastAsia="Arial" w:cs="Arial"/>
          <w:bCs/>
        </w:rPr>
        <w:t>deixa</w:t>
      </w:r>
      <w:r w:rsidR="008C690B">
        <w:rPr>
          <w:rFonts w:eastAsia="Arial" w:cs="Arial"/>
          <w:bCs/>
        </w:rPr>
        <w:t>r</w:t>
      </w:r>
      <w:r w:rsidRPr="009B4BD9">
        <w:rPr>
          <w:rFonts w:eastAsia="Arial" w:cs="Arial"/>
          <w:bCs/>
        </w:rPr>
        <w:t xml:space="preserve"> de ser uma experiência de nicho e passa a constituir-se como projeto político de transformação </w:t>
      </w:r>
      <w:sdt>
        <w:sdtPr>
          <w:rPr>
            <w:rFonts w:eastAsia="Arial" w:cs="Arial"/>
            <w:bCs/>
            <w:color w:val="000000"/>
          </w:rPr>
          <w:tag w:val="MENDELEY_CITATION_v3_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"/>
          <w:id w:val="-605271476"/>
          <w:placeholder>
            <w:docPart w:val="DefaultPlaceholder_-1854013440"/>
          </w:placeholder>
        </w:sdtPr>
        <w:sdtContent>
          <w:r w:rsidR="004E0F26" w:rsidRPr="004E0F26">
            <w:rPr>
              <w:rFonts w:eastAsia="Arial" w:cs="Arial"/>
              <w:bCs/>
              <w:color w:val="000000"/>
            </w:rPr>
            <w:t>(ANTUNES JUNIOR; BORSATTO; SOUZA-ESQUERDO, 2021, 2024).</w:t>
          </w:r>
        </w:sdtContent>
      </w:sdt>
    </w:p>
    <w:p w14:paraId="1907DE06" w14:textId="56F3036C" w:rsidR="009B4BD9" w:rsidRPr="009B4BD9" w:rsidRDefault="009B4BD9" w:rsidP="00F471C6">
      <w:pPr>
        <w:ind w:firstLine="709"/>
        <w:jc w:val="both"/>
        <w:rPr>
          <w:rFonts w:eastAsia="Arial" w:cs="Arial"/>
          <w:bCs/>
        </w:rPr>
      </w:pPr>
      <w:r w:rsidRPr="009B4BD9">
        <w:rPr>
          <w:rFonts w:eastAsia="Arial" w:cs="Arial"/>
          <w:bCs/>
        </w:rPr>
        <w:t xml:space="preserve">Reconhecer os limites institucionais da noção de território no Brasil — marcado por uma organização federativa fortemente centralizada — é fundamental para compreender os desafios da territorialização das políticas públicas. A ausência de reconhecimento legal do território como unidade de gestão, a fragmentação entre escalas administrativas e a baixa articulação intermunicipal são alguns dos obstáculos que tensionam a implementação de abordagens </w:t>
      </w:r>
      <w:proofErr w:type="spellStart"/>
      <w:r w:rsidRPr="009B4BD9">
        <w:rPr>
          <w:rFonts w:eastAsia="Arial" w:cs="Arial"/>
          <w:bCs/>
        </w:rPr>
        <w:t>territorializadas</w:t>
      </w:r>
      <w:proofErr w:type="spellEnd"/>
      <w:r w:rsidR="008C690B">
        <w:rPr>
          <w:rFonts w:eastAsia="Arial" w:cs="Arial"/>
          <w:bCs/>
        </w:rPr>
        <w:t xml:space="preserve"> </w:t>
      </w:r>
      <w:sdt>
        <w:sdtPr>
          <w:rPr>
            <w:rFonts w:eastAsia="Arial" w:cs="Arial"/>
            <w:bCs/>
            <w:color w:val="000000"/>
          </w:rPr>
          <w:tag w:val="MENDELEY_CITATION_v3_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"/>
          <w:id w:val="-2120207989"/>
          <w:placeholder>
            <w:docPart w:val="DefaultPlaceholder_-1854013440"/>
          </w:placeholder>
        </w:sdtPr>
        <w:sdtContent>
          <w:r w:rsidR="004E0F26" w:rsidRPr="004E0F26">
            <w:rPr>
              <w:rFonts w:eastAsia="Arial" w:cs="Arial"/>
              <w:bCs/>
              <w:color w:val="000000"/>
            </w:rPr>
            <w:t>(ANTUNES JUNIOR; BORSATTO; SOUZA-ESQUERDO, 2021)</w:t>
          </w:r>
        </w:sdtContent>
      </w:sdt>
      <w:r w:rsidRPr="009B4BD9">
        <w:rPr>
          <w:rFonts w:eastAsia="Arial" w:cs="Arial"/>
          <w:bCs/>
        </w:rPr>
        <w:t>.</w:t>
      </w:r>
    </w:p>
    <w:p w14:paraId="5DDD55E8" w14:textId="61100B92" w:rsidR="009B4BD9" w:rsidRPr="009B4BD9" w:rsidRDefault="009B4BD9" w:rsidP="00F471C6">
      <w:pPr>
        <w:ind w:firstLine="709"/>
        <w:jc w:val="both"/>
        <w:rPr>
          <w:rFonts w:eastAsia="Arial" w:cs="Arial"/>
          <w:bCs/>
        </w:rPr>
      </w:pPr>
      <w:r w:rsidRPr="009B4BD9">
        <w:rPr>
          <w:rFonts w:eastAsia="Arial" w:cs="Arial"/>
          <w:bCs/>
        </w:rPr>
        <w:t xml:space="preserve">Ainda assim, insistir na mobilização do território, como fazem movimentos sociais e pesquisadores vinculados </w:t>
      </w:r>
      <w:r w:rsidR="008C690B">
        <w:rPr>
          <w:rFonts w:eastAsia="Arial" w:cs="Arial"/>
          <w:bCs/>
        </w:rPr>
        <w:t>ao mundo rural e à</w:t>
      </w:r>
      <w:r w:rsidRPr="009B4BD9">
        <w:rPr>
          <w:rFonts w:eastAsia="Arial" w:cs="Arial"/>
          <w:bCs/>
        </w:rPr>
        <w:t xml:space="preserve"> agroecologia, é insistir em uma forma mais </w:t>
      </w:r>
      <w:r w:rsidR="008C690B">
        <w:rPr>
          <w:rFonts w:eastAsia="Arial" w:cs="Arial"/>
          <w:bCs/>
        </w:rPr>
        <w:t>autêntica</w:t>
      </w:r>
      <w:r w:rsidRPr="009B4BD9">
        <w:rPr>
          <w:rFonts w:eastAsia="Arial" w:cs="Arial"/>
          <w:bCs/>
        </w:rPr>
        <w:t xml:space="preserve"> e enraizada de pensar o desenvolvimento. A criação da Secretaria de Desenvolvimento Territorial (SDT) no âmbito do Ministério do Desenvolvimento Agrário (MDA), no início dos anos 2000, foi um marco nesse sentido, consolidando iniciativas como o PRONAT, os Territórios da Cidadania e os </w:t>
      </w:r>
      <w:proofErr w:type="spellStart"/>
      <w:r w:rsidRPr="009B4BD9">
        <w:rPr>
          <w:rFonts w:eastAsia="Arial" w:cs="Arial"/>
          <w:bCs/>
        </w:rPr>
        <w:t>CONSADs</w:t>
      </w:r>
      <w:proofErr w:type="spellEnd"/>
      <w:r w:rsidRPr="009B4BD9">
        <w:rPr>
          <w:rFonts w:eastAsia="Arial" w:cs="Arial"/>
          <w:bCs/>
        </w:rPr>
        <w:t xml:space="preserve">, articulados ao programa Fome Zero. Inspiradas por experiências como o programa </w:t>
      </w:r>
      <w:proofErr w:type="spellStart"/>
      <w:r w:rsidRPr="009B4BD9">
        <w:rPr>
          <w:rFonts w:eastAsia="Arial" w:cs="Arial"/>
          <w:bCs/>
        </w:rPr>
        <w:t>Leader</w:t>
      </w:r>
      <w:proofErr w:type="spellEnd"/>
      <w:r w:rsidRPr="009B4BD9">
        <w:rPr>
          <w:rFonts w:eastAsia="Arial" w:cs="Arial"/>
          <w:bCs/>
        </w:rPr>
        <w:t xml:space="preserve"> europeu, essas políticas buscaram valorizar práticas de desenvolvimento endógeno e fortalecer capacidades locais por meio da articulação entre diferentes atores e instituições </w:t>
      </w:r>
      <w:sdt>
        <w:sdtPr>
          <w:rPr>
            <w:rFonts w:eastAsia="Arial" w:cs="Arial"/>
            <w:bCs/>
            <w:color w:val="000000"/>
          </w:rPr>
          <w:tag w:val="MENDELEY_CITATION_v3_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mRlIiwibm9uLWRyb3BwaW5nLXBhcnRpY2xlIjoiIn1dLCJjb250YWluZXItdGl0bGUiOiJXb3JsZCBEZXZlbG9wbWVudCBQZXJzcGVjdGl2ZXMiLCJjb250YWluZXItdGl0bGUtc2hvcnQiOiJXb3JsZCBEZXYgUGVyc3BlY3QiLCJET0kiOiIxMC4xMDE2L2oud2RwLjIwMjEuMTAwMzY3IiwiSVNTTiI6IjI0NTItMjkyOSIsIlVSTCI6Imh0dHBzOi8vZG9pLm9yZy8xMC4xMDE2L2oud2RwLjIwMjEuMTAwMzY3IiwiaXNzdWVkIjp7ImRhdGUtcGFydHMiOltbMjAyMV1dfSwicGFnZSI6IjEwMDM2NyIsInB1Ymxpc2hlciI6IkVsc2V2aWVyIEx0ZCIsImlzc3VlIjoiRGVjZW1iZXIiLCJ2b2x1bWUiOiIyNCJ9LCJpc1RlbXBvcmFyeSI6ZmFsc2V9XX0="/>
          <w:id w:val="1725330440"/>
          <w:placeholder>
            <w:docPart w:val="DefaultPlaceholder_-1854013440"/>
          </w:placeholder>
        </w:sdtPr>
        <w:sdtContent>
          <w:r w:rsidR="004E0F26" w:rsidRPr="004E0F26">
            <w:rPr>
              <w:rFonts w:eastAsia="Arial" w:cs="Arial"/>
              <w:bCs/>
              <w:color w:val="000000"/>
            </w:rPr>
            <w:t>(ANTUNES JUNIOR; BORSATTO; SOUZA-ESQUERDO, 2021; NAVARRO; WOODS; CEJUDO, 2016)</w:t>
          </w:r>
        </w:sdtContent>
      </w:sdt>
      <w:r w:rsidRPr="009B4BD9">
        <w:rPr>
          <w:rFonts w:eastAsia="Arial" w:cs="Arial"/>
          <w:bCs/>
        </w:rPr>
        <w:t>.</w:t>
      </w:r>
    </w:p>
    <w:p w14:paraId="303BC61B" w14:textId="2D8FC8B6" w:rsidR="009B4BD9" w:rsidRPr="009B4BD9" w:rsidRDefault="009B4BD9" w:rsidP="00F471C6">
      <w:pPr>
        <w:ind w:firstLine="709"/>
        <w:jc w:val="both"/>
        <w:rPr>
          <w:rFonts w:eastAsia="Arial" w:cs="Arial"/>
          <w:bCs/>
        </w:rPr>
      </w:pPr>
      <w:r w:rsidRPr="009B4BD9">
        <w:rPr>
          <w:rFonts w:eastAsia="Arial" w:cs="Arial"/>
          <w:bCs/>
        </w:rPr>
        <w:lastRenderedPageBreak/>
        <w:t>Entretanto, como apontam estudos</w:t>
      </w:r>
      <w:r w:rsidR="008C690B">
        <w:rPr>
          <w:rFonts w:eastAsia="Arial" w:cs="Arial"/>
          <w:bCs/>
        </w:rPr>
        <w:t>,</w:t>
      </w:r>
      <w:r w:rsidRPr="009B4BD9">
        <w:rPr>
          <w:rFonts w:eastAsia="Arial" w:cs="Arial"/>
          <w:bCs/>
        </w:rPr>
        <w:t xml:space="preserve"> a implementação dessas políticas enfrentou diversos entraves. Antunes Junior</w:t>
      </w:r>
      <w:r w:rsidR="00853197">
        <w:rPr>
          <w:rFonts w:eastAsia="Arial" w:cs="Arial"/>
          <w:bCs/>
        </w:rPr>
        <w:t xml:space="preserve">, </w:t>
      </w:r>
      <w:proofErr w:type="spellStart"/>
      <w:r w:rsidR="00853197">
        <w:rPr>
          <w:rFonts w:eastAsia="Arial" w:cs="Arial"/>
          <w:bCs/>
        </w:rPr>
        <w:t>Borsatto</w:t>
      </w:r>
      <w:proofErr w:type="spellEnd"/>
      <w:r w:rsidR="00853197">
        <w:rPr>
          <w:rFonts w:eastAsia="Arial" w:cs="Arial"/>
          <w:bCs/>
        </w:rPr>
        <w:t xml:space="preserve"> e Souza-Esquerdo</w:t>
      </w:r>
      <w:r w:rsidRPr="009B4BD9">
        <w:rPr>
          <w:rFonts w:eastAsia="Arial" w:cs="Arial"/>
          <w:bCs/>
        </w:rPr>
        <w:t xml:space="preserve"> (2021) identificam três formas principais de fragmentação: setorial, espacial e </w:t>
      </w:r>
      <w:r w:rsidRPr="00853197">
        <w:rPr>
          <w:rFonts w:eastAsia="Arial" w:cs="Arial"/>
          <w:bCs/>
          <w:i/>
          <w:iCs/>
        </w:rPr>
        <w:t>top-</w:t>
      </w:r>
      <w:proofErr w:type="spellStart"/>
      <w:r w:rsidRPr="00853197">
        <w:rPr>
          <w:rFonts w:eastAsia="Arial" w:cs="Arial"/>
          <w:bCs/>
          <w:i/>
          <w:iCs/>
        </w:rPr>
        <w:t>down</w:t>
      </w:r>
      <w:proofErr w:type="spellEnd"/>
      <w:r w:rsidRPr="009B4BD9">
        <w:rPr>
          <w:rFonts w:eastAsia="Arial" w:cs="Arial"/>
          <w:bCs/>
        </w:rPr>
        <w:t xml:space="preserve">. A fragmentação setorial refere-se à dificuldade de integrar diferentes áreas da administração pública, frequentemente confinadas à lógica de ministérios isolados, o que compromete a efetividade das ações intersetoriais. A fragmentação espacial diz respeito à centralidade dos municípios como entes executores e à ausência de reconhecimento institucional dos territórios como unidades legítimas de gestão e planejamento. Já a fragmentação </w:t>
      </w:r>
      <w:r w:rsidRPr="00853197">
        <w:rPr>
          <w:rFonts w:eastAsia="Arial" w:cs="Arial"/>
          <w:bCs/>
          <w:i/>
          <w:iCs/>
        </w:rPr>
        <w:t>top-</w:t>
      </w:r>
      <w:proofErr w:type="spellStart"/>
      <w:r w:rsidRPr="00853197">
        <w:rPr>
          <w:rFonts w:eastAsia="Arial" w:cs="Arial"/>
          <w:bCs/>
          <w:i/>
          <w:iCs/>
        </w:rPr>
        <w:t>down</w:t>
      </w:r>
      <w:proofErr w:type="spellEnd"/>
      <w:r w:rsidRPr="009B4BD9">
        <w:rPr>
          <w:rFonts w:eastAsia="Arial" w:cs="Arial"/>
          <w:bCs/>
        </w:rPr>
        <w:t xml:space="preserve"> se refere à condução verticalizada das ações, com baixa autonomia dos colegiados territoriais e limitada capacidade de adaptação das políticas às realidades locais.</w:t>
      </w:r>
    </w:p>
    <w:p w14:paraId="28C2E2C0" w14:textId="4EBBAA24" w:rsidR="009B4BD9" w:rsidRPr="009B4BD9" w:rsidRDefault="009B4BD9" w:rsidP="00F471C6">
      <w:pPr>
        <w:ind w:firstLine="709"/>
        <w:jc w:val="both"/>
        <w:rPr>
          <w:rFonts w:eastAsia="Arial" w:cs="Arial"/>
          <w:bCs/>
        </w:rPr>
      </w:pPr>
      <w:r w:rsidRPr="009B4BD9">
        <w:rPr>
          <w:rFonts w:eastAsia="Arial" w:cs="Arial"/>
          <w:bCs/>
        </w:rPr>
        <w:t>Mesmo diante dessas limitações, o enfoque territorial permanece como um referencial relevante para as políticas públicas</w:t>
      </w:r>
      <w:r w:rsidR="008C690B">
        <w:rPr>
          <w:rFonts w:eastAsia="Arial" w:cs="Arial"/>
          <w:bCs/>
        </w:rPr>
        <w:t>, entre elas, as</w:t>
      </w:r>
      <w:r w:rsidRPr="009B4BD9">
        <w:rPr>
          <w:rFonts w:eastAsia="Arial" w:cs="Arial"/>
          <w:bCs/>
        </w:rPr>
        <w:t xml:space="preserve"> de agroecologia. Ele permite reconhecer a diversidade socioterritorial, valorizar saberes locais, construir pactos em torno de estratégias de desenvolvimento e ativar mecanismos de governança participativa. Em especial, a articulação entre a abordagem territorial e o referencial do desenvolvimento </w:t>
      </w:r>
      <w:proofErr w:type="spellStart"/>
      <w:r w:rsidRPr="009B4BD9">
        <w:rPr>
          <w:rFonts w:eastAsia="Arial" w:cs="Arial"/>
          <w:bCs/>
        </w:rPr>
        <w:t>neoendógeno</w:t>
      </w:r>
      <w:proofErr w:type="spellEnd"/>
      <w:r w:rsidRPr="009B4BD9">
        <w:rPr>
          <w:rFonts w:eastAsia="Arial" w:cs="Arial"/>
          <w:bCs/>
        </w:rPr>
        <w:t xml:space="preserve"> — que combina protagonismo local com apoio técnico e institucional externo — oferece caminhos promissores para políticas mais sustentáveis e inclusivas </w:t>
      </w:r>
      <w:sdt>
        <w:sdtPr>
          <w:rPr>
            <w:rFonts w:eastAsia="Arial" w:cs="Arial"/>
            <w:bCs/>
            <w:color w:val="000000"/>
          </w:rPr>
          <w:tag w:val="MENDELEY_CITATION_v3_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"/>
          <w:id w:val="1729098622"/>
          <w:placeholder>
            <w:docPart w:val="DefaultPlaceholder_-1854013440"/>
          </w:placeholder>
        </w:sdtPr>
        <w:sdtContent>
          <w:r w:rsidR="004E0F26" w:rsidRPr="004E0F26">
            <w:rPr>
              <w:rFonts w:eastAsia="Arial" w:cs="Arial"/>
              <w:bCs/>
              <w:color w:val="000000"/>
            </w:rPr>
            <w:t>(ANTUNES JUNIOR; BORSATTO; SOUZA-ESQUERDO, 2021; BOSWORTH et al., 2020).</w:t>
          </w:r>
        </w:sdtContent>
      </w:sdt>
    </w:p>
    <w:p w14:paraId="77D8D801" w14:textId="610F9343" w:rsidR="009B4BD9" w:rsidRDefault="009B4BD9" w:rsidP="00F471C6">
      <w:pPr>
        <w:ind w:firstLine="709"/>
        <w:jc w:val="both"/>
        <w:rPr>
          <w:rFonts w:eastAsia="Arial" w:cs="Arial"/>
          <w:b/>
        </w:rPr>
      </w:pPr>
      <w:r w:rsidRPr="009B4BD9">
        <w:rPr>
          <w:rFonts w:eastAsia="Arial" w:cs="Arial"/>
          <w:bCs/>
        </w:rPr>
        <w:t>A insistência na mobilização da categoria território, portanto, não é apenas uma aposta conceitual. Trata-se de reconhecer que a escala territorial é aquela em que os sujeitos constroem sentido, organizam lutas e criam possibilidades concretas de ação transformadora. No campo da agroecologia, essa escala favorece a emergência de redes colaborativas, processos de transição produtiva e arranjos institucionais capazes de sustentar políticas públicas enraizadas nas realidades locais.</w:t>
      </w:r>
    </w:p>
    <w:p w14:paraId="3CDC401D" w14:textId="77777777" w:rsidR="009B4BD9" w:rsidRDefault="009B4BD9" w:rsidP="00F471C6">
      <w:pPr>
        <w:ind w:firstLine="709"/>
        <w:jc w:val="both"/>
        <w:rPr>
          <w:rFonts w:eastAsia="Arial" w:cs="Arial"/>
          <w:b/>
        </w:rPr>
      </w:pPr>
    </w:p>
    <w:p w14:paraId="1F432F14" w14:textId="1565A788" w:rsidR="00C4086A" w:rsidRDefault="00C4086A" w:rsidP="009457BB">
      <w:pPr>
        <w:jc w:val="both"/>
        <w:rPr>
          <w:rFonts w:eastAsia="Arial" w:cs="Arial"/>
          <w:b/>
        </w:rPr>
      </w:pPr>
      <w:r>
        <w:rPr>
          <w:rFonts w:eastAsia="Arial" w:cs="Arial"/>
          <w:b/>
        </w:rPr>
        <w:t>METODOLOGIA</w:t>
      </w:r>
    </w:p>
    <w:p w14:paraId="17614056" w14:textId="5D311D77" w:rsidR="00866F09" w:rsidRPr="00866F09" w:rsidRDefault="00866F09" w:rsidP="00F471C6">
      <w:pPr>
        <w:ind w:firstLine="709"/>
        <w:jc w:val="both"/>
        <w:rPr>
          <w:rFonts w:eastAsia="Arial" w:cs="Arial"/>
          <w:bCs/>
        </w:rPr>
      </w:pPr>
      <w:r w:rsidRPr="00866F09">
        <w:rPr>
          <w:rFonts w:eastAsia="Arial" w:cs="Arial"/>
          <w:bCs/>
        </w:rPr>
        <w:t>Este trabalho se derivou do projeto em andamento “Política Estadual de Agroecologia e Produção Orgânica (</w:t>
      </w:r>
      <w:proofErr w:type="spellStart"/>
      <w:r w:rsidRPr="00866F09">
        <w:rPr>
          <w:rFonts w:eastAsia="Arial" w:cs="Arial"/>
          <w:bCs/>
        </w:rPr>
        <w:t>Peapo</w:t>
      </w:r>
      <w:proofErr w:type="spellEnd"/>
      <w:r w:rsidRPr="00866F09">
        <w:rPr>
          <w:rFonts w:eastAsia="Arial" w:cs="Arial"/>
          <w:bCs/>
        </w:rPr>
        <w:t>) e Plano Estadual de Agroecologia e Produção Orgânica (</w:t>
      </w:r>
      <w:proofErr w:type="spellStart"/>
      <w:r w:rsidRPr="00866F09">
        <w:rPr>
          <w:rFonts w:eastAsia="Arial" w:cs="Arial"/>
          <w:bCs/>
        </w:rPr>
        <w:t>Pleapo</w:t>
      </w:r>
      <w:proofErr w:type="spellEnd"/>
      <w:r w:rsidRPr="00866F09">
        <w:rPr>
          <w:rFonts w:eastAsia="Arial" w:cs="Arial"/>
          <w:bCs/>
        </w:rPr>
        <w:t>) do estado de São Paulo: implementação e governança territorial”, financiado pela FAPESP (Processos nº 2023/10150-1 e 2024/07001-7). Como mencionado na introdução, o projeto tem como uma de suas frentes a proposição de estratégias voltadas à estruturação da governança territorial da PEAPO-SP, com ênfase na reativação e ressignificação de estruturas já existentes nos territórios. Partimos do princípio de que o fortalecimento de instâncias locais e territoriais — como conselhos, fóruns e comissões — é mais eficaz e sustentável do que a criação de novas estruturas institucionais.</w:t>
      </w:r>
    </w:p>
    <w:p w14:paraId="29B1A73B" w14:textId="063AE284" w:rsidR="00866F09" w:rsidRPr="00866F09" w:rsidRDefault="00866F09" w:rsidP="00F471C6">
      <w:pPr>
        <w:ind w:firstLine="709"/>
        <w:jc w:val="both"/>
        <w:rPr>
          <w:rFonts w:eastAsia="Arial" w:cs="Arial"/>
          <w:bCs/>
        </w:rPr>
      </w:pPr>
      <w:r w:rsidRPr="00866F09">
        <w:rPr>
          <w:rFonts w:eastAsia="Arial" w:cs="Arial"/>
          <w:bCs/>
        </w:rPr>
        <w:lastRenderedPageBreak/>
        <w:t>Para produzir as reflexões apresentadas neste artigo, mobilizamos informações geradas em três etapas metodológicas principais: mapeamento exploratório de estruturas institucionais</w:t>
      </w:r>
      <w:r w:rsidR="00B23382">
        <w:rPr>
          <w:rFonts w:eastAsia="Arial" w:cs="Arial"/>
          <w:bCs/>
        </w:rPr>
        <w:t xml:space="preserve"> já existentes nos territórios</w:t>
      </w:r>
      <w:r w:rsidRPr="00866F09">
        <w:rPr>
          <w:rFonts w:eastAsia="Arial" w:cs="Arial"/>
          <w:bCs/>
        </w:rPr>
        <w:t>, identificação de atores-chave</w:t>
      </w:r>
      <w:r w:rsidR="00B23382">
        <w:rPr>
          <w:rFonts w:eastAsia="Arial" w:cs="Arial"/>
          <w:bCs/>
        </w:rPr>
        <w:t xml:space="preserve"> </w:t>
      </w:r>
      <w:r w:rsidRPr="00866F09">
        <w:rPr>
          <w:rFonts w:eastAsia="Arial" w:cs="Arial"/>
          <w:bCs/>
        </w:rPr>
        <w:t xml:space="preserve">e aplicação de questionário tipo </w:t>
      </w:r>
      <w:proofErr w:type="spellStart"/>
      <w:r w:rsidRPr="00866F09">
        <w:rPr>
          <w:rFonts w:eastAsia="Arial" w:cs="Arial"/>
          <w:bCs/>
        </w:rPr>
        <w:t>survey</w:t>
      </w:r>
      <w:proofErr w:type="spellEnd"/>
      <w:r w:rsidRPr="00866F09">
        <w:rPr>
          <w:rFonts w:eastAsia="Arial" w:cs="Arial"/>
          <w:bCs/>
        </w:rPr>
        <w:t>.</w:t>
      </w:r>
      <w:r w:rsidR="00B23382">
        <w:rPr>
          <w:rFonts w:eastAsia="Arial" w:cs="Arial"/>
          <w:bCs/>
        </w:rPr>
        <w:t xml:space="preserve"> Trabalhamos empiricamente com dois territórios do estado de São Paulo, o Sudoeste Paulista e o Território Metropolitano de São Paulo.</w:t>
      </w:r>
    </w:p>
    <w:p w14:paraId="1F694246" w14:textId="77777777" w:rsidR="00866F09" w:rsidRPr="00866F09" w:rsidRDefault="00866F09" w:rsidP="00F471C6">
      <w:pPr>
        <w:ind w:firstLine="709"/>
        <w:jc w:val="both"/>
        <w:rPr>
          <w:rFonts w:eastAsia="Arial" w:cs="Arial"/>
          <w:bCs/>
        </w:rPr>
      </w:pPr>
      <w:r w:rsidRPr="00866F09">
        <w:rPr>
          <w:rFonts w:eastAsia="Arial" w:cs="Arial"/>
          <w:bCs/>
        </w:rPr>
        <w:t>A primeira etapa consistiu no mapeamento de estruturas de governança local e territorial que, direta ou indiretamente, dialogavam com os temas da agroecologia e da produção orgânica. Realizamos essa atividade por meio de busca ativa, entre os meses de julho e agosto de 2024. Identificamos conselhos, comissões e fóruns intersetoriais — especialmente nas áreas de desenvolvimento rural, meio ambiente e segurança alimentar e nutricional — e sistematizamos as informações em planilhas contendo dados sobre natureza, composição e área de atuação de cada estrutura. Essa etapa teve como objetivo diagnosticar o cenário institucional vigente nos territórios e avaliar seu potencial de ativação como mecanismo de governança no âmbito da PEAPO-SP.</w:t>
      </w:r>
    </w:p>
    <w:p w14:paraId="2094029C" w14:textId="1C10858C" w:rsidR="00866F09" w:rsidRPr="00866F09" w:rsidRDefault="00866F09" w:rsidP="00F471C6">
      <w:pPr>
        <w:ind w:firstLine="709"/>
        <w:jc w:val="both"/>
        <w:rPr>
          <w:rFonts w:eastAsia="Arial" w:cs="Arial"/>
          <w:bCs/>
        </w:rPr>
      </w:pPr>
      <w:r w:rsidRPr="00866F09">
        <w:rPr>
          <w:rFonts w:eastAsia="Arial" w:cs="Arial"/>
          <w:bCs/>
        </w:rPr>
        <w:t>Em seguida, ao longo de outubro de 2024, conduzimos o mapeamento de atores-chave atuantes nos dois territórios. Para isso, utilizamos como referência as estruturas de governança previamente identificadas e contamos com o apoio do Instituto Kairós, que compartilhou listas atualizadas de agentes relevantes, sobretudo no território metropolitano. Nosso objetivo foi compor uma base de contatos diversificada e representativa para subsidiar as etapas posteriores.</w:t>
      </w:r>
    </w:p>
    <w:p w14:paraId="2CA11947" w14:textId="363C4F8E" w:rsidR="00866F09" w:rsidRPr="00866F09" w:rsidRDefault="00866F09" w:rsidP="00F471C6">
      <w:pPr>
        <w:ind w:firstLine="709"/>
        <w:jc w:val="both"/>
        <w:rPr>
          <w:rFonts w:eastAsia="Arial" w:cs="Arial"/>
          <w:bCs/>
        </w:rPr>
      </w:pPr>
      <w:r w:rsidRPr="00866F09">
        <w:rPr>
          <w:rFonts w:eastAsia="Arial" w:cs="Arial"/>
          <w:bCs/>
        </w:rPr>
        <w:t xml:space="preserve">Com base nesses dados preliminares, estruturamos a etapa de mapeamento avançado, por meio da aplicação de um questionário do tipo </w:t>
      </w:r>
      <w:proofErr w:type="spellStart"/>
      <w:r w:rsidRPr="00866F09">
        <w:rPr>
          <w:rFonts w:eastAsia="Arial" w:cs="Arial"/>
          <w:bCs/>
        </w:rPr>
        <w:t>survey</w:t>
      </w:r>
      <w:proofErr w:type="spellEnd"/>
      <w:r w:rsidRPr="00866F09">
        <w:rPr>
          <w:rFonts w:eastAsia="Arial" w:cs="Arial"/>
          <w:bCs/>
        </w:rPr>
        <w:t>, com o intuito de aprofundar a caracterização dos sujeitos sociais, mapear redes de cooperação e identificar atributos institucionais e identitários dos atores envolvidos com agroecologia e produção orgânica nos territórios estudados. O instrumento, elaborado na plataforma Google Formulários, foi adaptado às especificidades de cada território e testado em eventos prévios realizados em janeiro de 2025.</w:t>
      </w:r>
    </w:p>
    <w:p w14:paraId="3B53757C" w14:textId="2BBE6311" w:rsidR="00866F09" w:rsidRPr="00866F09" w:rsidRDefault="00866F09" w:rsidP="00F471C6">
      <w:pPr>
        <w:ind w:firstLine="709"/>
        <w:jc w:val="both"/>
        <w:rPr>
          <w:rFonts w:eastAsia="Arial" w:cs="Arial"/>
          <w:bCs/>
        </w:rPr>
      </w:pPr>
      <w:r w:rsidRPr="00866F09">
        <w:rPr>
          <w:rFonts w:eastAsia="Arial" w:cs="Arial"/>
          <w:bCs/>
        </w:rPr>
        <w:t xml:space="preserve">A aplicação efetiva ocorreu entre 20 de janeiro e 22 de abril de 2025, utilizando uma amostragem não probabilística, do tipo intencional, com foco nos grupos e atores-chave previamente mapeados. Distribuímos os questionários digitalmente por e-mail e aplicativos de mensagens, e observamos também uma circulação orgânica dos formulários por meio das redes sociais e coletivos dos próprios respondentes. Obtivemos, ao final, 30 respostas no Sudoeste Paulista e 68 </w:t>
      </w:r>
      <w:r w:rsidR="003222FF">
        <w:rPr>
          <w:rFonts w:eastAsia="Arial" w:cs="Arial"/>
          <w:bCs/>
        </w:rPr>
        <w:t>no Metropolitano</w:t>
      </w:r>
      <w:r w:rsidRPr="00866F09">
        <w:rPr>
          <w:rFonts w:eastAsia="Arial" w:cs="Arial"/>
          <w:bCs/>
        </w:rPr>
        <w:t xml:space="preserve"> de São Paulo.</w:t>
      </w:r>
    </w:p>
    <w:p w14:paraId="1D93609B" w14:textId="1DC1FE0F" w:rsidR="00866F09" w:rsidRPr="00866F09" w:rsidRDefault="00866F09" w:rsidP="00F471C6">
      <w:pPr>
        <w:ind w:firstLine="709"/>
        <w:jc w:val="both"/>
        <w:rPr>
          <w:rFonts w:eastAsia="Arial" w:cs="Arial"/>
          <w:bCs/>
        </w:rPr>
      </w:pPr>
      <w:r w:rsidRPr="00866F09">
        <w:rPr>
          <w:rFonts w:eastAsia="Arial" w:cs="Arial"/>
          <w:bCs/>
        </w:rPr>
        <w:t xml:space="preserve">Nos formulários, elencamos instituições e entidades de referência — como universidades, institutos de pesquisa, secretarias municipais, conselhos e organizações da sociedade civil — com o intuito de mapear os vínculos mais </w:t>
      </w:r>
      <w:r w:rsidRPr="00866F09">
        <w:rPr>
          <w:rFonts w:eastAsia="Arial" w:cs="Arial"/>
          <w:bCs/>
        </w:rPr>
        <w:lastRenderedPageBreak/>
        <w:t>significativos e fornecer insumos à análise das redes de articulação institucional e territorial.</w:t>
      </w:r>
    </w:p>
    <w:p w14:paraId="70DF38DC" w14:textId="7266F06A" w:rsidR="00827522" w:rsidRPr="00827522" w:rsidRDefault="00866F09" w:rsidP="00F471C6">
      <w:pPr>
        <w:ind w:firstLine="709"/>
        <w:jc w:val="both"/>
        <w:rPr>
          <w:rFonts w:eastAsia="Arial" w:cs="Arial"/>
          <w:bCs/>
        </w:rPr>
      </w:pPr>
      <w:r w:rsidRPr="00866F09">
        <w:rPr>
          <w:rFonts w:eastAsia="Arial" w:cs="Arial"/>
          <w:bCs/>
        </w:rPr>
        <w:t xml:space="preserve">A partir da sistematização dos dados obtidos, foi possível visualizar conexões relevantes entre os atores e suas instituições de referência, identificar núcleos de articulação mais densos e, sobretudo, reunir elementos capazes de orientar a ativação ou o fortalecimento de estruturas de governança nos territórios estudados. Com isso, buscamos contribuir para o desenho de estratégias </w:t>
      </w:r>
      <w:proofErr w:type="spellStart"/>
      <w:r w:rsidRPr="00866F09">
        <w:rPr>
          <w:rFonts w:eastAsia="Arial" w:cs="Arial"/>
          <w:bCs/>
        </w:rPr>
        <w:t>territorializadas</w:t>
      </w:r>
      <w:proofErr w:type="spellEnd"/>
      <w:r w:rsidRPr="00866F09">
        <w:rPr>
          <w:rFonts w:eastAsia="Arial" w:cs="Arial"/>
          <w:bCs/>
        </w:rPr>
        <w:t xml:space="preserve"> de implementação da PEAPO-SP, em diálogo com os sujeitos sociais e com as especificidades institucionais de cada contexto.</w:t>
      </w:r>
    </w:p>
    <w:p w14:paraId="2C35B389" w14:textId="77777777" w:rsidR="00166087" w:rsidRDefault="00166087" w:rsidP="00216EFF">
      <w:pPr>
        <w:spacing w:line="360" w:lineRule="auto"/>
        <w:jc w:val="both"/>
        <w:rPr>
          <w:rFonts w:eastAsia="Arial" w:cs="Arial"/>
          <w:b/>
          <w:noProof/>
        </w:rPr>
      </w:pPr>
    </w:p>
    <w:p w14:paraId="76192F46" w14:textId="1C776A4C" w:rsidR="00C4086A" w:rsidRDefault="00166087" w:rsidP="00216EFF">
      <w:pPr>
        <w:spacing w:line="360" w:lineRule="auto"/>
        <w:jc w:val="both"/>
        <w:rPr>
          <w:rFonts w:eastAsia="Arial" w:cs="Arial"/>
          <w:b/>
        </w:rPr>
      </w:pPr>
      <w:r>
        <w:rPr>
          <w:rFonts w:eastAsia="Arial" w:cs="Arial"/>
          <w:b/>
        </w:rPr>
        <w:t>R</w:t>
      </w:r>
      <w:r w:rsidR="00C4086A">
        <w:rPr>
          <w:rFonts w:eastAsia="Arial" w:cs="Arial"/>
          <w:b/>
        </w:rPr>
        <w:t>ESULTADOS E DISCUSSÕES</w:t>
      </w:r>
    </w:p>
    <w:p w14:paraId="1B5CFF60" w14:textId="179F42D1" w:rsidR="00166087" w:rsidRDefault="00166087" w:rsidP="00166087">
      <w:pPr>
        <w:ind w:firstLine="709"/>
        <w:jc w:val="both"/>
        <w:rPr>
          <w:rFonts w:eastAsia="Arial" w:cs="Arial"/>
          <w:bCs/>
        </w:rPr>
      </w:pPr>
      <w:r>
        <w:rPr>
          <w:rFonts w:eastAsia="Arial" w:cs="Arial"/>
          <w:bCs/>
        </w:rPr>
        <w:t>A</w:t>
      </w:r>
      <w:r w:rsidRPr="00166087">
        <w:rPr>
          <w:rFonts w:eastAsia="Arial" w:cs="Arial"/>
          <w:bCs/>
        </w:rPr>
        <w:t xml:space="preserve"> partir das respostas obtidas no questionário </w:t>
      </w:r>
      <w:proofErr w:type="spellStart"/>
      <w:r w:rsidRPr="00166087">
        <w:rPr>
          <w:rFonts w:eastAsia="Arial" w:cs="Arial"/>
          <w:bCs/>
        </w:rPr>
        <w:t>survey</w:t>
      </w:r>
      <w:proofErr w:type="spellEnd"/>
      <w:r w:rsidRPr="00166087">
        <w:rPr>
          <w:rFonts w:eastAsia="Arial" w:cs="Arial"/>
          <w:bCs/>
        </w:rPr>
        <w:t xml:space="preserve"> aplicado entre janeiro e abril de 2025</w:t>
      </w:r>
      <w:r>
        <w:rPr>
          <w:rFonts w:eastAsia="Arial" w:cs="Arial"/>
          <w:bCs/>
        </w:rPr>
        <w:t>, pudemos visualizar um desenho para o</w:t>
      </w:r>
      <w:r w:rsidRPr="00166087">
        <w:rPr>
          <w:rFonts w:eastAsia="Arial" w:cs="Arial"/>
          <w:bCs/>
        </w:rPr>
        <w:t>s territórios analisados neste trabalho — o Sudoeste Paulista e o Território Metropolitano de São Paulo. Os mapas gerados (</w:t>
      </w:r>
      <w:r w:rsidRPr="00166087">
        <w:rPr>
          <w:rFonts w:eastAsia="Arial" w:cs="Arial"/>
          <w:b/>
        </w:rPr>
        <w:t>Figura 1</w:t>
      </w:r>
      <w:r w:rsidRPr="00166087">
        <w:rPr>
          <w:rFonts w:eastAsia="Arial" w:cs="Arial"/>
          <w:bCs/>
        </w:rPr>
        <w:t xml:space="preserve">) refletem a distribuição </w:t>
      </w:r>
      <w:r w:rsidR="0060111B">
        <w:rPr>
          <w:rFonts w:eastAsia="Arial" w:cs="Arial"/>
          <w:bCs/>
        </w:rPr>
        <w:t>espacial</w:t>
      </w:r>
      <w:r w:rsidRPr="00166087">
        <w:rPr>
          <w:rFonts w:eastAsia="Arial" w:cs="Arial"/>
          <w:bCs/>
        </w:rPr>
        <w:t xml:space="preserve"> dos atores que atuam com agroecologia e produção orgânica, evidenciando o conjunto de municípios citados como locais de atuação institucional, organizativa ou política pelos respondentes.</w:t>
      </w:r>
    </w:p>
    <w:p w14:paraId="75D54DEE" w14:textId="6DA3DAAC" w:rsidR="00166087" w:rsidRDefault="00166087" w:rsidP="00166087">
      <w:pPr>
        <w:ind w:firstLine="709"/>
        <w:jc w:val="both"/>
        <w:rPr>
          <w:rFonts w:eastAsia="Arial" w:cs="Arial"/>
          <w:bCs/>
        </w:rPr>
      </w:pPr>
      <w:r w:rsidRPr="00166087">
        <w:rPr>
          <w:rFonts w:eastAsia="Arial" w:cs="Arial"/>
          <w:bCs/>
        </w:rPr>
        <w:t xml:space="preserve">É importante destacar que a delimitação territorial aqui adotada não se orienta exclusivamente por critérios político-administrativos, mas por uma concepção relacional de território, conforme discutido anteriormente. Ou seja, consideramos o território como palco de ação dos sujeitos e suas redes, materializando-se por meio das relações construídas em determinados espaços geográficos. Essa abordagem permitiu captar o território como uma construção social em movimento, composta por vínculos, fluxos e dinâmicas institucionais. Como se trata de um questionário aberto, é possível que algumas respostas destoem da lógica regional, incorporando municípios mais distantes que, embora não integrem </w:t>
      </w:r>
      <w:r w:rsidR="0060111B">
        <w:rPr>
          <w:rFonts w:eastAsia="Arial" w:cs="Arial"/>
          <w:bCs/>
        </w:rPr>
        <w:t>espacialmente</w:t>
      </w:r>
      <w:r w:rsidRPr="00166087">
        <w:rPr>
          <w:rFonts w:eastAsia="Arial" w:cs="Arial"/>
          <w:bCs/>
        </w:rPr>
        <w:t xml:space="preserve"> o recorte territorial, se conectam a ele por meio das práticas dos atores.</w:t>
      </w:r>
    </w:p>
    <w:p w14:paraId="08041467" w14:textId="77777777" w:rsidR="00166087" w:rsidRDefault="00166087" w:rsidP="00166087">
      <w:pPr>
        <w:jc w:val="both"/>
        <w:rPr>
          <w:rFonts w:eastAsia="Arial" w:cs="Arial"/>
          <w:b/>
        </w:rPr>
      </w:pPr>
    </w:p>
    <w:p w14:paraId="201C0C48" w14:textId="1E7C2502" w:rsidR="00166087" w:rsidRDefault="004E0F26" w:rsidP="00166087">
      <w:pPr>
        <w:jc w:val="both"/>
        <w:rPr>
          <w:rFonts w:eastAsia="Arial" w:cs="Arial"/>
          <w:bCs/>
        </w:rPr>
      </w:pPr>
      <w:r w:rsidRPr="00166087">
        <w:rPr>
          <w:rFonts w:eastAsia="Arial" w:cs="Arial"/>
          <w:b/>
          <w:noProof/>
        </w:rPr>
        <w:lastRenderedPageBreak/>
        <w:drawing>
          <wp:anchor distT="0" distB="0" distL="114300" distR="114300" simplePos="0" relativeHeight="251668480" behindDoc="0" locked="0" layoutInCell="1" allowOverlap="1" wp14:anchorId="027E6183" wp14:editId="3B9FCBE3">
            <wp:simplePos x="0" y="0"/>
            <wp:positionH relativeFrom="margin">
              <wp:align>center</wp:align>
            </wp:positionH>
            <wp:positionV relativeFrom="paragraph">
              <wp:posOffset>1751555</wp:posOffset>
            </wp:positionV>
            <wp:extent cx="3657600" cy="4406900"/>
            <wp:effectExtent l="0" t="0" r="0" b="0"/>
            <wp:wrapTopAndBottom/>
            <wp:docPr id="197884288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42887" name="Imagem 1978842887"/>
                    <pic:cNvPicPr/>
                  </pic:nvPicPr>
                  <pic:blipFill rotWithShape="1">
                    <a:blip r:embed="rId8">
                      <a:extLst>
                        <a:ext uri="{28A0092B-C50C-407E-A947-70E740481C1C}">
                          <a14:useLocalDpi xmlns:a14="http://schemas.microsoft.com/office/drawing/2010/main" val="0"/>
                        </a:ext>
                      </a:extLst>
                    </a:blip>
                    <a:srcRect l="2117" t="11625" r="2211" b="8564"/>
                    <a:stretch/>
                  </pic:blipFill>
                  <pic:spPr bwMode="auto">
                    <a:xfrm>
                      <a:off x="0" y="0"/>
                      <a:ext cx="3657600" cy="440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087" w:rsidRPr="00166087">
        <w:rPr>
          <w:rFonts w:eastAsia="Arial" w:cs="Arial"/>
          <w:b/>
        </w:rPr>
        <w:t>Figura 1.</w:t>
      </w:r>
      <w:r w:rsidR="00166087">
        <w:rPr>
          <w:rFonts w:eastAsia="Arial" w:cs="Arial"/>
          <w:bCs/>
        </w:rPr>
        <w:t xml:space="preserve"> Mapas dos territórios com base no questionário </w:t>
      </w:r>
      <w:proofErr w:type="spellStart"/>
      <w:r w:rsidR="00166087">
        <w:rPr>
          <w:rFonts w:eastAsia="Arial" w:cs="Arial"/>
          <w:bCs/>
        </w:rPr>
        <w:t>survey</w:t>
      </w:r>
      <w:proofErr w:type="spellEnd"/>
    </w:p>
    <w:p w14:paraId="21B8AFD8" w14:textId="63A07A2E" w:rsidR="00166087" w:rsidRPr="00166087" w:rsidRDefault="00166087" w:rsidP="00166087">
      <w:pPr>
        <w:ind w:firstLine="709"/>
        <w:jc w:val="both"/>
        <w:rPr>
          <w:rFonts w:eastAsia="Arial" w:cs="Arial"/>
          <w:bCs/>
        </w:rPr>
      </w:pPr>
    </w:p>
    <w:p w14:paraId="619B9F6A" w14:textId="468857F9" w:rsidR="00166087" w:rsidRPr="00166087" w:rsidRDefault="00166087" w:rsidP="00166087">
      <w:pPr>
        <w:ind w:firstLine="709"/>
        <w:jc w:val="both"/>
        <w:rPr>
          <w:rFonts w:eastAsia="Arial" w:cs="Arial"/>
          <w:bCs/>
        </w:rPr>
      </w:pPr>
      <w:r w:rsidRPr="00166087">
        <w:rPr>
          <w:rFonts w:eastAsia="Arial" w:cs="Arial"/>
          <w:bCs/>
        </w:rPr>
        <w:t xml:space="preserve">Com base nas informações levantadas, foram produzidos mapas de rede que evidenciam as conexões entre os municípios e diferentes tipos de instituições — de ensino, pesquisa e extensão universitária; </w:t>
      </w:r>
      <w:r>
        <w:rPr>
          <w:rFonts w:eastAsia="Arial" w:cs="Arial"/>
          <w:bCs/>
        </w:rPr>
        <w:t>d</w:t>
      </w:r>
      <w:r w:rsidRPr="00166087">
        <w:rPr>
          <w:rFonts w:eastAsia="Arial" w:cs="Arial"/>
          <w:bCs/>
        </w:rPr>
        <w:t>e extensão rural</w:t>
      </w:r>
      <w:r>
        <w:rPr>
          <w:rFonts w:eastAsia="Arial" w:cs="Arial"/>
          <w:bCs/>
        </w:rPr>
        <w:t xml:space="preserve"> e outras que ofertam serviços específicos de capacitação ou assistência</w:t>
      </w:r>
      <w:r w:rsidRPr="00166087">
        <w:rPr>
          <w:rFonts w:eastAsia="Arial" w:cs="Arial"/>
          <w:bCs/>
        </w:rPr>
        <w:t>; e de governança local e territorial. Esses mapas permitem observar padrões de articulação e atuação em cada território.</w:t>
      </w:r>
    </w:p>
    <w:p w14:paraId="7D2F9E79" w14:textId="03121171" w:rsidR="000F6935" w:rsidRDefault="00166087" w:rsidP="00166087">
      <w:pPr>
        <w:ind w:firstLine="709"/>
        <w:jc w:val="both"/>
        <w:rPr>
          <w:rFonts w:eastAsia="Arial" w:cs="Arial"/>
          <w:bCs/>
        </w:rPr>
      </w:pPr>
      <w:r w:rsidRPr="00166087">
        <w:rPr>
          <w:rFonts w:eastAsia="Arial" w:cs="Arial"/>
          <w:bCs/>
        </w:rPr>
        <w:t>De modo geral, o Território Sudoeste Paulista apresenta maior densidade e complexidade nas redes analisadas. No mapa referente à extensão rural e</w:t>
      </w:r>
      <w:r w:rsidR="000F6935">
        <w:rPr>
          <w:rFonts w:eastAsia="Arial" w:cs="Arial"/>
          <w:bCs/>
        </w:rPr>
        <w:t xml:space="preserve"> de outros serviços de capacitação e</w:t>
      </w:r>
      <w:r w:rsidRPr="00166087">
        <w:rPr>
          <w:rFonts w:eastAsia="Arial" w:cs="Arial"/>
          <w:bCs/>
        </w:rPr>
        <w:t xml:space="preserve"> assistência técnica</w:t>
      </w:r>
      <w:r w:rsidR="00E13197">
        <w:rPr>
          <w:rFonts w:eastAsia="Arial" w:cs="Arial"/>
          <w:bCs/>
        </w:rPr>
        <w:t xml:space="preserve"> (</w:t>
      </w:r>
      <w:r w:rsidR="00E13197" w:rsidRPr="00E13197">
        <w:rPr>
          <w:rFonts w:eastAsia="Arial" w:cs="Arial"/>
          <w:b/>
        </w:rPr>
        <w:t>Figura 2</w:t>
      </w:r>
      <w:r w:rsidR="00E13197">
        <w:rPr>
          <w:rFonts w:eastAsia="Arial" w:cs="Arial"/>
          <w:bCs/>
        </w:rPr>
        <w:t>)</w:t>
      </w:r>
      <w:r w:rsidRPr="00166087">
        <w:rPr>
          <w:rFonts w:eastAsia="Arial" w:cs="Arial"/>
          <w:bCs/>
        </w:rPr>
        <w:t>, observa-se forte presença de instituições como CATI</w:t>
      </w:r>
      <w:r w:rsidR="000F6935">
        <w:rPr>
          <w:rFonts w:eastAsia="Arial" w:cs="Arial"/>
          <w:bCs/>
        </w:rPr>
        <w:t xml:space="preserve"> e</w:t>
      </w:r>
      <w:r w:rsidRPr="00166087">
        <w:rPr>
          <w:rFonts w:eastAsia="Arial" w:cs="Arial"/>
          <w:bCs/>
        </w:rPr>
        <w:t xml:space="preserve"> ITESP</w:t>
      </w:r>
      <w:r w:rsidR="000F6935">
        <w:rPr>
          <w:rFonts w:eastAsia="Arial" w:cs="Arial"/>
          <w:bCs/>
        </w:rPr>
        <w:t xml:space="preserve"> (que são de extensão rural)</w:t>
      </w:r>
      <w:r w:rsidRPr="00166087">
        <w:rPr>
          <w:rFonts w:eastAsia="Arial" w:cs="Arial"/>
          <w:bCs/>
        </w:rPr>
        <w:t>,</w:t>
      </w:r>
      <w:r w:rsidR="000F6935">
        <w:rPr>
          <w:rFonts w:eastAsia="Arial" w:cs="Arial"/>
          <w:bCs/>
        </w:rPr>
        <w:t xml:space="preserve"> e</w:t>
      </w:r>
      <w:r w:rsidRPr="00166087">
        <w:rPr>
          <w:rFonts w:eastAsia="Arial" w:cs="Arial"/>
          <w:bCs/>
        </w:rPr>
        <w:t xml:space="preserve"> SENAR e SEBRAE</w:t>
      </w:r>
      <w:r w:rsidR="000F6935">
        <w:rPr>
          <w:rFonts w:eastAsia="Arial" w:cs="Arial"/>
          <w:bCs/>
        </w:rPr>
        <w:t xml:space="preserve"> (que ofertam serviços específicos de capacitação)</w:t>
      </w:r>
      <w:r w:rsidRPr="00166087">
        <w:rPr>
          <w:rFonts w:eastAsia="Arial" w:cs="Arial"/>
          <w:bCs/>
        </w:rPr>
        <w:t>, com múltiplas conexões a diversos municípios.</w:t>
      </w:r>
    </w:p>
    <w:p w14:paraId="0013A3BC" w14:textId="77777777" w:rsidR="000F6935" w:rsidRDefault="000F6935" w:rsidP="000F6935">
      <w:pPr>
        <w:jc w:val="both"/>
        <w:rPr>
          <w:rFonts w:eastAsia="Arial" w:cs="Arial"/>
          <w:bCs/>
        </w:rPr>
      </w:pPr>
    </w:p>
    <w:p w14:paraId="69A53F5F" w14:textId="7066F1A9" w:rsidR="000F6935" w:rsidRDefault="000F6935" w:rsidP="000F6935">
      <w:pPr>
        <w:jc w:val="both"/>
        <w:rPr>
          <w:rFonts w:eastAsia="Arial" w:cs="Arial"/>
          <w:bCs/>
        </w:rPr>
      </w:pPr>
      <w:r w:rsidRPr="000F6935">
        <w:rPr>
          <w:rFonts w:eastAsia="Arial" w:cs="Arial"/>
          <w:b/>
        </w:rPr>
        <w:lastRenderedPageBreak/>
        <w:t>Figura 2.</w:t>
      </w:r>
      <w:r>
        <w:rPr>
          <w:rFonts w:eastAsia="Arial" w:cs="Arial"/>
          <w:bCs/>
        </w:rPr>
        <w:t xml:space="preserve"> Mapa de rede entre municípios e instituições de extensão rural e de serviços de capacitação</w:t>
      </w:r>
    </w:p>
    <w:p w14:paraId="3732AC58" w14:textId="3851E05F" w:rsidR="000F6935" w:rsidRDefault="004E0F26" w:rsidP="000F6935">
      <w:pPr>
        <w:jc w:val="both"/>
        <w:rPr>
          <w:rFonts w:eastAsia="Arial" w:cs="Arial"/>
          <w:bCs/>
        </w:rPr>
      </w:pPr>
      <w:r>
        <w:rPr>
          <w:rFonts w:eastAsia="Arial" w:cs="Arial"/>
          <w:bCs/>
          <w:noProof/>
        </w:rPr>
        <w:drawing>
          <wp:anchor distT="0" distB="0" distL="114300" distR="114300" simplePos="0" relativeHeight="251669504" behindDoc="0" locked="0" layoutInCell="1" allowOverlap="1" wp14:anchorId="3627F2C2" wp14:editId="38197FA5">
            <wp:simplePos x="0" y="0"/>
            <wp:positionH relativeFrom="margin">
              <wp:align>center</wp:align>
            </wp:positionH>
            <wp:positionV relativeFrom="paragraph">
              <wp:posOffset>191995</wp:posOffset>
            </wp:positionV>
            <wp:extent cx="3543935" cy="5120640"/>
            <wp:effectExtent l="0" t="0" r="0" b="3810"/>
            <wp:wrapTopAndBottom/>
            <wp:docPr id="166935087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50873" name="Imagem 1669350873"/>
                    <pic:cNvPicPr/>
                  </pic:nvPicPr>
                  <pic:blipFill>
                    <a:blip r:embed="rId9">
                      <a:extLst>
                        <a:ext uri="{28A0092B-C50C-407E-A947-70E740481C1C}">
                          <a14:useLocalDpi xmlns:a14="http://schemas.microsoft.com/office/drawing/2010/main" val="0"/>
                        </a:ext>
                      </a:extLst>
                    </a:blip>
                    <a:stretch>
                      <a:fillRect/>
                    </a:stretch>
                  </pic:blipFill>
                  <pic:spPr>
                    <a:xfrm>
                      <a:off x="0" y="0"/>
                      <a:ext cx="3543935" cy="5120640"/>
                    </a:xfrm>
                    <a:prstGeom prst="rect">
                      <a:avLst/>
                    </a:prstGeom>
                  </pic:spPr>
                </pic:pic>
              </a:graphicData>
            </a:graphic>
            <wp14:sizeRelH relativeFrom="page">
              <wp14:pctWidth>0</wp14:pctWidth>
            </wp14:sizeRelH>
            <wp14:sizeRelV relativeFrom="page">
              <wp14:pctHeight>0</wp14:pctHeight>
            </wp14:sizeRelV>
          </wp:anchor>
        </w:drawing>
      </w:r>
    </w:p>
    <w:p w14:paraId="277435FB" w14:textId="77777777" w:rsidR="004E0F26" w:rsidRDefault="004E0F26" w:rsidP="00166087">
      <w:pPr>
        <w:ind w:firstLine="709"/>
        <w:jc w:val="both"/>
        <w:rPr>
          <w:rFonts w:eastAsia="Arial" w:cs="Arial"/>
          <w:bCs/>
        </w:rPr>
      </w:pPr>
    </w:p>
    <w:p w14:paraId="2A3F8425" w14:textId="45429C55" w:rsidR="00166087" w:rsidRDefault="00166087" w:rsidP="00166087">
      <w:pPr>
        <w:ind w:firstLine="709"/>
        <w:jc w:val="both"/>
        <w:rPr>
          <w:rFonts w:eastAsia="Arial" w:cs="Arial"/>
          <w:bCs/>
        </w:rPr>
      </w:pPr>
      <w:r w:rsidRPr="00166087">
        <w:rPr>
          <w:rFonts w:eastAsia="Arial" w:cs="Arial"/>
          <w:bCs/>
        </w:rPr>
        <w:t>Da mesma forma, nas redes de ensino</w:t>
      </w:r>
      <w:r w:rsidR="000F6935">
        <w:rPr>
          <w:rFonts w:eastAsia="Arial" w:cs="Arial"/>
          <w:bCs/>
        </w:rPr>
        <w:t xml:space="preserve">, </w:t>
      </w:r>
      <w:r w:rsidRPr="00166087">
        <w:rPr>
          <w:rFonts w:eastAsia="Arial" w:cs="Arial"/>
          <w:bCs/>
        </w:rPr>
        <w:t>pesquisa</w:t>
      </w:r>
      <w:r w:rsidR="000F6935">
        <w:rPr>
          <w:rFonts w:eastAsia="Arial" w:cs="Arial"/>
          <w:bCs/>
        </w:rPr>
        <w:t xml:space="preserve"> e extensão universitária</w:t>
      </w:r>
      <w:r w:rsidR="00E13197">
        <w:rPr>
          <w:rFonts w:eastAsia="Arial" w:cs="Arial"/>
          <w:bCs/>
        </w:rPr>
        <w:t xml:space="preserve"> (</w:t>
      </w:r>
      <w:r w:rsidR="00E13197" w:rsidRPr="00E13197">
        <w:rPr>
          <w:rFonts w:eastAsia="Arial" w:cs="Arial"/>
          <w:b/>
        </w:rPr>
        <w:t>Figura 3</w:t>
      </w:r>
      <w:r w:rsidR="00E13197">
        <w:rPr>
          <w:rFonts w:eastAsia="Arial" w:cs="Arial"/>
          <w:bCs/>
        </w:rPr>
        <w:t>)</w:t>
      </w:r>
      <w:r w:rsidRPr="00166087">
        <w:rPr>
          <w:rFonts w:eastAsia="Arial" w:cs="Arial"/>
          <w:bCs/>
        </w:rPr>
        <w:t xml:space="preserve">, instituições como a UFSCar (campus Lagoa do Sino), IFSP, UNESP e FATEC demonstram forte enraizamento </w:t>
      </w:r>
      <w:r w:rsidR="000F6935">
        <w:rPr>
          <w:rFonts w:eastAsia="Arial" w:cs="Arial"/>
          <w:bCs/>
        </w:rPr>
        <w:t>territorial no Sudoeste Paulista</w:t>
      </w:r>
      <w:r w:rsidRPr="00166087">
        <w:rPr>
          <w:rFonts w:eastAsia="Arial" w:cs="Arial"/>
          <w:bCs/>
        </w:rPr>
        <w:t>, com vínculos que extrapolam os limites municipais. Por fim, no campo da governança, o Sudoeste</w:t>
      </w:r>
      <w:r w:rsidR="000F6935">
        <w:rPr>
          <w:rFonts w:eastAsia="Arial" w:cs="Arial"/>
          <w:bCs/>
        </w:rPr>
        <w:t xml:space="preserve"> Paulista</w:t>
      </w:r>
      <w:r w:rsidRPr="00166087">
        <w:rPr>
          <w:rFonts w:eastAsia="Arial" w:cs="Arial"/>
          <w:bCs/>
        </w:rPr>
        <w:t xml:space="preserve"> revela a existência de estruturas intermunicipais relevantes, como </w:t>
      </w:r>
      <w:r w:rsidR="000F6935">
        <w:rPr>
          <w:rFonts w:eastAsia="Arial" w:cs="Arial"/>
          <w:bCs/>
        </w:rPr>
        <w:t>a Rede Sociotécnica do Sudoeste Paulista</w:t>
      </w:r>
      <w:r w:rsidRPr="00166087">
        <w:rPr>
          <w:rFonts w:eastAsia="Arial" w:cs="Arial"/>
          <w:bCs/>
        </w:rPr>
        <w:t xml:space="preserve">, além de conselhos municipais ativos em várias cidades. Essa configuração é coerente com a hipótese de que há, nesse território, um legado de políticas </w:t>
      </w:r>
      <w:r w:rsidRPr="00166087">
        <w:rPr>
          <w:rFonts w:eastAsia="Arial" w:cs="Arial"/>
          <w:bCs/>
        </w:rPr>
        <w:lastRenderedPageBreak/>
        <w:t xml:space="preserve">públicas com enfoque territorial, especialmente vinculado às experiências do </w:t>
      </w:r>
      <w:r w:rsidR="000F6935">
        <w:rPr>
          <w:rFonts w:eastAsia="Arial" w:cs="Arial"/>
          <w:bCs/>
        </w:rPr>
        <w:t xml:space="preserve">CONSAD/Fome Zero, </w:t>
      </w:r>
      <w:r w:rsidRPr="00166087">
        <w:rPr>
          <w:rFonts w:eastAsia="Arial" w:cs="Arial"/>
          <w:bCs/>
        </w:rPr>
        <w:t>PRONAT</w:t>
      </w:r>
      <w:r w:rsidR="000F6935">
        <w:rPr>
          <w:rFonts w:eastAsia="Arial" w:cs="Arial"/>
          <w:bCs/>
        </w:rPr>
        <w:t xml:space="preserve"> e</w:t>
      </w:r>
      <w:r w:rsidRPr="00166087">
        <w:rPr>
          <w:rFonts w:eastAsia="Arial" w:cs="Arial"/>
          <w:bCs/>
        </w:rPr>
        <w:t xml:space="preserve"> Territórios da Cidadania</w:t>
      </w:r>
      <w:r w:rsidR="000F6935">
        <w:rPr>
          <w:rFonts w:eastAsia="Arial" w:cs="Arial"/>
          <w:bCs/>
        </w:rPr>
        <w:t>.</w:t>
      </w:r>
    </w:p>
    <w:p w14:paraId="62DD0A2A" w14:textId="344ED1D8" w:rsidR="000F6935" w:rsidRDefault="000F6935" w:rsidP="000F6935">
      <w:pPr>
        <w:jc w:val="both"/>
        <w:rPr>
          <w:rFonts w:eastAsia="Arial" w:cs="Arial"/>
          <w:bCs/>
        </w:rPr>
      </w:pPr>
    </w:p>
    <w:p w14:paraId="1300E740" w14:textId="23A6B57B" w:rsidR="000F6935" w:rsidRDefault="000F6935" w:rsidP="000F6935">
      <w:pPr>
        <w:jc w:val="both"/>
        <w:rPr>
          <w:rFonts w:eastAsia="Arial" w:cs="Arial"/>
          <w:bCs/>
        </w:rPr>
      </w:pPr>
      <w:r>
        <w:rPr>
          <w:rFonts w:eastAsia="Arial" w:cs="Arial"/>
          <w:bCs/>
          <w:noProof/>
        </w:rPr>
        <w:drawing>
          <wp:anchor distT="0" distB="0" distL="114300" distR="114300" simplePos="0" relativeHeight="251670528" behindDoc="0" locked="0" layoutInCell="1" allowOverlap="1" wp14:anchorId="0F5DDA01" wp14:editId="4BBA3B4B">
            <wp:simplePos x="0" y="0"/>
            <wp:positionH relativeFrom="margin">
              <wp:align>center</wp:align>
            </wp:positionH>
            <wp:positionV relativeFrom="paragraph">
              <wp:posOffset>502920</wp:posOffset>
            </wp:positionV>
            <wp:extent cx="3496945" cy="5052060"/>
            <wp:effectExtent l="0" t="0" r="8255" b="0"/>
            <wp:wrapTopAndBottom/>
            <wp:docPr id="5597112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11222" name="Imagem 559711222"/>
                    <pic:cNvPicPr/>
                  </pic:nvPicPr>
                  <pic:blipFill>
                    <a:blip r:embed="rId10">
                      <a:extLst>
                        <a:ext uri="{28A0092B-C50C-407E-A947-70E740481C1C}">
                          <a14:useLocalDpi xmlns:a14="http://schemas.microsoft.com/office/drawing/2010/main" val="0"/>
                        </a:ext>
                      </a:extLst>
                    </a:blip>
                    <a:stretch>
                      <a:fillRect/>
                    </a:stretch>
                  </pic:blipFill>
                  <pic:spPr>
                    <a:xfrm>
                      <a:off x="0" y="0"/>
                      <a:ext cx="3496945" cy="5052060"/>
                    </a:xfrm>
                    <a:prstGeom prst="rect">
                      <a:avLst/>
                    </a:prstGeom>
                  </pic:spPr>
                </pic:pic>
              </a:graphicData>
            </a:graphic>
            <wp14:sizeRelH relativeFrom="page">
              <wp14:pctWidth>0</wp14:pctWidth>
            </wp14:sizeRelH>
            <wp14:sizeRelV relativeFrom="page">
              <wp14:pctHeight>0</wp14:pctHeight>
            </wp14:sizeRelV>
          </wp:anchor>
        </w:drawing>
      </w:r>
      <w:r w:rsidRPr="000F6935">
        <w:rPr>
          <w:rFonts w:eastAsia="Arial" w:cs="Arial"/>
          <w:b/>
        </w:rPr>
        <w:t>Figura 3.</w:t>
      </w:r>
      <w:r>
        <w:rPr>
          <w:rFonts w:eastAsia="Arial" w:cs="Arial"/>
          <w:bCs/>
        </w:rPr>
        <w:t xml:space="preserve"> Mapa de rede entre municípios e instituições de ensino, pesquisa e extensão universitária</w:t>
      </w:r>
    </w:p>
    <w:p w14:paraId="07829DD3" w14:textId="4AC93297" w:rsidR="000F6935" w:rsidRDefault="000F6935" w:rsidP="000F6935">
      <w:pPr>
        <w:jc w:val="both"/>
        <w:rPr>
          <w:rFonts w:eastAsia="Arial" w:cs="Arial"/>
          <w:bCs/>
        </w:rPr>
      </w:pPr>
    </w:p>
    <w:p w14:paraId="61BD42BA" w14:textId="0703EF62" w:rsidR="00166087" w:rsidRDefault="00166087" w:rsidP="00166087">
      <w:pPr>
        <w:ind w:firstLine="709"/>
        <w:jc w:val="both"/>
        <w:rPr>
          <w:rFonts w:eastAsia="Arial" w:cs="Arial"/>
          <w:bCs/>
        </w:rPr>
      </w:pPr>
      <w:r w:rsidRPr="00166087">
        <w:rPr>
          <w:rFonts w:eastAsia="Arial" w:cs="Arial"/>
          <w:bCs/>
        </w:rPr>
        <w:t>Já no Território Metropolitano de São Paulo, os mapas de rede indicam padrões distintos. A densidade de conexões é, em geral, menor, e há uma clara concentração institucional na capital paulista. Nos mapas de ensino e extensão universitária</w:t>
      </w:r>
      <w:r w:rsidR="000F6935">
        <w:rPr>
          <w:rFonts w:eastAsia="Arial" w:cs="Arial"/>
          <w:bCs/>
        </w:rPr>
        <w:t xml:space="preserve"> (retomar </w:t>
      </w:r>
      <w:r w:rsidR="000F6935" w:rsidRPr="000F6935">
        <w:rPr>
          <w:rFonts w:eastAsia="Arial" w:cs="Arial"/>
          <w:b/>
        </w:rPr>
        <w:t>Figura 3</w:t>
      </w:r>
      <w:r w:rsidR="000F6935">
        <w:rPr>
          <w:rFonts w:eastAsia="Arial" w:cs="Arial"/>
          <w:bCs/>
        </w:rPr>
        <w:t>)</w:t>
      </w:r>
      <w:r w:rsidRPr="00166087">
        <w:rPr>
          <w:rFonts w:eastAsia="Arial" w:cs="Arial"/>
          <w:bCs/>
        </w:rPr>
        <w:t xml:space="preserve">, por exemplo, observa-se forte centralidade da cidade de São Paulo, que agrega a maior parte das conexões com universidades e centros de pesquisa. No campo da </w:t>
      </w:r>
      <w:r w:rsidR="00E13197">
        <w:rPr>
          <w:rFonts w:eastAsia="Arial" w:cs="Arial"/>
          <w:bCs/>
        </w:rPr>
        <w:t>extensão rural</w:t>
      </w:r>
      <w:r w:rsidRPr="00166087">
        <w:rPr>
          <w:rFonts w:eastAsia="Arial" w:cs="Arial"/>
          <w:bCs/>
        </w:rPr>
        <w:t xml:space="preserve">, a CATI </w:t>
      </w:r>
      <w:r w:rsidRPr="00166087">
        <w:rPr>
          <w:rFonts w:eastAsia="Arial" w:cs="Arial"/>
          <w:bCs/>
        </w:rPr>
        <w:lastRenderedPageBreak/>
        <w:t>mantém presença significativa, embora a atuação intermunicipal seja mais dispersa</w:t>
      </w:r>
      <w:r w:rsidR="00E13197">
        <w:rPr>
          <w:rFonts w:eastAsia="Arial" w:cs="Arial"/>
          <w:bCs/>
        </w:rPr>
        <w:t xml:space="preserve"> (retomar </w:t>
      </w:r>
      <w:r w:rsidR="00E13197" w:rsidRPr="00E13197">
        <w:rPr>
          <w:rFonts w:eastAsia="Arial" w:cs="Arial"/>
          <w:b/>
        </w:rPr>
        <w:t>Figura 2</w:t>
      </w:r>
      <w:r w:rsidR="00E13197">
        <w:rPr>
          <w:rFonts w:eastAsia="Arial" w:cs="Arial"/>
          <w:bCs/>
        </w:rPr>
        <w:t>)</w:t>
      </w:r>
      <w:r w:rsidRPr="00166087">
        <w:rPr>
          <w:rFonts w:eastAsia="Arial" w:cs="Arial"/>
          <w:bCs/>
        </w:rPr>
        <w:t>. As redes de governança</w:t>
      </w:r>
      <w:r w:rsidR="00E13197">
        <w:rPr>
          <w:rFonts w:eastAsia="Arial" w:cs="Arial"/>
          <w:bCs/>
        </w:rPr>
        <w:t xml:space="preserve"> (</w:t>
      </w:r>
      <w:r w:rsidR="00E13197" w:rsidRPr="00E13197">
        <w:rPr>
          <w:rFonts w:eastAsia="Arial" w:cs="Arial"/>
          <w:b/>
        </w:rPr>
        <w:t>Figura 4</w:t>
      </w:r>
      <w:r w:rsidR="00E13197">
        <w:rPr>
          <w:rFonts w:eastAsia="Arial" w:cs="Arial"/>
          <w:bCs/>
        </w:rPr>
        <w:t>)</w:t>
      </w:r>
      <w:r w:rsidRPr="00166087">
        <w:rPr>
          <w:rFonts w:eastAsia="Arial" w:cs="Arial"/>
          <w:bCs/>
        </w:rPr>
        <w:t>, por sua vez, revelam um predomínio das estruturas municipais, com pouca articulação intermunicipal, o que sugere que a escala territorial ainda é pouco mobilizada enquanto dimensão de gestão e planejamento no Território Metropolitano. A governança parece operar, majoritariamente, no plano da municipalidade</w:t>
      </w:r>
      <w:r w:rsidR="00E13197">
        <w:rPr>
          <w:rFonts w:eastAsia="Arial" w:cs="Arial"/>
          <w:bCs/>
        </w:rPr>
        <w:t>.</w:t>
      </w:r>
    </w:p>
    <w:p w14:paraId="4B6BB1F4" w14:textId="40893609" w:rsidR="00E13197" w:rsidRDefault="00E13197" w:rsidP="00E13197">
      <w:pPr>
        <w:jc w:val="both"/>
        <w:rPr>
          <w:rFonts w:eastAsia="Arial" w:cs="Arial"/>
          <w:bCs/>
        </w:rPr>
      </w:pPr>
    </w:p>
    <w:p w14:paraId="1CB2FCB5" w14:textId="2F391C70" w:rsidR="00E13197" w:rsidRDefault="00E13197" w:rsidP="00E13197">
      <w:pPr>
        <w:jc w:val="both"/>
        <w:rPr>
          <w:rFonts w:eastAsia="Arial" w:cs="Arial"/>
          <w:bCs/>
        </w:rPr>
      </w:pPr>
      <w:r>
        <w:rPr>
          <w:rFonts w:eastAsia="Arial" w:cs="Arial"/>
          <w:bCs/>
          <w:noProof/>
        </w:rPr>
        <w:drawing>
          <wp:anchor distT="0" distB="0" distL="114300" distR="114300" simplePos="0" relativeHeight="251671552" behindDoc="0" locked="0" layoutInCell="1" allowOverlap="1" wp14:anchorId="1532E565" wp14:editId="23B73642">
            <wp:simplePos x="0" y="0"/>
            <wp:positionH relativeFrom="margin">
              <wp:posOffset>881380</wp:posOffset>
            </wp:positionH>
            <wp:positionV relativeFrom="paragraph">
              <wp:posOffset>479425</wp:posOffset>
            </wp:positionV>
            <wp:extent cx="3745865" cy="5412105"/>
            <wp:effectExtent l="0" t="0" r="6985" b="0"/>
            <wp:wrapTopAndBottom/>
            <wp:docPr id="120328372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83726" name="Imagem 1203283726"/>
                    <pic:cNvPicPr/>
                  </pic:nvPicPr>
                  <pic:blipFill>
                    <a:blip r:embed="rId11">
                      <a:extLst>
                        <a:ext uri="{28A0092B-C50C-407E-A947-70E740481C1C}">
                          <a14:useLocalDpi xmlns:a14="http://schemas.microsoft.com/office/drawing/2010/main" val="0"/>
                        </a:ext>
                      </a:extLst>
                    </a:blip>
                    <a:stretch>
                      <a:fillRect/>
                    </a:stretch>
                  </pic:blipFill>
                  <pic:spPr>
                    <a:xfrm>
                      <a:off x="0" y="0"/>
                      <a:ext cx="3745865" cy="5412105"/>
                    </a:xfrm>
                    <a:prstGeom prst="rect">
                      <a:avLst/>
                    </a:prstGeom>
                  </pic:spPr>
                </pic:pic>
              </a:graphicData>
            </a:graphic>
            <wp14:sizeRelH relativeFrom="page">
              <wp14:pctWidth>0</wp14:pctWidth>
            </wp14:sizeRelH>
            <wp14:sizeRelV relativeFrom="page">
              <wp14:pctHeight>0</wp14:pctHeight>
            </wp14:sizeRelV>
          </wp:anchor>
        </w:drawing>
      </w:r>
      <w:r w:rsidRPr="00E13197">
        <w:rPr>
          <w:rFonts w:eastAsia="Arial" w:cs="Arial"/>
          <w:b/>
        </w:rPr>
        <w:t>Figura 4.</w:t>
      </w:r>
      <w:r>
        <w:rPr>
          <w:rFonts w:eastAsia="Arial" w:cs="Arial"/>
          <w:bCs/>
        </w:rPr>
        <w:t xml:space="preserve"> Mapa de rede entre municípios e instâncias de governança local e territorial</w:t>
      </w:r>
    </w:p>
    <w:p w14:paraId="49E475EE" w14:textId="77777777" w:rsidR="004E0F26" w:rsidRDefault="004E0F26" w:rsidP="00166087">
      <w:pPr>
        <w:ind w:firstLine="709"/>
        <w:jc w:val="both"/>
        <w:rPr>
          <w:rFonts w:eastAsia="Arial" w:cs="Arial"/>
          <w:bCs/>
        </w:rPr>
      </w:pPr>
    </w:p>
    <w:p w14:paraId="34B5B7C2" w14:textId="3047B481" w:rsidR="00166087" w:rsidRPr="00166087" w:rsidRDefault="00166087" w:rsidP="00166087">
      <w:pPr>
        <w:ind w:firstLine="709"/>
        <w:jc w:val="both"/>
        <w:rPr>
          <w:rFonts w:eastAsia="Arial" w:cs="Arial"/>
          <w:bCs/>
        </w:rPr>
      </w:pPr>
      <w:r w:rsidRPr="00166087">
        <w:rPr>
          <w:rFonts w:eastAsia="Arial" w:cs="Arial"/>
          <w:bCs/>
        </w:rPr>
        <w:lastRenderedPageBreak/>
        <w:t xml:space="preserve">Essa comparação empírica reforça o argumento central deste trabalho: os dilemas e potências da abordagem territorial </w:t>
      </w:r>
      <w:r w:rsidR="00E13197">
        <w:rPr>
          <w:rFonts w:eastAsia="Arial" w:cs="Arial"/>
          <w:bCs/>
        </w:rPr>
        <w:t>em</w:t>
      </w:r>
      <w:r w:rsidRPr="00166087">
        <w:rPr>
          <w:rFonts w:eastAsia="Arial" w:cs="Arial"/>
          <w:bCs/>
        </w:rPr>
        <w:t xml:space="preserve"> políticas públicas</w:t>
      </w:r>
      <w:r w:rsidR="00E13197">
        <w:rPr>
          <w:rFonts w:eastAsia="Arial" w:cs="Arial"/>
          <w:bCs/>
        </w:rPr>
        <w:t>, como as de desenvolvimento rural e de agroecologia</w:t>
      </w:r>
      <w:r w:rsidRPr="00166087">
        <w:rPr>
          <w:rFonts w:eastAsia="Arial" w:cs="Arial"/>
          <w:bCs/>
        </w:rPr>
        <w:t xml:space="preserve">. O caso do Sudoeste Paulista demonstra como a presença de estruturas intermunicipais e redes </w:t>
      </w:r>
      <w:r w:rsidR="00E13197">
        <w:rPr>
          <w:rFonts w:eastAsia="Arial" w:cs="Arial"/>
          <w:bCs/>
        </w:rPr>
        <w:t>territoriais</w:t>
      </w:r>
      <w:r w:rsidRPr="00166087">
        <w:rPr>
          <w:rFonts w:eastAsia="Arial" w:cs="Arial"/>
          <w:bCs/>
        </w:rPr>
        <w:t xml:space="preserve"> pode ampliar as possibilidades de implementação </w:t>
      </w:r>
      <w:proofErr w:type="spellStart"/>
      <w:r w:rsidRPr="00166087">
        <w:rPr>
          <w:rFonts w:eastAsia="Arial" w:cs="Arial"/>
          <w:bCs/>
        </w:rPr>
        <w:t>territorializada</w:t>
      </w:r>
      <w:proofErr w:type="spellEnd"/>
      <w:r w:rsidR="00E13197">
        <w:rPr>
          <w:rFonts w:eastAsia="Arial" w:cs="Arial"/>
          <w:bCs/>
        </w:rPr>
        <w:t>, neste caso, da</w:t>
      </w:r>
      <w:r w:rsidRPr="00166087">
        <w:rPr>
          <w:rFonts w:eastAsia="Arial" w:cs="Arial"/>
          <w:bCs/>
        </w:rPr>
        <w:t xml:space="preserve"> PEAPO-SP. Já no caso metropolitano, os limites impostos pela fragmentação político-administrativa</w:t>
      </w:r>
      <w:r w:rsidR="00E13197">
        <w:rPr>
          <w:rFonts w:eastAsia="Arial" w:cs="Arial"/>
          <w:bCs/>
        </w:rPr>
        <w:t xml:space="preserve"> (à nível da municipalidade)</w:t>
      </w:r>
      <w:r w:rsidRPr="00166087">
        <w:rPr>
          <w:rFonts w:eastAsia="Arial" w:cs="Arial"/>
          <w:bCs/>
        </w:rPr>
        <w:t xml:space="preserve"> e pela ausência de coordenação </w:t>
      </w:r>
      <w:r w:rsidR="00E13197">
        <w:rPr>
          <w:rFonts w:eastAsia="Arial" w:cs="Arial"/>
          <w:bCs/>
        </w:rPr>
        <w:t>territorial</w:t>
      </w:r>
      <w:r w:rsidRPr="00166087">
        <w:rPr>
          <w:rFonts w:eastAsia="Arial" w:cs="Arial"/>
          <w:bCs/>
        </w:rPr>
        <w:t xml:space="preserve"> evidenciam os desafios para se ativar o território como unidade de ação pública.</w:t>
      </w:r>
    </w:p>
    <w:p w14:paraId="3A574D51" w14:textId="035C3E96" w:rsidR="00166087" w:rsidRDefault="00166087" w:rsidP="00166087">
      <w:pPr>
        <w:ind w:firstLine="709"/>
        <w:jc w:val="both"/>
        <w:rPr>
          <w:rFonts w:eastAsia="Arial" w:cs="Arial"/>
          <w:bCs/>
        </w:rPr>
      </w:pPr>
      <w:r w:rsidRPr="00166087">
        <w:rPr>
          <w:rFonts w:eastAsia="Arial" w:cs="Arial"/>
          <w:bCs/>
        </w:rPr>
        <w:t xml:space="preserve">Ainda assim, os resultados indicam que é possível mobilizar agências e instituições com atuação territorial, mesmo em contextos institucionalmente fragmentados. A presença de instituições como CATI, universidades e redes colaborativas — mesmo quando ancoradas em estruturas municipais — pode ser catalisadora de arranjos mais amplos, desde que </w:t>
      </w:r>
      <w:r w:rsidR="00E567AD">
        <w:rPr>
          <w:rFonts w:eastAsia="Arial" w:cs="Arial"/>
          <w:bCs/>
        </w:rPr>
        <w:t xml:space="preserve">sejam provocadas e articuladas </w:t>
      </w:r>
      <w:r w:rsidRPr="00166087">
        <w:rPr>
          <w:rFonts w:eastAsia="Arial" w:cs="Arial"/>
          <w:bCs/>
        </w:rPr>
        <w:t>estrat</w:t>
      </w:r>
      <w:r w:rsidR="00E567AD">
        <w:rPr>
          <w:rFonts w:eastAsia="Arial" w:cs="Arial"/>
          <w:bCs/>
        </w:rPr>
        <w:t>e</w:t>
      </w:r>
      <w:r w:rsidRPr="00166087">
        <w:rPr>
          <w:rFonts w:eastAsia="Arial" w:cs="Arial"/>
          <w:bCs/>
        </w:rPr>
        <w:t>gica</w:t>
      </w:r>
      <w:r w:rsidR="00E567AD">
        <w:rPr>
          <w:rFonts w:eastAsia="Arial" w:cs="Arial"/>
          <w:bCs/>
        </w:rPr>
        <w:t>mente</w:t>
      </w:r>
      <w:r w:rsidRPr="00166087">
        <w:rPr>
          <w:rFonts w:eastAsia="Arial" w:cs="Arial"/>
          <w:bCs/>
        </w:rPr>
        <w:t xml:space="preserve">. O território, nesse sentido, não é apenas uma escala pré-existente, mas um horizonte possível </w:t>
      </w:r>
      <w:r w:rsidR="00E567AD">
        <w:rPr>
          <w:rFonts w:eastAsia="Arial" w:cs="Arial"/>
          <w:bCs/>
        </w:rPr>
        <w:t xml:space="preserve">(a ser construído) </w:t>
      </w:r>
      <w:r w:rsidRPr="00166087">
        <w:rPr>
          <w:rFonts w:eastAsia="Arial" w:cs="Arial"/>
          <w:bCs/>
        </w:rPr>
        <w:t>de ação coletiva</w:t>
      </w:r>
      <w:r w:rsidR="00E567AD">
        <w:rPr>
          <w:rFonts w:eastAsia="Arial" w:cs="Arial"/>
          <w:bCs/>
        </w:rPr>
        <w:t>.</w:t>
      </w:r>
    </w:p>
    <w:p w14:paraId="37C60A76" w14:textId="77777777" w:rsidR="00E567AD" w:rsidRDefault="00E567AD" w:rsidP="00E567AD">
      <w:pPr>
        <w:jc w:val="both"/>
        <w:rPr>
          <w:rFonts w:eastAsia="Arial" w:cs="Arial"/>
          <w:bCs/>
        </w:rPr>
      </w:pPr>
    </w:p>
    <w:p w14:paraId="28D0CC89" w14:textId="1CD4AD11" w:rsidR="00216EFF" w:rsidRDefault="00216EFF" w:rsidP="00216EFF">
      <w:pPr>
        <w:spacing w:line="360" w:lineRule="auto"/>
        <w:jc w:val="both"/>
        <w:rPr>
          <w:rFonts w:eastAsia="Arial" w:cs="Arial"/>
          <w:b/>
        </w:rPr>
      </w:pPr>
      <w:r w:rsidRPr="00216EFF">
        <w:rPr>
          <w:rFonts w:eastAsia="Arial" w:cs="Arial"/>
          <w:b/>
        </w:rPr>
        <w:t>CONSIDERAÇÕES FINAIS</w:t>
      </w:r>
    </w:p>
    <w:p w14:paraId="72D88F09" w14:textId="77777777" w:rsidR="001942E4" w:rsidRPr="001942E4" w:rsidRDefault="001942E4" w:rsidP="001942E4">
      <w:pPr>
        <w:ind w:firstLine="709"/>
        <w:jc w:val="both"/>
        <w:rPr>
          <w:rFonts w:eastAsia="Arial" w:cs="Arial"/>
          <w:bCs/>
        </w:rPr>
      </w:pPr>
      <w:r w:rsidRPr="001942E4">
        <w:rPr>
          <w:rFonts w:eastAsia="Arial" w:cs="Arial"/>
          <w:bCs/>
        </w:rPr>
        <w:t>Este trabalho partiu da premissa de que a mobilização da abordagem territorial segue sendo estratégica — tanto política quanto metodologicamente — para o fortalecimento e a implementação das políticas públicas agroecológicas, especialmente em contextos subnacionais como o da Política Estadual de Agroecologia e Produção Orgânica de São Paulo (PEAPO-SP). Nosso objetivo foi discutir os dilemas e as potências dessa abordagem à luz de dados empíricos produzidos nos territórios Sudoeste Paulista e Metropolitano de São Paulo, a partir do mapeamento de atores sociais, instituições e redes de cooperação.</w:t>
      </w:r>
    </w:p>
    <w:p w14:paraId="4BD975BA" w14:textId="38622FE1" w:rsidR="001942E4" w:rsidRPr="001942E4" w:rsidRDefault="001942E4" w:rsidP="001942E4">
      <w:pPr>
        <w:ind w:firstLine="709"/>
        <w:jc w:val="both"/>
        <w:rPr>
          <w:rFonts w:eastAsia="Arial" w:cs="Arial"/>
          <w:bCs/>
        </w:rPr>
      </w:pPr>
      <w:r w:rsidRPr="001942E4">
        <w:rPr>
          <w:rFonts w:eastAsia="Arial" w:cs="Arial"/>
          <w:bCs/>
        </w:rPr>
        <w:t xml:space="preserve">A análise dos mapas de rede e das territorialidades reveladas pelo </w:t>
      </w:r>
      <w:proofErr w:type="spellStart"/>
      <w:r w:rsidRPr="001942E4">
        <w:rPr>
          <w:rFonts w:eastAsia="Arial" w:cs="Arial"/>
          <w:bCs/>
        </w:rPr>
        <w:t>survey</w:t>
      </w:r>
      <w:proofErr w:type="spellEnd"/>
      <w:r w:rsidRPr="001942E4">
        <w:rPr>
          <w:rFonts w:eastAsia="Arial" w:cs="Arial"/>
          <w:bCs/>
        </w:rPr>
        <w:t xml:space="preserve"> mostrou que, embora a escala territorial ainda encontre obstáculos institucionais e operacionais para sua consolidação, ela é atravessada por dinâmicas concretas de articulação que podem — e devem — ser reconhecidas e ativadas. No Território Sudoeste Paulista, observamos a existência de uma base institucional mais densa e integrada, expressa na presença de estruturas intermunicipais e em uma trajetória de experiências anteriores com políticas de desenvolvimento territorial. Já no Território Metropolitano de São Paulo, a centralidade permanece fortemente vinculada à escala municipal, com baixa mobilização de estruturas </w:t>
      </w:r>
      <w:r w:rsidR="00457C6C">
        <w:rPr>
          <w:rFonts w:eastAsia="Arial" w:cs="Arial"/>
          <w:bCs/>
        </w:rPr>
        <w:t>territoriais</w:t>
      </w:r>
      <w:r w:rsidRPr="001942E4">
        <w:rPr>
          <w:rFonts w:eastAsia="Arial" w:cs="Arial"/>
          <w:bCs/>
        </w:rPr>
        <w:t xml:space="preserve"> de governança, apesar da presença de instituições com potencial de articulação.</w:t>
      </w:r>
    </w:p>
    <w:p w14:paraId="6711701C" w14:textId="2CE09D37" w:rsidR="001942E4" w:rsidRPr="001942E4" w:rsidRDefault="001942E4" w:rsidP="001942E4">
      <w:pPr>
        <w:ind w:firstLine="709"/>
        <w:jc w:val="both"/>
        <w:rPr>
          <w:rFonts w:eastAsia="Arial" w:cs="Arial"/>
          <w:bCs/>
        </w:rPr>
      </w:pPr>
      <w:r w:rsidRPr="001942E4">
        <w:rPr>
          <w:rFonts w:eastAsia="Arial" w:cs="Arial"/>
          <w:bCs/>
        </w:rPr>
        <w:t xml:space="preserve">A partir desses achados, reafirmamos que a efetivação territorial da PEAPO-SP exige uma síntese entre duas dimensões complementares. Por um </w:t>
      </w:r>
      <w:r w:rsidRPr="001942E4">
        <w:rPr>
          <w:rFonts w:eastAsia="Arial" w:cs="Arial"/>
          <w:bCs/>
        </w:rPr>
        <w:lastRenderedPageBreak/>
        <w:t xml:space="preserve">lado, é necessário reconhecer e se apropriar da capilaridade e da força institucional da escala municipal, especialmente no que diz respeito à </w:t>
      </w:r>
      <w:r w:rsidR="00457C6C">
        <w:rPr>
          <w:rFonts w:eastAsia="Arial" w:cs="Arial"/>
          <w:bCs/>
        </w:rPr>
        <w:t>legitimidade federativa</w:t>
      </w:r>
      <w:r w:rsidRPr="001942E4">
        <w:rPr>
          <w:rFonts w:eastAsia="Arial" w:cs="Arial"/>
          <w:bCs/>
        </w:rPr>
        <w:t xml:space="preserve"> das prefeituras para gerir políticas, programas e recursos. Por outro, torna-se igualmente fundamental estimular a constituição de fóruns territoriais — espaços participativos e intermunicipais que articulem atores, </w:t>
      </w:r>
      <w:bookmarkStart w:id="0" w:name="_Hlk197956949"/>
      <w:r w:rsidRPr="001942E4">
        <w:rPr>
          <w:rFonts w:eastAsia="Arial" w:cs="Arial"/>
          <w:bCs/>
        </w:rPr>
        <w:t>promovam reflexão coletiva e favoreçam a formulação integrada de estratégias de implementação da PEAPO-SP em escala territorial</w:t>
      </w:r>
      <w:bookmarkEnd w:id="0"/>
      <w:r w:rsidRPr="001942E4">
        <w:rPr>
          <w:rFonts w:eastAsia="Arial" w:cs="Arial"/>
          <w:bCs/>
        </w:rPr>
        <w:t>.</w:t>
      </w:r>
    </w:p>
    <w:p w14:paraId="55167849" w14:textId="470B03E2" w:rsidR="00C4086A" w:rsidRPr="00E567AD" w:rsidRDefault="001942E4" w:rsidP="001942E4">
      <w:pPr>
        <w:ind w:firstLine="709"/>
        <w:jc w:val="both"/>
        <w:rPr>
          <w:rFonts w:eastAsia="Arial" w:cs="Arial"/>
          <w:bCs/>
        </w:rPr>
      </w:pPr>
      <w:r w:rsidRPr="001942E4">
        <w:rPr>
          <w:rFonts w:eastAsia="Arial" w:cs="Arial"/>
          <w:bCs/>
        </w:rPr>
        <w:t>Essa síntese metodológica e institucional aponta para a importância de estruturar arranjos híbridos de governança, nos quais a escala municipal, com sua capacidade federativa de execução e mobilização de recursos, seja articulada a instâncias intermunicipais que operem no plano territorial. A constituição de fóruns territoriais pode desempenhar um papel fundamental nesse processo, ao promover a coordenação entre diferentes municípios, estimular a deliberação coletiva e possibilitar a construção de agendas compartilhadas. Ao integrar diferentes níveis de ação e diferentes tipos de atores — técnicos, políticos, acadêmicos e sociais — esses espaços podem ampliar a efetividade da PEAPO-SP.</w:t>
      </w:r>
    </w:p>
    <w:p w14:paraId="5374B9F2" w14:textId="77777777" w:rsidR="00E567AD" w:rsidRDefault="00E567AD" w:rsidP="00216EFF">
      <w:pPr>
        <w:spacing w:line="360" w:lineRule="auto"/>
        <w:jc w:val="both"/>
        <w:rPr>
          <w:rFonts w:eastAsia="Arial" w:cs="Arial"/>
          <w:b/>
        </w:rPr>
      </w:pPr>
    </w:p>
    <w:p w14:paraId="6A419AB5" w14:textId="7219F642" w:rsidR="00C4086A" w:rsidRDefault="00C4086A" w:rsidP="00216EFF">
      <w:pPr>
        <w:spacing w:line="360" w:lineRule="auto"/>
        <w:jc w:val="both"/>
        <w:rPr>
          <w:rFonts w:eastAsia="Arial" w:cs="Arial"/>
          <w:b/>
        </w:rPr>
      </w:pPr>
      <w:r>
        <w:rPr>
          <w:rFonts w:eastAsia="Arial" w:cs="Arial"/>
          <w:b/>
        </w:rPr>
        <w:t>AGRADECIMENTOS</w:t>
      </w:r>
    </w:p>
    <w:p w14:paraId="7D031821" w14:textId="2F499F3A" w:rsidR="003222FF" w:rsidRPr="003222FF" w:rsidRDefault="003222FF" w:rsidP="00E567AD">
      <w:pPr>
        <w:spacing w:before="240"/>
        <w:jc w:val="both"/>
        <w:rPr>
          <w:rFonts w:eastAsia="Arial" w:cs="Arial"/>
          <w:bCs/>
        </w:rPr>
      </w:pPr>
      <w:r w:rsidRPr="003222FF">
        <w:rPr>
          <w:rFonts w:eastAsia="Arial" w:cs="Arial"/>
          <w:bCs/>
        </w:rPr>
        <w:t>Agradecemos à Fundação de Amparo à Pesquisa do Estado de São Paulo (FAPESP) pelo apoio financeiro ao desenvolvimento das atividades que compõem o projeto “Política Estadual de Agroecologia e Produção Orgânica (</w:t>
      </w:r>
      <w:proofErr w:type="spellStart"/>
      <w:r w:rsidRPr="003222FF">
        <w:rPr>
          <w:rFonts w:eastAsia="Arial" w:cs="Arial"/>
          <w:bCs/>
        </w:rPr>
        <w:t>Peapo</w:t>
      </w:r>
      <w:proofErr w:type="spellEnd"/>
      <w:r w:rsidRPr="003222FF">
        <w:rPr>
          <w:rFonts w:eastAsia="Arial" w:cs="Arial"/>
          <w:bCs/>
        </w:rPr>
        <w:t>) e Plano Estadual de Agroecologia e Produção Orgânica (</w:t>
      </w:r>
      <w:proofErr w:type="spellStart"/>
      <w:r w:rsidRPr="003222FF">
        <w:rPr>
          <w:rFonts w:eastAsia="Arial" w:cs="Arial"/>
          <w:bCs/>
        </w:rPr>
        <w:t>Pleapo</w:t>
      </w:r>
      <w:proofErr w:type="spellEnd"/>
      <w:r w:rsidRPr="003222FF">
        <w:rPr>
          <w:rFonts w:eastAsia="Arial" w:cs="Arial"/>
          <w:bCs/>
        </w:rPr>
        <w:t>) do estado de São Paulo: implementação e governança territorial” (Processo nº 2023/10150-1) e do projeto “Fortalecimento da agroecologia e produção orgânica no estado de São Paulo por meio da governança territorial” (Processo nº 2024/07001-7).</w:t>
      </w:r>
    </w:p>
    <w:p w14:paraId="4F81AF00" w14:textId="77777777" w:rsidR="00216EFF" w:rsidRPr="00216EFF" w:rsidRDefault="00216EFF" w:rsidP="00216EFF">
      <w:pPr>
        <w:spacing w:line="360" w:lineRule="auto"/>
        <w:jc w:val="both"/>
        <w:rPr>
          <w:rFonts w:eastAsia="Arial" w:cs="Arial"/>
        </w:rPr>
      </w:pPr>
    </w:p>
    <w:p w14:paraId="7A12CA73" w14:textId="6D948987" w:rsidR="0053021A" w:rsidRDefault="00216EFF" w:rsidP="00C4086A">
      <w:pPr>
        <w:spacing w:line="360" w:lineRule="auto"/>
        <w:ind w:hanging="2"/>
        <w:jc w:val="both"/>
        <w:rPr>
          <w:rFonts w:eastAsia="Arial" w:cs="Arial"/>
          <w:b/>
          <w:color w:val="000000"/>
        </w:rPr>
      </w:pPr>
      <w:r w:rsidRPr="00216EFF">
        <w:rPr>
          <w:rFonts w:eastAsia="Arial" w:cs="Arial"/>
          <w:b/>
          <w:color w:val="000000"/>
          <w:highlight w:val="white"/>
        </w:rPr>
        <w:t>REFERÊNCIAS</w:t>
      </w:r>
    </w:p>
    <w:sdt>
      <w:sdtPr>
        <w:rPr>
          <w:rFonts w:eastAsia="Arial" w:cs="Arial"/>
          <w:color w:val="000000"/>
        </w:rPr>
        <w:tag w:val="MENDELEY_BIBLIOGRAPHY"/>
        <w:id w:val="1431781931"/>
        <w:placeholder>
          <w:docPart w:val="DefaultPlaceholder_-1854013440"/>
        </w:placeholder>
      </w:sdtPr>
      <w:sdtContent>
        <w:p w14:paraId="3B6DC3B4" w14:textId="77777777" w:rsidR="004E0F26" w:rsidRDefault="004E0F26">
          <w:pPr>
            <w:divId w:val="252209078"/>
            <w:rPr>
              <w:rFonts w:eastAsia="Times New Roman"/>
              <w:kern w:val="0"/>
              <w14:ligatures w14:val="none"/>
            </w:rPr>
          </w:pPr>
          <w:r>
            <w:rPr>
              <w:rFonts w:eastAsia="Times New Roman"/>
            </w:rPr>
            <w:t xml:space="preserve">ANTUNES JUNIOR, W. F.; BORSATTO, R. S.; DE SOUZA-ESQUERDO, V. F. “Spaces </w:t>
          </w:r>
          <w:proofErr w:type="spellStart"/>
          <w:r>
            <w:rPr>
              <w:rFonts w:eastAsia="Times New Roman"/>
            </w:rPr>
            <w:t>of</w:t>
          </w:r>
          <w:proofErr w:type="spellEnd"/>
          <w:r>
            <w:rPr>
              <w:rFonts w:eastAsia="Times New Roman"/>
            </w:rPr>
            <w:t xml:space="preserve"> </w:t>
          </w:r>
          <w:proofErr w:type="spellStart"/>
          <w:r>
            <w:rPr>
              <w:rFonts w:eastAsia="Times New Roman"/>
            </w:rPr>
            <w:t>Inclusion</w:t>
          </w:r>
          <w:proofErr w:type="spellEnd"/>
          <w:r>
            <w:rPr>
              <w:rFonts w:eastAsia="Times New Roman"/>
            </w:rPr>
            <w:t xml:space="preserve">” in territorial </w:t>
          </w:r>
          <w:proofErr w:type="spellStart"/>
          <w:r>
            <w:rPr>
              <w:rFonts w:eastAsia="Times New Roman"/>
            </w:rPr>
            <w:t>governance</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legacy</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Brazilian</w:t>
          </w:r>
          <w:proofErr w:type="spellEnd"/>
          <w:r>
            <w:rPr>
              <w:rFonts w:eastAsia="Times New Roman"/>
            </w:rPr>
            <w:t xml:space="preserve"> territorial </w:t>
          </w:r>
          <w:proofErr w:type="spellStart"/>
          <w:r>
            <w:rPr>
              <w:rFonts w:eastAsia="Times New Roman"/>
            </w:rPr>
            <w:t>development</w:t>
          </w:r>
          <w:proofErr w:type="spellEnd"/>
          <w:r>
            <w:rPr>
              <w:rFonts w:eastAsia="Times New Roman"/>
            </w:rPr>
            <w:t xml:space="preserve"> policies in </w:t>
          </w:r>
          <w:proofErr w:type="spellStart"/>
          <w:r>
            <w:rPr>
              <w:rFonts w:eastAsia="Times New Roman"/>
            </w:rPr>
            <w:t>the</w:t>
          </w:r>
          <w:proofErr w:type="spellEnd"/>
          <w:r>
            <w:rPr>
              <w:rFonts w:eastAsia="Times New Roman"/>
            </w:rPr>
            <w:t xml:space="preserve"> empowerment </w:t>
          </w:r>
          <w:proofErr w:type="spellStart"/>
          <w:r>
            <w:rPr>
              <w:rFonts w:eastAsia="Times New Roman"/>
            </w:rPr>
            <w:t>of</w:t>
          </w:r>
          <w:proofErr w:type="spellEnd"/>
          <w:r>
            <w:rPr>
              <w:rFonts w:eastAsia="Times New Roman"/>
            </w:rPr>
            <w:t xml:space="preserve"> </w:t>
          </w:r>
          <w:proofErr w:type="spellStart"/>
          <w:r>
            <w:rPr>
              <w:rFonts w:eastAsia="Times New Roman"/>
            </w:rPr>
            <w:t>smallholder</w:t>
          </w:r>
          <w:proofErr w:type="spellEnd"/>
          <w:r>
            <w:rPr>
              <w:rFonts w:eastAsia="Times New Roman"/>
            </w:rPr>
            <w:t xml:space="preserve"> </w:t>
          </w:r>
          <w:proofErr w:type="spellStart"/>
          <w:r>
            <w:rPr>
              <w:rFonts w:eastAsia="Times New Roman"/>
            </w:rPr>
            <w:t>farming</w:t>
          </w:r>
          <w:proofErr w:type="spellEnd"/>
          <w:r>
            <w:rPr>
              <w:rFonts w:eastAsia="Times New Roman"/>
            </w:rPr>
            <w:t xml:space="preserve">. </w:t>
          </w:r>
          <w:proofErr w:type="spellStart"/>
          <w:r>
            <w:rPr>
              <w:rFonts w:eastAsia="Times New Roman"/>
              <w:b/>
              <w:bCs/>
            </w:rPr>
            <w:t>Journal</w:t>
          </w:r>
          <w:proofErr w:type="spellEnd"/>
          <w:r>
            <w:rPr>
              <w:rFonts w:eastAsia="Times New Roman"/>
              <w:b/>
              <w:bCs/>
            </w:rPr>
            <w:t xml:space="preserve"> </w:t>
          </w:r>
          <w:proofErr w:type="spellStart"/>
          <w:proofErr w:type="gramStart"/>
          <w:r>
            <w:rPr>
              <w:rFonts w:eastAsia="Times New Roman"/>
              <w:b/>
              <w:bCs/>
            </w:rPr>
            <w:t>of</w:t>
          </w:r>
          <w:proofErr w:type="spellEnd"/>
          <w:r>
            <w:rPr>
              <w:rFonts w:eastAsia="Times New Roman"/>
              <w:b/>
              <w:bCs/>
            </w:rPr>
            <w:t xml:space="preserve"> Social</w:t>
          </w:r>
          <w:proofErr w:type="gramEnd"/>
          <w:r>
            <w:rPr>
              <w:rFonts w:eastAsia="Times New Roman"/>
              <w:b/>
              <w:bCs/>
            </w:rPr>
            <w:t xml:space="preserve"> </w:t>
          </w:r>
          <w:proofErr w:type="spellStart"/>
          <w:r>
            <w:rPr>
              <w:rFonts w:eastAsia="Times New Roman"/>
              <w:b/>
              <w:bCs/>
            </w:rPr>
            <w:t>and</w:t>
          </w:r>
          <w:proofErr w:type="spellEnd"/>
          <w:r>
            <w:rPr>
              <w:rFonts w:eastAsia="Times New Roman"/>
              <w:b/>
              <w:bCs/>
            </w:rPr>
            <w:t xml:space="preserve"> Economic </w:t>
          </w:r>
          <w:proofErr w:type="spellStart"/>
          <w:r>
            <w:rPr>
              <w:rFonts w:eastAsia="Times New Roman"/>
              <w:b/>
              <w:bCs/>
            </w:rPr>
            <w:t>Development</w:t>
          </w:r>
          <w:proofErr w:type="spellEnd"/>
          <w:r>
            <w:rPr>
              <w:rFonts w:eastAsia="Times New Roman"/>
            </w:rPr>
            <w:t xml:space="preserve">, 2024. </w:t>
          </w:r>
        </w:p>
        <w:p w14:paraId="7CF992C6" w14:textId="77777777" w:rsidR="004E0F26" w:rsidRDefault="004E0F26">
          <w:pPr>
            <w:divId w:val="2036345728"/>
            <w:rPr>
              <w:rFonts w:eastAsia="Times New Roman"/>
            </w:rPr>
          </w:pPr>
        </w:p>
        <w:p w14:paraId="0D80B396" w14:textId="77777777" w:rsidR="004E0F26" w:rsidRDefault="004E0F26">
          <w:pPr>
            <w:divId w:val="1152793639"/>
            <w:rPr>
              <w:rFonts w:eastAsia="Times New Roman"/>
            </w:rPr>
          </w:pPr>
          <w:r>
            <w:rPr>
              <w:rFonts w:eastAsia="Times New Roman"/>
            </w:rPr>
            <w:t xml:space="preserve">ANTUNES JUNIOR, W. F.; BORSATTO, R. S.; SOUZA-ESQUERDO, V. F. DE. </w:t>
          </w:r>
          <w:proofErr w:type="spellStart"/>
          <w:r>
            <w:rPr>
              <w:rFonts w:eastAsia="Times New Roman"/>
            </w:rPr>
            <w:t>Why</w:t>
          </w:r>
          <w:proofErr w:type="spellEnd"/>
          <w:r>
            <w:rPr>
              <w:rFonts w:eastAsia="Times New Roman"/>
            </w:rPr>
            <w:t xml:space="preserve"> </w:t>
          </w:r>
          <w:proofErr w:type="spellStart"/>
          <w:r>
            <w:rPr>
              <w:rFonts w:eastAsia="Times New Roman"/>
            </w:rPr>
            <w:t>is</w:t>
          </w:r>
          <w:proofErr w:type="spellEnd"/>
          <w:r>
            <w:rPr>
              <w:rFonts w:eastAsia="Times New Roman"/>
            </w:rPr>
            <w:t xml:space="preserve"> it </w:t>
          </w:r>
          <w:proofErr w:type="spellStart"/>
          <w:r>
            <w:rPr>
              <w:rFonts w:eastAsia="Times New Roman"/>
            </w:rPr>
            <w:t>so</w:t>
          </w:r>
          <w:proofErr w:type="spellEnd"/>
          <w:r>
            <w:rPr>
              <w:rFonts w:eastAsia="Times New Roman"/>
            </w:rPr>
            <w:t xml:space="preserve"> </w:t>
          </w:r>
          <w:proofErr w:type="spellStart"/>
          <w:r>
            <w:rPr>
              <w:rFonts w:eastAsia="Times New Roman"/>
            </w:rPr>
            <w:t>difficult</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promote</w:t>
          </w:r>
          <w:proofErr w:type="spellEnd"/>
          <w:r>
            <w:rPr>
              <w:rFonts w:eastAsia="Times New Roman"/>
            </w:rPr>
            <w:t xml:space="preserve"> territorial </w:t>
          </w:r>
          <w:proofErr w:type="spellStart"/>
          <w:r>
            <w:rPr>
              <w:rFonts w:eastAsia="Times New Roman"/>
            </w:rPr>
            <w:t>development</w:t>
          </w:r>
          <w:proofErr w:type="spellEnd"/>
          <w:r>
            <w:rPr>
              <w:rFonts w:eastAsia="Times New Roman"/>
            </w:rPr>
            <w:t xml:space="preserve"> </w:t>
          </w:r>
          <w:proofErr w:type="spellStart"/>
          <w:r>
            <w:rPr>
              <w:rFonts w:eastAsia="Times New Roman"/>
            </w:rPr>
            <w:t>through</w:t>
          </w:r>
          <w:proofErr w:type="spellEnd"/>
          <w:r>
            <w:rPr>
              <w:rFonts w:eastAsia="Times New Roman"/>
            </w:rPr>
            <w:t xml:space="preserve"> </w:t>
          </w:r>
          <w:proofErr w:type="spellStart"/>
          <w:r>
            <w:rPr>
              <w:rFonts w:eastAsia="Times New Roman"/>
            </w:rPr>
            <w:t>public</w:t>
          </w:r>
          <w:proofErr w:type="spellEnd"/>
          <w:r>
            <w:rPr>
              <w:rFonts w:eastAsia="Times New Roman"/>
            </w:rPr>
            <w:t xml:space="preserve"> </w:t>
          </w:r>
          <w:proofErr w:type="gramStart"/>
          <w:r>
            <w:rPr>
              <w:rFonts w:eastAsia="Times New Roman"/>
            </w:rPr>
            <w:t>policies</w:t>
          </w:r>
          <w:r>
            <w:rPr>
              <w:rFonts w:ascii="Arial" w:eastAsia="Times New Roman" w:hAnsi="Arial" w:cs="Arial"/>
            </w:rPr>
            <w:t> </w:t>
          </w:r>
          <w:r>
            <w:rPr>
              <w:rFonts w:eastAsia="Times New Roman"/>
            </w:rPr>
            <w:t>?</w:t>
          </w:r>
          <w:proofErr w:type="gramEnd"/>
          <w:r>
            <w:rPr>
              <w:rFonts w:eastAsia="Times New Roman"/>
            </w:rPr>
            <w:t xml:space="preserve"> The </w:t>
          </w:r>
          <w:proofErr w:type="spellStart"/>
          <w:r>
            <w:rPr>
              <w:rFonts w:eastAsia="Times New Roman"/>
            </w:rPr>
            <w:t>obstacles</w:t>
          </w:r>
          <w:proofErr w:type="spellEnd"/>
          <w:r>
            <w:rPr>
              <w:rFonts w:eastAsia="Times New Roman"/>
            </w:rPr>
            <w:t xml:space="preserve"> </w:t>
          </w:r>
          <w:proofErr w:type="spellStart"/>
          <w:r>
            <w:rPr>
              <w:rFonts w:eastAsia="Times New Roman"/>
            </w:rPr>
            <w:t>faced</w:t>
          </w:r>
          <w:proofErr w:type="spellEnd"/>
          <w:r>
            <w:rPr>
              <w:rFonts w:eastAsia="Times New Roman"/>
            </w:rPr>
            <w:t xml:space="preserve"> </w:t>
          </w:r>
          <w:proofErr w:type="spellStart"/>
          <w:r>
            <w:rPr>
              <w:rFonts w:eastAsia="Times New Roman"/>
            </w:rPr>
            <w:t>by</w:t>
          </w:r>
          <w:proofErr w:type="spellEnd"/>
          <w:r>
            <w:rPr>
              <w:rFonts w:eastAsia="Times New Roman"/>
            </w:rPr>
            <w:t xml:space="preserve"> a </w:t>
          </w:r>
          <w:proofErr w:type="spellStart"/>
          <w:r>
            <w:rPr>
              <w:rFonts w:eastAsia="Times New Roman"/>
            </w:rPr>
            <w:t>Brazilian</w:t>
          </w:r>
          <w:proofErr w:type="spellEnd"/>
          <w:r>
            <w:rPr>
              <w:rFonts w:eastAsia="Times New Roman"/>
            </w:rPr>
            <w:t xml:space="preserve"> </w:t>
          </w:r>
          <w:proofErr w:type="spellStart"/>
          <w:r>
            <w:rPr>
              <w:rFonts w:eastAsia="Times New Roman"/>
            </w:rPr>
            <w:t>experience</w:t>
          </w:r>
          <w:proofErr w:type="spellEnd"/>
          <w:r>
            <w:rPr>
              <w:rFonts w:eastAsia="Times New Roman"/>
            </w:rPr>
            <w:t xml:space="preserve">. </w:t>
          </w:r>
          <w:r>
            <w:rPr>
              <w:rFonts w:eastAsia="Times New Roman"/>
              <w:b/>
              <w:bCs/>
            </w:rPr>
            <w:t xml:space="preserve">World </w:t>
          </w:r>
          <w:proofErr w:type="spellStart"/>
          <w:r>
            <w:rPr>
              <w:rFonts w:eastAsia="Times New Roman"/>
              <w:b/>
              <w:bCs/>
            </w:rPr>
            <w:t>Development</w:t>
          </w:r>
          <w:proofErr w:type="spellEnd"/>
          <w:r>
            <w:rPr>
              <w:rFonts w:eastAsia="Times New Roman"/>
              <w:b/>
              <w:bCs/>
            </w:rPr>
            <w:t xml:space="preserve"> Perspectives</w:t>
          </w:r>
          <w:r>
            <w:rPr>
              <w:rFonts w:eastAsia="Times New Roman"/>
            </w:rPr>
            <w:t xml:space="preserve">, v. 24, n. </w:t>
          </w:r>
          <w:proofErr w:type="spellStart"/>
          <w:r>
            <w:rPr>
              <w:rFonts w:eastAsia="Times New Roman"/>
            </w:rPr>
            <w:t>December</w:t>
          </w:r>
          <w:proofErr w:type="spellEnd"/>
          <w:r>
            <w:rPr>
              <w:rFonts w:eastAsia="Times New Roman"/>
            </w:rPr>
            <w:t xml:space="preserve">, p. 100367, 2021. </w:t>
          </w:r>
        </w:p>
        <w:p w14:paraId="1D764C7F" w14:textId="77777777" w:rsidR="004E0F26" w:rsidRDefault="004E0F26">
          <w:pPr>
            <w:divId w:val="2036345728"/>
            <w:rPr>
              <w:rFonts w:eastAsia="Times New Roman"/>
            </w:rPr>
          </w:pPr>
        </w:p>
        <w:p w14:paraId="5E617728" w14:textId="77777777" w:rsidR="004E0F26" w:rsidRDefault="004E0F26">
          <w:pPr>
            <w:divId w:val="1012952418"/>
            <w:rPr>
              <w:rFonts w:eastAsia="Times New Roman"/>
            </w:rPr>
          </w:pPr>
          <w:r>
            <w:rPr>
              <w:rFonts w:eastAsia="Times New Roman"/>
            </w:rPr>
            <w:lastRenderedPageBreak/>
            <w:t xml:space="preserve">BOSWORTH, G. et al. Rural Social </w:t>
          </w:r>
          <w:proofErr w:type="spellStart"/>
          <w:r>
            <w:rPr>
              <w:rFonts w:eastAsia="Times New Roman"/>
            </w:rPr>
            <w:t>Innovation</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Neo-endogenous</w:t>
          </w:r>
          <w:proofErr w:type="spellEnd"/>
          <w:r>
            <w:rPr>
              <w:rFonts w:eastAsia="Times New Roman"/>
            </w:rPr>
            <w:t xml:space="preserve"> Rural </w:t>
          </w:r>
          <w:proofErr w:type="spellStart"/>
          <w:r>
            <w:rPr>
              <w:rFonts w:eastAsia="Times New Roman"/>
            </w:rPr>
            <w:t>Development</w:t>
          </w:r>
          <w:proofErr w:type="spellEnd"/>
          <w:r>
            <w:rPr>
              <w:rFonts w:eastAsia="Times New Roman"/>
            </w:rPr>
            <w:t xml:space="preserve">. Em: </w:t>
          </w:r>
          <w:proofErr w:type="spellStart"/>
          <w:r>
            <w:rPr>
              <w:rFonts w:eastAsia="Times New Roman"/>
              <w:b/>
              <w:bCs/>
            </w:rPr>
            <w:t>Neoendogenous</w:t>
          </w:r>
          <w:proofErr w:type="spellEnd"/>
          <w:r>
            <w:rPr>
              <w:rFonts w:eastAsia="Times New Roman"/>
              <w:b/>
              <w:bCs/>
            </w:rPr>
            <w:t xml:space="preserve"> </w:t>
          </w:r>
          <w:proofErr w:type="spellStart"/>
          <w:r>
            <w:rPr>
              <w:rFonts w:eastAsia="Times New Roman"/>
              <w:b/>
              <w:bCs/>
            </w:rPr>
            <w:t>Development</w:t>
          </w:r>
          <w:proofErr w:type="spellEnd"/>
          <w:r>
            <w:rPr>
              <w:rFonts w:eastAsia="Times New Roman"/>
              <w:b/>
              <w:bCs/>
            </w:rPr>
            <w:t xml:space="preserve"> in </w:t>
          </w:r>
          <w:proofErr w:type="spellStart"/>
          <w:r>
            <w:rPr>
              <w:rFonts w:eastAsia="Times New Roman"/>
              <w:b/>
              <w:bCs/>
            </w:rPr>
            <w:t>European</w:t>
          </w:r>
          <w:proofErr w:type="spellEnd"/>
          <w:r>
            <w:rPr>
              <w:rFonts w:eastAsia="Times New Roman"/>
              <w:b/>
              <w:bCs/>
            </w:rPr>
            <w:t xml:space="preserve"> Rural </w:t>
          </w:r>
          <w:proofErr w:type="spellStart"/>
          <w:r>
            <w:rPr>
              <w:rFonts w:eastAsia="Times New Roman"/>
              <w:b/>
              <w:bCs/>
            </w:rPr>
            <w:t>Areas</w:t>
          </w:r>
          <w:proofErr w:type="spellEnd"/>
          <w:r>
            <w:rPr>
              <w:rFonts w:eastAsia="Times New Roman"/>
            </w:rPr>
            <w:t>. [</w:t>
          </w:r>
          <w:proofErr w:type="spellStart"/>
          <w:r>
            <w:rPr>
              <w:rFonts w:eastAsia="Times New Roman"/>
            </w:rPr>
            <w:t>s.l</w:t>
          </w:r>
          <w:proofErr w:type="spellEnd"/>
          <w:r>
            <w:rPr>
              <w:rFonts w:eastAsia="Times New Roman"/>
            </w:rPr>
            <w:t xml:space="preserve">.] Springer </w:t>
          </w:r>
          <w:proofErr w:type="spellStart"/>
          <w:r>
            <w:rPr>
              <w:rFonts w:eastAsia="Times New Roman"/>
            </w:rPr>
            <w:t>Geography</w:t>
          </w:r>
          <w:proofErr w:type="spellEnd"/>
          <w:r>
            <w:rPr>
              <w:rFonts w:eastAsia="Times New Roman"/>
            </w:rPr>
            <w:t xml:space="preserve">, 2020. p. 21–32. </w:t>
          </w:r>
        </w:p>
        <w:p w14:paraId="5C251D42" w14:textId="77777777" w:rsidR="004E0F26" w:rsidRDefault="004E0F26">
          <w:pPr>
            <w:divId w:val="2036345728"/>
            <w:rPr>
              <w:rFonts w:eastAsia="Times New Roman"/>
            </w:rPr>
          </w:pPr>
        </w:p>
        <w:p w14:paraId="16E0641E" w14:textId="77777777" w:rsidR="004E0F26" w:rsidRDefault="004E0F26">
          <w:pPr>
            <w:divId w:val="1064723627"/>
            <w:rPr>
              <w:rFonts w:eastAsia="Times New Roman"/>
            </w:rPr>
          </w:pPr>
          <w:r>
            <w:rPr>
              <w:rFonts w:eastAsia="Times New Roman"/>
            </w:rPr>
            <w:t xml:space="preserve">BRASIL. </w:t>
          </w:r>
          <w:r>
            <w:rPr>
              <w:rFonts w:eastAsia="Times New Roman"/>
              <w:b/>
              <w:bCs/>
            </w:rPr>
            <w:t>Marco Referencial para Apoio ao Desenvolvimento de Territórios Rurais</w:t>
          </w:r>
          <w:r>
            <w:rPr>
              <w:rFonts w:eastAsia="Times New Roman"/>
            </w:rPr>
            <w:t xml:space="preserve">. </w:t>
          </w:r>
          <w:r>
            <w:rPr>
              <w:rFonts w:eastAsia="Times New Roman"/>
              <w:b/>
              <w:bCs/>
            </w:rPr>
            <w:t>Série Documentos Institucionais 02-2005</w:t>
          </w:r>
          <w:r>
            <w:rPr>
              <w:rFonts w:eastAsia="Times New Roman"/>
            </w:rPr>
            <w:t>BrasíliaMinistério de Desenvolvimento Agrário - MDA</w:t>
          </w:r>
          <w:proofErr w:type="gramStart"/>
          <w:r>
            <w:rPr>
              <w:rFonts w:eastAsia="Times New Roman"/>
            </w:rPr>
            <w:t>, ,</w:t>
          </w:r>
          <w:proofErr w:type="gramEnd"/>
          <w:r>
            <w:rPr>
              <w:rFonts w:eastAsia="Times New Roman"/>
            </w:rPr>
            <w:t xml:space="preserve"> 2005. </w:t>
          </w:r>
        </w:p>
        <w:p w14:paraId="396D7F08" w14:textId="77777777" w:rsidR="004E0F26" w:rsidRDefault="004E0F26">
          <w:pPr>
            <w:divId w:val="2036345728"/>
            <w:rPr>
              <w:rFonts w:eastAsia="Times New Roman"/>
            </w:rPr>
          </w:pPr>
        </w:p>
        <w:p w14:paraId="38AF2F39" w14:textId="77777777" w:rsidR="004E0F26" w:rsidRDefault="004E0F26">
          <w:pPr>
            <w:divId w:val="400564886"/>
            <w:rPr>
              <w:rFonts w:eastAsia="Times New Roman"/>
            </w:rPr>
          </w:pPr>
          <w:r>
            <w:rPr>
              <w:rFonts w:eastAsia="Times New Roman"/>
            </w:rPr>
            <w:t xml:space="preserve">FAVARETO, A. A abordagem territorial do desenvolvimento rural - Mudança institucional ou “inovação por adição”? </w:t>
          </w:r>
          <w:r>
            <w:rPr>
              <w:rFonts w:eastAsia="Times New Roman"/>
              <w:b/>
              <w:bCs/>
            </w:rPr>
            <w:t xml:space="preserve">Estudos </w:t>
          </w:r>
          <w:proofErr w:type="spellStart"/>
          <w:r>
            <w:rPr>
              <w:rFonts w:eastAsia="Times New Roman"/>
              <w:b/>
              <w:bCs/>
            </w:rPr>
            <w:t>Avancados</w:t>
          </w:r>
          <w:proofErr w:type="spellEnd"/>
          <w:r>
            <w:rPr>
              <w:rFonts w:eastAsia="Times New Roman"/>
            </w:rPr>
            <w:t xml:space="preserve">, v. 24, n. 68, p. 299–319, 2010. </w:t>
          </w:r>
        </w:p>
        <w:p w14:paraId="33B364F7" w14:textId="77777777" w:rsidR="004E0F26" w:rsidRDefault="004E0F26">
          <w:pPr>
            <w:divId w:val="2036345728"/>
            <w:rPr>
              <w:rFonts w:eastAsia="Times New Roman"/>
            </w:rPr>
          </w:pPr>
        </w:p>
        <w:p w14:paraId="0435279C" w14:textId="77777777" w:rsidR="004E0F26" w:rsidRDefault="004E0F26">
          <w:pPr>
            <w:divId w:val="256402371"/>
            <w:rPr>
              <w:rFonts w:eastAsia="Times New Roman"/>
            </w:rPr>
          </w:pPr>
          <w:r>
            <w:rPr>
              <w:rFonts w:eastAsia="Times New Roman"/>
            </w:rPr>
            <w:t xml:space="preserve">FERNANDES, B. M. Sobre a tipologia de territórios. </w:t>
          </w:r>
          <w:r>
            <w:rPr>
              <w:rFonts w:eastAsia="Times New Roman"/>
              <w:b/>
              <w:bCs/>
            </w:rPr>
            <w:t>Territórios e territorialidades: teorias, processos e conflitos. São Paulo: Expressão Popular</w:t>
          </w:r>
          <w:r>
            <w:rPr>
              <w:rFonts w:eastAsia="Times New Roman"/>
            </w:rPr>
            <w:t xml:space="preserve">, n. 1973, p. 197, 2009. </w:t>
          </w:r>
        </w:p>
        <w:p w14:paraId="063D30EA" w14:textId="77777777" w:rsidR="004E0F26" w:rsidRDefault="004E0F26">
          <w:pPr>
            <w:divId w:val="2036345728"/>
            <w:rPr>
              <w:rFonts w:eastAsia="Times New Roman"/>
            </w:rPr>
          </w:pPr>
        </w:p>
        <w:p w14:paraId="748A3F0C" w14:textId="77777777" w:rsidR="004E0F26" w:rsidRDefault="004E0F26">
          <w:pPr>
            <w:divId w:val="1200775882"/>
            <w:rPr>
              <w:rFonts w:eastAsia="Times New Roman"/>
            </w:rPr>
          </w:pPr>
          <w:r>
            <w:rPr>
              <w:rFonts w:eastAsia="Times New Roman"/>
            </w:rPr>
            <w:t xml:space="preserve">NAVARRO, F. A.; WOODS, M.; CEJUDO, E. The LEADER </w:t>
          </w:r>
          <w:proofErr w:type="spellStart"/>
          <w:r>
            <w:rPr>
              <w:rFonts w:eastAsia="Times New Roman"/>
            </w:rPr>
            <w:t>Initiative</w:t>
          </w:r>
          <w:proofErr w:type="spellEnd"/>
          <w:r>
            <w:rPr>
              <w:rFonts w:eastAsia="Times New Roman"/>
            </w:rPr>
            <w:t xml:space="preserve"> </w:t>
          </w:r>
          <w:proofErr w:type="spellStart"/>
          <w:r>
            <w:rPr>
              <w:rFonts w:eastAsia="Times New Roman"/>
            </w:rPr>
            <w:t>has</w:t>
          </w:r>
          <w:proofErr w:type="spellEnd"/>
          <w:r>
            <w:rPr>
              <w:rFonts w:eastAsia="Times New Roman"/>
            </w:rPr>
            <w:t xml:space="preserve"> </w:t>
          </w:r>
          <w:proofErr w:type="spellStart"/>
          <w:r>
            <w:rPr>
              <w:rFonts w:eastAsia="Times New Roman"/>
            </w:rPr>
            <w:t>been</w:t>
          </w:r>
          <w:proofErr w:type="spellEnd"/>
          <w:r>
            <w:rPr>
              <w:rFonts w:eastAsia="Times New Roman"/>
            </w:rPr>
            <w:t xml:space="preserve"> a </w:t>
          </w:r>
          <w:proofErr w:type="spellStart"/>
          <w:r>
            <w:rPr>
              <w:rFonts w:eastAsia="Times New Roman"/>
            </w:rPr>
            <w:t>Victim</w:t>
          </w:r>
          <w:proofErr w:type="spellEnd"/>
          <w:r>
            <w:rPr>
              <w:rFonts w:eastAsia="Times New Roman"/>
            </w:rPr>
            <w:t xml:space="preserve"> </w:t>
          </w:r>
          <w:proofErr w:type="spellStart"/>
          <w:r>
            <w:rPr>
              <w:rFonts w:eastAsia="Times New Roman"/>
            </w:rPr>
            <w:t>of</w:t>
          </w:r>
          <w:proofErr w:type="spellEnd"/>
          <w:r>
            <w:rPr>
              <w:rFonts w:eastAsia="Times New Roman"/>
            </w:rPr>
            <w:t xml:space="preserve"> Its </w:t>
          </w:r>
          <w:proofErr w:type="spellStart"/>
          <w:r>
            <w:rPr>
              <w:rFonts w:eastAsia="Times New Roman"/>
            </w:rPr>
            <w:t>Own</w:t>
          </w:r>
          <w:proofErr w:type="spellEnd"/>
          <w:r>
            <w:rPr>
              <w:rFonts w:eastAsia="Times New Roman"/>
            </w:rPr>
            <w:t xml:space="preserve"> </w:t>
          </w:r>
          <w:proofErr w:type="spellStart"/>
          <w:r>
            <w:rPr>
              <w:rFonts w:eastAsia="Times New Roman"/>
            </w:rPr>
            <w:t>Success</w:t>
          </w:r>
          <w:proofErr w:type="spellEnd"/>
          <w:r>
            <w:rPr>
              <w:rFonts w:eastAsia="Times New Roman"/>
            </w:rPr>
            <w:t xml:space="preserve">. The Decline </w:t>
          </w:r>
          <w:proofErr w:type="spellStart"/>
          <w:r>
            <w:rPr>
              <w:rFonts w:eastAsia="Times New Roman"/>
            </w:rPr>
            <w:t>of</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Bottom-Up</w:t>
          </w:r>
          <w:proofErr w:type="spellEnd"/>
          <w:r>
            <w:rPr>
              <w:rFonts w:eastAsia="Times New Roman"/>
            </w:rPr>
            <w:t xml:space="preserve"> Approach in Rural </w:t>
          </w:r>
          <w:proofErr w:type="spellStart"/>
          <w:r>
            <w:rPr>
              <w:rFonts w:eastAsia="Times New Roman"/>
            </w:rPr>
            <w:t>Development</w:t>
          </w:r>
          <w:proofErr w:type="spellEnd"/>
          <w:r>
            <w:rPr>
              <w:rFonts w:eastAsia="Times New Roman"/>
            </w:rPr>
            <w:t xml:space="preserve"> </w:t>
          </w:r>
          <w:proofErr w:type="spellStart"/>
          <w:r>
            <w:rPr>
              <w:rFonts w:eastAsia="Times New Roman"/>
            </w:rPr>
            <w:t>Programmes</w:t>
          </w:r>
          <w:proofErr w:type="spellEnd"/>
          <w:r>
            <w:rPr>
              <w:rFonts w:eastAsia="Times New Roman"/>
            </w:rPr>
            <w:t xml:space="preserve">. The Cases </w:t>
          </w:r>
          <w:proofErr w:type="spellStart"/>
          <w:r>
            <w:rPr>
              <w:rFonts w:eastAsia="Times New Roman"/>
            </w:rPr>
            <w:t>of</w:t>
          </w:r>
          <w:proofErr w:type="spellEnd"/>
          <w:r>
            <w:rPr>
              <w:rFonts w:eastAsia="Times New Roman"/>
            </w:rPr>
            <w:t xml:space="preserve"> Wales </w:t>
          </w:r>
          <w:proofErr w:type="spellStart"/>
          <w:r>
            <w:rPr>
              <w:rFonts w:eastAsia="Times New Roman"/>
            </w:rPr>
            <w:t>and</w:t>
          </w:r>
          <w:proofErr w:type="spellEnd"/>
          <w:r>
            <w:rPr>
              <w:rFonts w:eastAsia="Times New Roman"/>
            </w:rPr>
            <w:t xml:space="preserve"> </w:t>
          </w:r>
          <w:proofErr w:type="spellStart"/>
          <w:r>
            <w:rPr>
              <w:rFonts w:eastAsia="Times New Roman"/>
            </w:rPr>
            <w:t>Andalusia</w:t>
          </w:r>
          <w:proofErr w:type="spellEnd"/>
          <w:r>
            <w:rPr>
              <w:rFonts w:eastAsia="Times New Roman"/>
            </w:rPr>
            <w:t xml:space="preserve">. </w:t>
          </w:r>
          <w:r>
            <w:rPr>
              <w:rFonts w:eastAsia="Times New Roman"/>
              <w:b/>
              <w:bCs/>
            </w:rPr>
            <w:t xml:space="preserve">Sociologia </w:t>
          </w:r>
          <w:proofErr w:type="spellStart"/>
          <w:r>
            <w:rPr>
              <w:rFonts w:eastAsia="Times New Roman"/>
              <w:b/>
              <w:bCs/>
            </w:rPr>
            <w:t>Ruralis</w:t>
          </w:r>
          <w:proofErr w:type="spellEnd"/>
          <w:r>
            <w:rPr>
              <w:rFonts w:eastAsia="Times New Roman"/>
            </w:rPr>
            <w:t xml:space="preserve">, v. 56, n. 2, p. 270–288, 2016. </w:t>
          </w:r>
        </w:p>
        <w:p w14:paraId="76A1987B" w14:textId="77777777" w:rsidR="004E0F26" w:rsidRDefault="004E0F26">
          <w:pPr>
            <w:divId w:val="2036345728"/>
            <w:rPr>
              <w:rFonts w:eastAsia="Times New Roman"/>
            </w:rPr>
          </w:pPr>
        </w:p>
        <w:p w14:paraId="3063A0E5" w14:textId="77777777" w:rsidR="004E0F26" w:rsidRDefault="004E0F26">
          <w:pPr>
            <w:divId w:val="242957798"/>
            <w:rPr>
              <w:rFonts w:eastAsia="Times New Roman"/>
            </w:rPr>
          </w:pPr>
          <w:r>
            <w:rPr>
              <w:rFonts w:eastAsia="Times New Roman"/>
            </w:rPr>
            <w:t xml:space="preserve">RAY, C. </w:t>
          </w:r>
          <w:proofErr w:type="spellStart"/>
          <w:r>
            <w:rPr>
              <w:rFonts w:eastAsia="Times New Roman"/>
            </w:rPr>
            <w:t>Endogenous</w:t>
          </w:r>
          <w:proofErr w:type="spellEnd"/>
          <w:r>
            <w:rPr>
              <w:rFonts w:eastAsia="Times New Roman"/>
            </w:rPr>
            <w:t xml:space="preserve"> </w:t>
          </w:r>
          <w:proofErr w:type="spellStart"/>
          <w:r>
            <w:rPr>
              <w:rFonts w:eastAsia="Times New Roman"/>
            </w:rPr>
            <w:t>socio-economic</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in </w:t>
          </w:r>
          <w:proofErr w:type="spellStart"/>
          <w:r>
            <w:rPr>
              <w:rFonts w:eastAsia="Times New Roman"/>
            </w:rPr>
            <w:t>the</w:t>
          </w:r>
          <w:proofErr w:type="spellEnd"/>
          <w:r>
            <w:rPr>
              <w:rFonts w:eastAsia="Times New Roman"/>
            </w:rPr>
            <w:t xml:space="preserve"> </w:t>
          </w:r>
          <w:proofErr w:type="spellStart"/>
          <w:r>
            <w:rPr>
              <w:rFonts w:eastAsia="Times New Roman"/>
            </w:rPr>
            <w:t>European</w:t>
          </w:r>
          <w:proofErr w:type="spellEnd"/>
          <w:r>
            <w:rPr>
              <w:rFonts w:eastAsia="Times New Roman"/>
            </w:rPr>
            <w:t xml:space="preserve"> </w:t>
          </w:r>
          <w:proofErr w:type="spellStart"/>
          <w:r>
            <w:rPr>
              <w:rFonts w:eastAsia="Times New Roman"/>
            </w:rPr>
            <w:t>union</w:t>
          </w:r>
          <w:proofErr w:type="spellEnd"/>
          <w:r>
            <w:rPr>
              <w:rFonts w:eastAsia="Times New Roman"/>
            </w:rPr>
            <w:t xml:space="preserve"> - </w:t>
          </w:r>
          <w:proofErr w:type="spellStart"/>
          <w:r>
            <w:rPr>
              <w:rFonts w:eastAsia="Times New Roman"/>
            </w:rPr>
            <w:t>Issues</w:t>
          </w:r>
          <w:proofErr w:type="spellEnd"/>
          <w:r>
            <w:rPr>
              <w:rFonts w:eastAsia="Times New Roman"/>
            </w:rPr>
            <w:t xml:space="preserve"> </w:t>
          </w:r>
          <w:proofErr w:type="spellStart"/>
          <w:r>
            <w:rPr>
              <w:rFonts w:eastAsia="Times New Roman"/>
            </w:rPr>
            <w:t>of</w:t>
          </w:r>
          <w:proofErr w:type="spellEnd"/>
          <w:r>
            <w:rPr>
              <w:rFonts w:eastAsia="Times New Roman"/>
            </w:rPr>
            <w:t xml:space="preserve"> </w:t>
          </w:r>
          <w:proofErr w:type="spellStart"/>
          <w:r>
            <w:rPr>
              <w:rFonts w:eastAsia="Times New Roman"/>
            </w:rPr>
            <w:t>evaluation</w:t>
          </w:r>
          <w:proofErr w:type="spellEnd"/>
          <w:r>
            <w:rPr>
              <w:rFonts w:eastAsia="Times New Roman"/>
            </w:rPr>
            <w:t xml:space="preserve">. </w:t>
          </w:r>
          <w:proofErr w:type="spellStart"/>
          <w:r>
            <w:rPr>
              <w:rFonts w:eastAsia="Times New Roman"/>
              <w:b/>
              <w:bCs/>
            </w:rPr>
            <w:t>Journal</w:t>
          </w:r>
          <w:proofErr w:type="spellEnd"/>
          <w:r>
            <w:rPr>
              <w:rFonts w:eastAsia="Times New Roman"/>
              <w:b/>
              <w:bCs/>
            </w:rPr>
            <w:t xml:space="preserve"> </w:t>
          </w:r>
          <w:proofErr w:type="spellStart"/>
          <w:r>
            <w:rPr>
              <w:rFonts w:eastAsia="Times New Roman"/>
              <w:b/>
              <w:bCs/>
            </w:rPr>
            <w:t>of</w:t>
          </w:r>
          <w:proofErr w:type="spellEnd"/>
          <w:r>
            <w:rPr>
              <w:rFonts w:eastAsia="Times New Roman"/>
              <w:b/>
              <w:bCs/>
            </w:rPr>
            <w:t xml:space="preserve"> Rural </w:t>
          </w:r>
          <w:proofErr w:type="spellStart"/>
          <w:r>
            <w:rPr>
              <w:rFonts w:eastAsia="Times New Roman"/>
              <w:b/>
              <w:bCs/>
            </w:rPr>
            <w:t>Studies</w:t>
          </w:r>
          <w:proofErr w:type="spellEnd"/>
          <w:r>
            <w:rPr>
              <w:rFonts w:eastAsia="Times New Roman"/>
            </w:rPr>
            <w:t xml:space="preserve">, v. 16, n. 4, p. 447–458, 2000. </w:t>
          </w:r>
        </w:p>
        <w:p w14:paraId="5A1BC6B5" w14:textId="79202E8E" w:rsidR="005F46F1" w:rsidRPr="00C4086A" w:rsidRDefault="004E0F26" w:rsidP="00C4086A">
          <w:pPr>
            <w:spacing w:line="360" w:lineRule="auto"/>
            <w:ind w:hanging="2"/>
            <w:jc w:val="both"/>
            <w:rPr>
              <w:rFonts w:eastAsia="Arial" w:cs="Arial"/>
              <w:b/>
              <w:color w:val="000000"/>
            </w:rPr>
          </w:pPr>
          <w:r>
            <w:rPr>
              <w:rFonts w:eastAsia="Times New Roman"/>
            </w:rPr>
            <w:t> </w:t>
          </w:r>
        </w:p>
      </w:sdtContent>
    </w:sdt>
    <w:sectPr w:rsidR="005F46F1" w:rsidRPr="00C4086A" w:rsidSect="0053021A">
      <w:footerReference w:type="default" r:id="rId1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338C9" w14:textId="77777777" w:rsidR="00C22C68" w:rsidRDefault="00C22C68" w:rsidP="0027518C">
      <w:r>
        <w:separator/>
      </w:r>
    </w:p>
  </w:endnote>
  <w:endnote w:type="continuationSeparator" w:id="0">
    <w:p w14:paraId="3E1B3D16" w14:textId="77777777" w:rsidR="00C22C68" w:rsidRDefault="00C22C68"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FA961" w14:textId="77777777" w:rsidR="00C22C68" w:rsidRDefault="00C22C68" w:rsidP="0027518C">
      <w:r>
        <w:separator/>
      </w:r>
    </w:p>
  </w:footnote>
  <w:footnote w:type="continuationSeparator" w:id="0">
    <w:p w14:paraId="6FC0D74F" w14:textId="77777777" w:rsidR="00C22C68" w:rsidRDefault="00C22C68" w:rsidP="0027518C">
      <w:r>
        <w:continuationSeparator/>
      </w:r>
    </w:p>
  </w:footnote>
  <w:footnote w:id="1">
    <w:p w14:paraId="6DBA78B4" w14:textId="7F37622E"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C4086A">
        <w:rPr>
          <w:rFonts w:ascii="Avenir Book" w:eastAsia="Arial" w:hAnsi="Avenir Book" w:cs="Arial"/>
        </w:rPr>
        <w:t>Faculdade de Engenharia Agrícola – FEAGRI, Universidade Estadual de Campinas - UNICAMP</w:t>
      </w:r>
      <w:r w:rsidRPr="0018293E">
        <w:rPr>
          <w:rFonts w:ascii="Avenir Book" w:eastAsia="Arial" w:hAnsi="Avenir Book" w:cs="Arial"/>
        </w:rPr>
        <w:t>,</w:t>
      </w:r>
      <w:r w:rsidR="00AC0C10">
        <w:rPr>
          <w:rFonts w:ascii="Avenir Book" w:eastAsia="Arial" w:hAnsi="Avenir Book" w:cs="Arial"/>
        </w:rPr>
        <w:t xml:space="preserve"> Laboratório de Extensão Rural e Agroecologia – LERA:</w:t>
      </w:r>
      <w:r w:rsidRPr="0018293E">
        <w:rPr>
          <w:rFonts w:ascii="Avenir Book" w:eastAsia="Arial" w:hAnsi="Avenir Book" w:cs="Arial"/>
        </w:rPr>
        <w:t xml:space="preserve"> </w:t>
      </w:r>
      <w:hyperlink r:id="rId1" w:history="1">
        <w:r w:rsidR="00AC0C10" w:rsidRPr="003E2B25">
          <w:rPr>
            <w:rStyle w:val="Hyperlink"/>
            <w:rFonts w:ascii="Avenir Book" w:eastAsia="Arial" w:hAnsi="Avenir Book" w:cs="Arial"/>
          </w:rPr>
          <w:t>wolney.antunes@gmail.com</w:t>
        </w:r>
      </w:hyperlink>
    </w:p>
  </w:footnote>
  <w:footnote w:id="2">
    <w:p w14:paraId="25B57293" w14:textId="2F37AC5E"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AC0C10">
        <w:rPr>
          <w:rFonts w:ascii="Avenir Book" w:eastAsia="Arial" w:hAnsi="Avenir Book" w:cs="Arial"/>
        </w:rPr>
        <w:t>Faculdade de Engenharia Agrícola – FEAGRI, Universidade Estadual de Campinas - UNICAMP</w:t>
      </w:r>
      <w:r w:rsidR="00AC0C10" w:rsidRPr="0018293E">
        <w:rPr>
          <w:rFonts w:ascii="Avenir Book" w:eastAsia="Arial" w:hAnsi="Avenir Book" w:cs="Arial"/>
        </w:rPr>
        <w:t>,</w:t>
      </w:r>
      <w:r w:rsidR="00AC0C10">
        <w:rPr>
          <w:rFonts w:ascii="Avenir Book" w:eastAsia="Arial" w:hAnsi="Avenir Book" w:cs="Arial"/>
        </w:rPr>
        <w:t xml:space="preserve"> Laboratório de Extensão Rural e Agroecologia – LERA:</w:t>
      </w:r>
      <w:r w:rsidRPr="0018293E">
        <w:rPr>
          <w:rFonts w:ascii="Avenir Book" w:eastAsia="Arial" w:hAnsi="Avenir Book" w:cs="Arial"/>
        </w:rPr>
        <w:t xml:space="preserve"> </w:t>
      </w:r>
      <w:hyperlink r:id="rId2" w:history="1">
        <w:r w:rsidR="00AC0C10" w:rsidRPr="003E2B25">
          <w:rPr>
            <w:rStyle w:val="Hyperlink"/>
            <w:rFonts w:ascii="Avenir Book" w:eastAsia="Arial" w:hAnsi="Avenir Book" w:cs="Arial"/>
          </w:rPr>
          <w:t>vanilde@unicamp.</w:t>
        </w:r>
      </w:hyperlink>
      <w:r w:rsidR="00AC0C10">
        <w:rPr>
          <w:rFonts w:ascii="Avenir Book" w:eastAsia="Arial" w:hAnsi="Avenir Book" w:cs="Arial"/>
          <w:color w:val="0563C1"/>
          <w:u w:val="single"/>
        </w:rPr>
        <w:t>br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027F9"/>
    <w:rsid w:val="00024E02"/>
    <w:rsid w:val="000A257D"/>
    <w:rsid w:val="000F6935"/>
    <w:rsid w:val="00154B9F"/>
    <w:rsid w:val="00166087"/>
    <w:rsid w:val="001942E4"/>
    <w:rsid w:val="00216EFF"/>
    <w:rsid w:val="0027518C"/>
    <w:rsid w:val="00295FBE"/>
    <w:rsid w:val="002B2423"/>
    <w:rsid w:val="00312CA2"/>
    <w:rsid w:val="003222FF"/>
    <w:rsid w:val="0032276F"/>
    <w:rsid w:val="0032757F"/>
    <w:rsid w:val="003E27D9"/>
    <w:rsid w:val="00457C6C"/>
    <w:rsid w:val="004906DE"/>
    <w:rsid w:val="004E0F26"/>
    <w:rsid w:val="00507B98"/>
    <w:rsid w:val="0053021A"/>
    <w:rsid w:val="005F46F1"/>
    <w:rsid w:val="0060111B"/>
    <w:rsid w:val="00634370"/>
    <w:rsid w:val="00680A10"/>
    <w:rsid w:val="00692EEB"/>
    <w:rsid w:val="006D131E"/>
    <w:rsid w:val="00701A44"/>
    <w:rsid w:val="00733AFB"/>
    <w:rsid w:val="00757F24"/>
    <w:rsid w:val="00827522"/>
    <w:rsid w:val="00853197"/>
    <w:rsid w:val="00866F09"/>
    <w:rsid w:val="008C690B"/>
    <w:rsid w:val="008E7A76"/>
    <w:rsid w:val="009457BB"/>
    <w:rsid w:val="00974379"/>
    <w:rsid w:val="0099244D"/>
    <w:rsid w:val="009B4BD9"/>
    <w:rsid w:val="00A10086"/>
    <w:rsid w:val="00A35F4D"/>
    <w:rsid w:val="00A362B3"/>
    <w:rsid w:val="00AC0C10"/>
    <w:rsid w:val="00B23382"/>
    <w:rsid w:val="00B61734"/>
    <w:rsid w:val="00C22C68"/>
    <w:rsid w:val="00C4086A"/>
    <w:rsid w:val="00CB4A13"/>
    <w:rsid w:val="00D31A9F"/>
    <w:rsid w:val="00D46408"/>
    <w:rsid w:val="00E13197"/>
    <w:rsid w:val="00E32F8D"/>
    <w:rsid w:val="00E567AD"/>
    <w:rsid w:val="00EF4A36"/>
    <w:rsid w:val="00F471C6"/>
    <w:rsid w:val="00F51E79"/>
    <w:rsid w:val="00F7547D"/>
    <w:rsid w:val="00FE27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AC0C10"/>
    <w:rPr>
      <w:color w:val="467886" w:themeColor="hyperlink"/>
      <w:u w:val="single"/>
    </w:rPr>
  </w:style>
  <w:style w:type="character" w:styleId="MenoPendente">
    <w:name w:val="Unresolved Mention"/>
    <w:basedOn w:val="Fontepargpadro"/>
    <w:uiPriority w:val="99"/>
    <w:semiHidden/>
    <w:unhideWhenUsed/>
    <w:rsid w:val="00AC0C10"/>
    <w:rPr>
      <w:color w:val="605E5C"/>
      <w:shd w:val="clear" w:color="auto" w:fill="E1DFDD"/>
    </w:rPr>
  </w:style>
  <w:style w:type="character" w:styleId="TextodoEspaoReservado">
    <w:name w:val="Placeholder Text"/>
    <w:basedOn w:val="Fontepargpadro"/>
    <w:uiPriority w:val="99"/>
    <w:semiHidden/>
    <w:rsid w:val="0085319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3131">
      <w:bodyDiv w:val="1"/>
      <w:marLeft w:val="0"/>
      <w:marRight w:val="0"/>
      <w:marTop w:val="0"/>
      <w:marBottom w:val="0"/>
      <w:divBdr>
        <w:top w:val="none" w:sz="0" w:space="0" w:color="auto"/>
        <w:left w:val="none" w:sz="0" w:space="0" w:color="auto"/>
        <w:bottom w:val="none" w:sz="0" w:space="0" w:color="auto"/>
        <w:right w:val="none" w:sz="0" w:space="0" w:color="auto"/>
      </w:divBdr>
    </w:div>
    <w:div w:id="311952616">
      <w:bodyDiv w:val="1"/>
      <w:marLeft w:val="0"/>
      <w:marRight w:val="0"/>
      <w:marTop w:val="0"/>
      <w:marBottom w:val="0"/>
      <w:divBdr>
        <w:top w:val="none" w:sz="0" w:space="0" w:color="auto"/>
        <w:left w:val="none" w:sz="0" w:space="0" w:color="auto"/>
        <w:bottom w:val="none" w:sz="0" w:space="0" w:color="auto"/>
        <w:right w:val="none" w:sz="0" w:space="0" w:color="auto"/>
      </w:divBdr>
    </w:div>
    <w:div w:id="356320265">
      <w:bodyDiv w:val="1"/>
      <w:marLeft w:val="0"/>
      <w:marRight w:val="0"/>
      <w:marTop w:val="0"/>
      <w:marBottom w:val="0"/>
      <w:divBdr>
        <w:top w:val="none" w:sz="0" w:space="0" w:color="auto"/>
        <w:left w:val="none" w:sz="0" w:space="0" w:color="auto"/>
        <w:bottom w:val="none" w:sz="0" w:space="0" w:color="auto"/>
        <w:right w:val="none" w:sz="0" w:space="0" w:color="auto"/>
      </w:divBdr>
    </w:div>
    <w:div w:id="526143868">
      <w:bodyDiv w:val="1"/>
      <w:marLeft w:val="0"/>
      <w:marRight w:val="0"/>
      <w:marTop w:val="0"/>
      <w:marBottom w:val="0"/>
      <w:divBdr>
        <w:top w:val="none" w:sz="0" w:space="0" w:color="auto"/>
        <w:left w:val="none" w:sz="0" w:space="0" w:color="auto"/>
        <w:bottom w:val="none" w:sz="0" w:space="0" w:color="auto"/>
        <w:right w:val="none" w:sz="0" w:space="0" w:color="auto"/>
      </w:divBdr>
    </w:div>
    <w:div w:id="1546327145">
      <w:bodyDiv w:val="1"/>
      <w:marLeft w:val="0"/>
      <w:marRight w:val="0"/>
      <w:marTop w:val="0"/>
      <w:marBottom w:val="0"/>
      <w:divBdr>
        <w:top w:val="none" w:sz="0" w:space="0" w:color="auto"/>
        <w:left w:val="none" w:sz="0" w:space="0" w:color="auto"/>
        <w:bottom w:val="none" w:sz="0" w:space="0" w:color="auto"/>
        <w:right w:val="none" w:sz="0" w:space="0" w:color="auto"/>
      </w:divBdr>
    </w:div>
    <w:div w:id="1563099581">
      <w:bodyDiv w:val="1"/>
      <w:marLeft w:val="0"/>
      <w:marRight w:val="0"/>
      <w:marTop w:val="0"/>
      <w:marBottom w:val="0"/>
      <w:divBdr>
        <w:top w:val="none" w:sz="0" w:space="0" w:color="auto"/>
        <w:left w:val="none" w:sz="0" w:space="0" w:color="auto"/>
        <w:bottom w:val="none" w:sz="0" w:space="0" w:color="auto"/>
        <w:right w:val="none" w:sz="0" w:space="0" w:color="auto"/>
      </w:divBdr>
      <w:divsChild>
        <w:div w:id="1276138176">
          <w:marLeft w:val="0"/>
          <w:marRight w:val="0"/>
          <w:marTop w:val="0"/>
          <w:marBottom w:val="0"/>
          <w:divBdr>
            <w:top w:val="none" w:sz="0" w:space="0" w:color="auto"/>
            <w:left w:val="none" w:sz="0" w:space="0" w:color="auto"/>
            <w:bottom w:val="none" w:sz="0" w:space="0" w:color="auto"/>
            <w:right w:val="none" w:sz="0" w:space="0" w:color="auto"/>
          </w:divBdr>
        </w:div>
        <w:div w:id="1231577958">
          <w:marLeft w:val="0"/>
          <w:marRight w:val="0"/>
          <w:marTop w:val="0"/>
          <w:marBottom w:val="0"/>
          <w:divBdr>
            <w:top w:val="none" w:sz="0" w:space="0" w:color="auto"/>
            <w:left w:val="none" w:sz="0" w:space="0" w:color="auto"/>
            <w:bottom w:val="none" w:sz="0" w:space="0" w:color="auto"/>
            <w:right w:val="none" w:sz="0" w:space="0" w:color="auto"/>
          </w:divBdr>
        </w:div>
        <w:div w:id="14699889">
          <w:marLeft w:val="0"/>
          <w:marRight w:val="0"/>
          <w:marTop w:val="0"/>
          <w:marBottom w:val="0"/>
          <w:divBdr>
            <w:top w:val="none" w:sz="0" w:space="0" w:color="auto"/>
            <w:left w:val="none" w:sz="0" w:space="0" w:color="auto"/>
            <w:bottom w:val="none" w:sz="0" w:space="0" w:color="auto"/>
            <w:right w:val="none" w:sz="0" w:space="0" w:color="auto"/>
          </w:divBdr>
        </w:div>
        <w:div w:id="2010673052">
          <w:marLeft w:val="0"/>
          <w:marRight w:val="0"/>
          <w:marTop w:val="0"/>
          <w:marBottom w:val="0"/>
          <w:divBdr>
            <w:top w:val="none" w:sz="0" w:space="0" w:color="auto"/>
            <w:left w:val="none" w:sz="0" w:space="0" w:color="auto"/>
            <w:bottom w:val="none" w:sz="0" w:space="0" w:color="auto"/>
            <w:right w:val="none" w:sz="0" w:space="0" w:color="auto"/>
          </w:divBdr>
        </w:div>
        <w:div w:id="346099604">
          <w:marLeft w:val="0"/>
          <w:marRight w:val="0"/>
          <w:marTop w:val="0"/>
          <w:marBottom w:val="0"/>
          <w:divBdr>
            <w:top w:val="none" w:sz="0" w:space="0" w:color="auto"/>
            <w:left w:val="none" w:sz="0" w:space="0" w:color="auto"/>
            <w:bottom w:val="none" w:sz="0" w:space="0" w:color="auto"/>
            <w:right w:val="none" w:sz="0" w:space="0" w:color="auto"/>
          </w:divBdr>
        </w:div>
        <w:div w:id="1278559395">
          <w:marLeft w:val="0"/>
          <w:marRight w:val="0"/>
          <w:marTop w:val="0"/>
          <w:marBottom w:val="0"/>
          <w:divBdr>
            <w:top w:val="none" w:sz="0" w:space="0" w:color="auto"/>
            <w:left w:val="none" w:sz="0" w:space="0" w:color="auto"/>
            <w:bottom w:val="none" w:sz="0" w:space="0" w:color="auto"/>
            <w:right w:val="none" w:sz="0" w:space="0" w:color="auto"/>
          </w:divBdr>
        </w:div>
        <w:div w:id="523636141">
          <w:marLeft w:val="0"/>
          <w:marRight w:val="0"/>
          <w:marTop w:val="0"/>
          <w:marBottom w:val="0"/>
          <w:divBdr>
            <w:top w:val="none" w:sz="0" w:space="0" w:color="auto"/>
            <w:left w:val="none" w:sz="0" w:space="0" w:color="auto"/>
            <w:bottom w:val="none" w:sz="0" w:space="0" w:color="auto"/>
            <w:right w:val="none" w:sz="0" w:space="0" w:color="auto"/>
          </w:divBdr>
        </w:div>
        <w:div w:id="1684360249">
          <w:marLeft w:val="0"/>
          <w:marRight w:val="0"/>
          <w:marTop w:val="0"/>
          <w:marBottom w:val="0"/>
          <w:divBdr>
            <w:top w:val="none" w:sz="0" w:space="0" w:color="auto"/>
            <w:left w:val="none" w:sz="0" w:space="0" w:color="auto"/>
            <w:bottom w:val="none" w:sz="0" w:space="0" w:color="auto"/>
            <w:right w:val="none" w:sz="0" w:space="0" w:color="auto"/>
          </w:divBdr>
        </w:div>
      </w:divsChild>
    </w:div>
    <w:div w:id="1720787896">
      <w:bodyDiv w:val="1"/>
      <w:marLeft w:val="0"/>
      <w:marRight w:val="0"/>
      <w:marTop w:val="0"/>
      <w:marBottom w:val="0"/>
      <w:divBdr>
        <w:top w:val="none" w:sz="0" w:space="0" w:color="auto"/>
        <w:left w:val="none" w:sz="0" w:space="0" w:color="auto"/>
        <w:bottom w:val="none" w:sz="0" w:space="0" w:color="auto"/>
        <w:right w:val="none" w:sz="0" w:space="0" w:color="auto"/>
      </w:divBdr>
    </w:div>
    <w:div w:id="2036345728">
      <w:bodyDiv w:val="1"/>
      <w:marLeft w:val="0"/>
      <w:marRight w:val="0"/>
      <w:marTop w:val="0"/>
      <w:marBottom w:val="0"/>
      <w:divBdr>
        <w:top w:val="none" w:sz="0" w:space="0" w:color="auto"/>
        <w:left w:val="none" w:sz="0" w:space="0" w:color="auto"/>
        <w:bottom w:val="none" w:sz="0" w:space="0" w:color="auto"/>
        <w:right w:val="none" w:sz="0" w:space="0" w:color="auto"/>
      </w:divBdr>
      <w:divsChild>
        <w:div w:id="252209078">
          <w:marLeft w:val="0"/>
          <w:marRight w:val="0"/>
          <w:marTop w:val="0"/>
          <w:marBottom w:val="0"/>
          <w:divBdr>
            <w:top w:val="none" w:sz="0" w:space="0" w:color="auto"/>
            <w:left w:val="none" w:sz="0" w:space="0" w:color="auto"/>
            <w:bottom w:val="none" w:sz="0" w:space="0" w:color="auto"/>
            <w:right w:val="none" w:sz="0" w:space="0" w:color="auto"/>
          </w:divBdr>
        </w:div>
        <w:div w:id="1152793639">
          <w:marLeft w:val="0"/>
          <w:marRight w:val="0"/>
          <w:marTop w:val="0"/>
          <w:marBottom w:val="0"/>
          <w:divBdr>
            <w:top w:val="none" w:sz="0" w:space="0" w:color="auto"/>
            <w:left w:val="none" w:sz="0" w:space="0" w:color="auto"/>
            <w:bottom w:val="none" w:sz="0" w:space="0" w:color="auto"/>
            <w:right w:val="none" w:sz="0" w:space="0" w:color="auto"/>
          </w:divBdr>
        </w:div>
        <w:div w:id="1012952418">
          <w:marLeft w:val="0"/>
          <w:marRight w:val="0"/>
          <w:marTop w:val="0"/>
          <w:marBottom w:val="0"/>
          <w:divBdr>
            <w:top w:val="none" w:sz="0" w:space="0" w:color="auto"/>
            <w:left w:val="none" w:sz="0" w:space="0" w:color="auto"/>
            <w:bottom w:val="none" w:sz="0" w:space="0" w:color="auto"/>
            <w:right w:val="none" w:sz="0" w:space="0" w:color="auto"/>
          </w:divBdr>
        </w:div>
        <w:div w:id="1064723627">
          <w:marLeft w:val="0"/>
          <w:marRight w:val="0"/>
          <w:marTop w:val="0"/>
          <w:marBottom w:val="0"/>
          <w:divBdr>
            <w:top w:val="none" w:sz="0" w:space="0" w:color="auto"/>
            <w:left w:val="none" w:sz="0" w:space="0" w:color="auto"/>
            <w:bottom w:val="none" w:sz="0" w:space="0" w:color="auto"/>
            <w:right w:val="none" w:sz="0" w:space="0" w:color="auto"/>
          </w:divBdr>
        </w:div>
        <w:div w:id="400564886">
          <w:marLeft w:val="0"/>
          <w:marRight w:val="0"/>
          <w:marTop w:val="0"/>
          <w:marBottom w:val="0"/>
          <w:divBdr>
            <w:top w:val="none" w:sz="0" w:space="0" w:color="auto"/>
            <w:left w:val="none" w:sz="0" w:space="0" w:color="auto"/>
            <w:bottom w:val="none" w:sz="0" w:space="0" w:color="auto"/>
            <w:right w:val="none" w:sz="0" w:space="0" w:color="auto"/>
          </w:divBdr>
        </w:div>
        <w:div w:id="256402371">
          <w:marLeft w:val="0"/>
          <w:marRight w:val="0"/>
          <w:marTop w:val="0"/>
          <w:marBottom w:val="0"/>
          <w:divBdr>
            <w:top w:val="none" w:sz="0" w:space="0" w:color="auto"/>
            <w:left w:val="none" w:sz="0" w:space="0" w:color="auto"/>
            <w:bottom w:val="none" w:sz="0" w:space="0" w:color="auto"/>
            <w:right w:val="none" w:sz="0" w:space="0" w:color="auto"/>
          </w:divBdr>
        </w:div>
        <w:div w:id="1200775882">
          <w:marLeft w:val="0"/>
          <w:marRight w:val="0"/>
          <w:marTop w:val="0"/>
          <w:marBottom w:val="0"/>
          <w:divBdr>
            <w:top w:val="none" w:sz="0" w:space="0" w:color="auto"/>
            <w:left w:val="none" w:sz="0" w:space="0" w:color="auto"/>
            <w:bottom w:val="none" w:sz="0" w:space="0" w:color="auto"/>
            <w:right w:val="none" w:sz="0" w:space="0" w:color="auto"/>
          </w:divBdr>
        </w:div>
        <w:div w:id="242957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mailto:vanilde@unicamp." TargetMode="External"/><Relationship Id="rId1" Type="http://schemas.openxmlformats.org/officeDocument/2006/relationships/hyperlink" Target="mailto:wolney.antunes@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5B1276BA-BEE5-4919-B090-2DDE0729C7C7}"/>
      </w:docPartPr>
      <w:docPartBody>
        <w:p w:rsidR="00000000" w:rsidRDefault="008C591E">
          <w:r w:rsidRPr="00215291">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1E"/>
    <w:rsid w:val="000A257D"/>
    <w:rsid w:val="0064510E"/>
    <w:rsid w:val="008C59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591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0D979F-F969-458F-91AB-EC54C2FFAF20}">
  <we:reference id="wa104382081" version="1.55.1.0" store="pt-PT" storeType="OMEX"/>
  <we:alternateReferences>
    <we:reference id="WA104382081" version="1.55.1.0" store="" storeType="OMEX"/>
  </we:alternateReferences>
  <we:properties>
    <we:property name="MENDELEY_CITATIONS" value="[{&quot;citationID&quot;:&quot;MENDELEY_CITATION_859c05c7-07c1-498f-99e9-b0abed7df0f0&quot;,&quot;properties&quot;:{&quot;noteIndex&quot;:0},&quot;isEdited&quot;:false,&quot;manualOverride&quot;:{&quot;isManuallyOverridden&quot;:false,&quot;citeprocText&quot;:&quot;(ANTUNES JUNIOR; BORSATTO; SOUZA-ESQUERDO, 2021)&quot;,&quot;manualOverrideText&quot;:&quot;&quot;},&quot;citationTag&quot;:&quot;MENDELEY_CITATION_v3_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&quot;,&quot;citationItems&quot;:[{&quot;id&quot;:&quot;7c8ee536-dd24-3f3e-8d74-1b2f14edca8a&quot;,&quot;itemData&quot;:{&quot;type&quot;:&quot;article-journal&quot;,&quot;id&quot;:&quot;7c8ee536-dd24-3f3e-8d74-1b2f14edca8a&quot;,&quot;title&quot;:&quot;Why is it so difficult to promote territorial development through public policies ? The obstacles faced by a Brazilian experience&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de&quot;,&quot;non-dropping-particle&quot;:&quot;&quot;}],&quot;container-title&quot;:&quot;World Development Perspectives&quot;,&quot;container-title-short&quot;:&quot;World Dev Perspect&quot;,&quot;DOI&quot;:&quot;10.1016/j.wdp.2021.100367&quot;,&quot;ISSN&quot;:&quot;2452-2929&quot;,&quot;URL&quot;:&quot;https://doi.org/10.1016/j.wdp.2021.100367&quot;,&quot;issued&quot;:{&quot;date-parts&quot;:[[2021]]},&quot;page&quot;:&quot;100367&quot;,&quot;publisher&quot;:&quot;Elsevier Ltd&quot;,&quot;issue&quot;:&quot;December&quot;,&quot;volume&quot;:&quot;24&quot;},&quot;isTemporary&quot;:false}]},{&quot;citationID&quot;:&quot;MENDELEY_CITATION_250c2460-2aab-44f8-a3fa-6b0006599e2b&quot;,&quot;properties&quot;:{&quot;noteIndex&quot;:0},&quot;isEdited&quot;:false,&quot;manualOverride&quot;:{&quot;isManuallyOverridden&quot;:true,&quot;citeprocText&quot;:&quot;(ANTUNES JUNIOR; BORSATTO; DE SOUZA-ESQUERDO, 2024)&quot;,&quot;manualOverrideText&quot;:&quot;(ANTUNES JUNIOR; BORSATTO; SOUZA-ESQUERDO, 2024).&quot;},&quot;citationTag&quot;:&quot;MENDELEY_CITATION_v3_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&quot;,&quot;citationItems&quot;:[{&quot;id&quot;:&quot;86f490d5-dff8-3915-a63b-0df28ce2f17a&quot;,&quot;itemData&quot;:{&quot;type&quot;:&quot;article-journal&quot;,&quot;id&quot;:&quot;86f490d5-dff8-3915-a63b-0df28ce2f17a&quot;,&quot;title&quot;:&quot;“Spaces of Inclusion” in territorial governance: the legacy of Brazilian territorial development policies in the empowerment of smallholder farming&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quot;,&quot;non-dropping-particle&quot;:&quot;de&quot;}],&quot;container-title&quot;:&quot;Journal of Social and Economic Development&quot;,&quot;DOI&quot;:&quot;10.1007/s40847-024-00330-y&quot;,&quot;ISSN&quot;:&quot;21996873&quot;,&quot;issued&quot;:{&quot;date-parts&quot;:[[2024]]},&quot;abstract&quot;:&quot;This study aims to assess the impact of Brazilian programs focused on promoting territorial development in strengthening historically marginalized social groups, specifically family farming, within the framework of territorial governance. Drawing on the theoretical framework of territorial governance and institutional arrangements, we empirically analyze a significant Brazilian experience. Our findings demonstrate that the series of Brazilian territorial development programs resulted in valuable social and institutional learning experiences, effectively organizing family farming organizations and enhancing their agency within negotiation arenas within the territory. We argue for the necessity of affirmative measures and structural reform policies within the scope of territorial governance.&quot;,&quot;publisher&quot;:&quot;Springer&quot;,&quot;container-title-short&quot;:&quot;&quot;},&quot;isTemporary&quot;:false}]},{&quot;citationID&quot;:&quot;MENDELEY_CITATION_29437f8c-576d-47fa-80ec-eae42cf99d8d&quot;,&quot;properties&quot;:{&quot;noteIndex&quot;:0},&quot;isEdited&quot;:false,&quot;manualOverride&quot;:{&quot;isManuallyOverridden&quot;:false,&quot;citeprocText&quot;:&quot;(FERNANDES, 2009)&quot;,&quot;manualOverrideText&quot;:&quot;&quot;},&quot;citationTag&quot;:&quot;MENDELEY_CITATION_v3_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&quot;,&quot;citationItems&quot;:[{&quot;id&quot;:&quot;3cf6ebde-59df-3af6-a33c-2d511f676c1e&quot;,&quot;itemData&quot;:{&quot;type&quot;:&quot;article-journal&quot;,&quot;id&quot;:&quot;3cf6ebde-59df-3af6-a33c-2d511f676c1e&quot;,&quot;title&quot;:&quot;Sobre a tipologia de territórios&quot;,&quot;author&quot;:[{&quot;family&quot;:&quot;Fernandes&quot;,&quot;given&quot;:&quot;Bernardo Mançano&quot;,&quot;parse-names&quot;:false,&quot;dropping-particle&quot;:&quot;&quot;,&quot;non-dropping-particle&quot;:&quot;&quot;}],&quot;container-title&quot;:&quot;Territórios e territorialidades: teorias, processos e conflitos. São Paulo: Expressão Popular&quot;,&quot;ISBN&quot;:&quot;978-85-7743-101-4&quot;,&quot;issued&quot;:{&quot;date-parts&quot;:[[2009]]},&quot;page&quot;:&quot;197&quot;,&quot;abstract&quot;:&quot;es un ensayo o propuest apara pensar tipologias de territorios. Su propusta, plantea la necesidad de pensar la multiescaridad y la multidimecionalidad como herramientas para pensar las tipologias, pero termina en tres tipos: Territorio como espacios de gobierno, Los territorios segun tipos de la propiedad sobre la tierra (privados, cumunitarios, colectivos) y Los territorios construidos por las relaciones sociales. Este tersero aparece como algo etereo en lo que cabe cualquier perspectiva&quot;,&quot;issue&quot;:&quot;1973&quot;,&quot;container-title-short&quot;:&quot;&quot;},&quot;isTemporary&quot;:false}]},{&quot;citationID&quot;:&quot;MENDELEY_CITATION_bdac8f5b-3b9c-4753-bdf9-98cff803991f&quot;,&quot;properties&quot;:{&quot;noteIndex&quot;:0},&quot;isEdited&quot;:false,&quot;manualOverride&quot;:{&quot;isManuallyOverridden&quot;:false,&quot;citeprocText&quot;:&quot;(BRASIL, 2005; FAVARETO, 2010)&quot;,&quot;manualOverrideText&quot;:&quot;&quot;},&quot;citationTag&quot;:&quot;MENDELEY_CITATION_v3_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&quot;,&quot;citationItems&quot;:[{&quot;id&quot;:&quot;9621db2d-a17f-3360-ac7d-d75849719966&quot;,&quot;itemData&quot;:{&quot;type&quot;:&quot;article&quot;,&quot;id&quot;:&quot;9621db2d-a17f-3360-ac7d-d75849719966&quot;,&quot;title&quot;:&quot;Marco Referencial para Apoio ao Desenvolvimento de Territórios Rurais&quot;,&quot;author&quot;:[{&quot;family&quot;:&quot;BRASIL&quot;,&quot;given&quot;:&quot;&quot;,&quot;parse-names&quot;:false,&quot;dropping-particle&quot;:&quot;&quot;,&quot;non-dropping-particle&quot;:&quot;&quot;}],&quot;container-title&quot;:&quot;Série Documentos Institucionais 02-2005&quot;,&quot;issued&quot;:{&quot;date-parts&quot;:[[2005]]},&quot;publisher-place&quot;:&quot;Brasília&quot;,&quot;page&quot;:&quot;1-9&quot;,&quot;publisher&quot;:&quot;Ministério de Desenvolvimento Agrário - MDA&quot;,&quot;container-title-short&quot;:&quot;&quot;},&quot;isTemporary&quot;:false},{&quot;id&quot;:&quot;0695625d-dba3-33c2-ae31-8a1bf3e35546&quot;,&quot;itemData&quot;:{&quot;type&quot;:&quot;article-journal&quot;,&quot;id&quot;:&quot;0695625d-dba3-33c2-ae31-8a1bf3e35546&quot;,&quot;title&quot;:&quot;A abordagem territorial do desenvolvimento rural - Mudança institucional ou \&quot;inovação por adição\&quot;?&quot;,&quot;author&quot;:[{&quot;family&quot;:&quot;Favareto&quot;,&quot;given&quot;:&quot;Arilson&quot;,&quot;parse-names&quot;:false,&quot;dropping-particle&quot;:&quot;&quot;,&quot;non-dropping-particle&quot;:&quot;&quot;}],&quot;container-title&quot;:&quot;Estudos Avancados&quot;,&quot;DOI&quot;:&quot;10.1590/s0103-40142010000100021&quot;,&quot;ISSN&quot;:&quot;01034014&quot;,&quot;issued&quot;:{&quot;date-parts&quot;:[[2010]]},&quot;page&quot;:&quot;299-319&quot;,&quot;abstract&quot;:&quot;While the rise of the category \&quot;family farming\&quot; was a feature in the 90́s for academic debate and for public policies, the same happens at the present decade with the so called \&quot;territorial approach\&quot; to rural development. The meanings of this new way to conceive the destiny of rural spaces and the policies to rural development have been studied by different authors. This article aims at to broach one aspect less emphasized in the literature: to know if the adoption of such approach is a process of institutional change or a process of simple addition of a new term to the vocabulary of planners, without the creation of new institutions capable to support an actual new conception. This second perspective offers the content to our hypothesis and it can be summarized by the following statement: the introduction of the \&quot;territorial approach\&quot; is an innovation added to the institutional environment of public policies in a typical process of path dependence, with the remaining of some elements concerning the old vision of rural development. The article brings a brief history of how such approach is adopted by multilateral organizations originating the \&quot;new vision to rural development\&quot; and how this \&quot;new vision\&quot; is transformed when adopted by Latin-American countries. Under a theoretical point of view, the article discusses the limits of the explaining about institutional change provided by the new institutional economics, offering an alternative vision based on the idea of embeddedness of institutional change.&quot;,&quot;issue&quot;:&quot;68&quot;,&quot;volume&quot;:&quot;24&quot;,&quot;container-title-short&quot;:&quot;&quot;},&quot;isTemporary&quot;:false}]},{&quot;citationID&quot;:&quot;MENDELEY_CITATION_4e25950d-df84-4d49-9389-139863949eef&quot;,&quot;properties&quot;:{&quot;noteIndex&quot;:0},&quot;isEdited&quot;:false,&quot;manualOverride&quot;:{&quot;isManuallyOverridden&quot;:false,&quot;citeprocText&quot;:&quot;(NAVARRO; WOODS; CEJUDO, 2016; RAY, 2000)&quot;,&quot;manualOverrideText&quot;:&quot;&quot;},&quot;citationTag&quot;:&quot;MENDELEY_CITATION_v3_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&quot;,&quot;citationItems&quot;:[{&quot;id&quot;:&quot;d0097ba3-76c1-3f09-8222-6b30ab7268b4&quot;,&quot;itemData&quot;:{&quot;type&quot;:&quot;article-journal&quot;,&quot;id&quot;:&quot;d0097ba3-76c1-3f09-8222-6b30ab7268b4&quot;,&quot;title&quot;:&quot;Endogenous socio-economic development in the European union - Issues of evaluation&quot;,&quot;author&quot;:[{&quot;family&quot;:&quot;Ray&quot;,&quot;given&quot;:&quot;Christopher&quot;,&quot;parse-names&quot;:false,&quot;dropping-particle&quot;:&quot;&quot;,&quot;non-dropping-particle&quot;:&quot;&quot;}],&quot;container-title&quot;:&quot;Journal of Rural Studies&quot;,&quot;container-title-short&quot;:&quot;J Rural Stud&quot;,&quot;DOI&quot;:&quot;10.1016/S0743-0167(00)00012-7&quot;,&quot;ISSN&quot;:&quot;07430167&quot;,&quot;issued&quot;:{&quot;date-parts&quot;:[[2000]]},&quot;page&quot;:&quot;447-458&quot;,&quot;abstract&quot;:&quot;The public sector, in its policy statements and in the design of programmes of intervention, appears to be subscribing to a rhetoric of 'grassroots participation'. At the same time, however, pressures are increasing for bureaucracies to adopt a managerialist modus operandi. This article considers the tensions that arise when participative service provision and programmes are subjected to evaluation scrutiny by managerialist bodies. The discussion takes place in the context of an EU-sponsored endogenous socio-economic development initiative. This prepares the ground for an exploration of participative evaluation. (C) 2000 Elsevier Science Ltd. All rights reserved.&quot;,&quot;issue&quot;:&quot;4&quot;,&quot;volume&quot;:&quot;16&quot;},&quot;isTemporary&quot;:false},{&quot;id&quot;:&quot;95af17ef-89a8-36e2-bf46-950d9e4dec4e&quot;,&quot;itemData&quot;:{&quot;type&quot;:&quot;article-journal&quot;,&quot;id&quot;:&quot;95af17ef-89a8-36e2-bf46-950d9e4dec4e&quot;,&quot;title&quot;:&quot;The LEADER Initiative has been a Victim of Its Own Success. The Decline of the Bottom-Up Approach in Rural Development Programmes. The Cases of Wales and Andalusia&quot;,&quot;author&quot;:[{&quot;family&quot;:&quot;Navarro&quot;,&quot;given&quot;:&quot;Francisco Antonio&quot;,&quot;parse-names&quot;:false,&quot;dropping-particle&quot;:&quot;&quot;,&quot;non-dropping-particle&quot;:&quot;&quot;},{&quot;family&quot;:&quot;Woods&quot;,&quot;given&quot;:&quot;Michael&quot;,&quot;parse-names&quot;:false,&quot;dropping-particle&quot;:&quot;&quot;,&quot;non-dropping-particle&quot;:&quot;&quot;},{&quot;family&quot;:&quot;Cejudo&quot;,&quot;given&quot;:&quot;Eugenio&quot;,&quot;parse-names&quot;:false,&quot;dropping-particle&quot;:&quot;&quot;,&quot;non-dropping-particle&quot;:&quot;&quot;}],&quot;container-title&quot;:&quot;Sociologia Ruralis&quot;,&quot;container-title-short&quot;:&quot;Sociol Ruralis&quot;,&quot;DOI&quot;:&quot;10.1111/soru.12079&quot;,&quot;ISSN&quot;:&quot;14679523&quot;,&quot;issued&quot;:{&quot;date-parts&quot;:[[2016]]},&quot;page&quot;:&quot;270-288&quot;,&quot;abstract&quot;:&quot;The LEADER approach has been at the heart of European rural development policy for the last 20 years, encompassing the principles of bottom-up endogenous development and community empowerment. Initially delivered through autonomous local action groups (LAGs), since the 2007-2013 programming period, LEADER has been integrated with other measures in broader regional rural development programmes. It has been claimed that these changes have diluted the participatory principles of this programme. We examine the extent and impact of participation in rural development through LEADER, how this has changed over time, and the factors driving changes, through surveys of LAG managers in two case study regions in Spain (Andalusia) and the UK (Wales). The findings show that LAG managers are very positive about the breadth of participation in their own group and its role in decentralising decision-making, but critical of the structure, operation and management of LEADER in rural development programmes. In particular bureaucracy and the increased influence of regional and local government are perceived to have limited the autonomy of LAGs and to have deterred the participation of marginalised groups. The principles of this initiative are perceived to have been diluted and LEADER appears to have been a victim of its own success.&quot;,&quot;issue&quot;:&quot;2&quot;,&quot;volume&quot;:&quot;56&quot;},&quot;isTemporary&quot;:false}]},{&quot;citationID&quot;:&quot;MENDELEY_CITATION_aa17bb92-da97-4cb1-9891-6a6aae50ba37&quot;,&quot;properties&quot;:{&quot;noteIndex&quot;:0},&quot;isEdited&quot;:false,&quot;manualOverride&quot;:{&quot;isManuallyOverridden&quot;:true,&quot;citeprocText&quot;:&quot;(ANTUNES JUNIOR; BORSATTO; DE SOUZA-ESQUERDO, 2024; ANTUNES JUNIOR; BORSATTO; SOUZA-ESQUERDO, 2021)&quot;,&quot;manualOverrideText&quot;:&quot;(ANTUNES JUNIOR; BORSATTO; SOUZA-ESQUERDO, 2021, 2024).&quot;},&quot;citationTag&quot;:&quot;MENDELEY_CITATION_v3_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&quot;,&quot;citationItems&quot;:[{&quot;id&quot;:&quot;86f490d5-dff8-3915-a63b-0df28ce2f17a&quot;,&quot;itemData&quot;:{&quot;type&quot;:&quot;article-journal&quot;,&quot;id&quot;:&quot;86f490d5-dff8-3915-a63b-0df28ce2f17a&quot;,&quot;title&quot;:&quot;“Spaces of Inclusion” in territorial governance: the legacy of Brazilian territorial development policies in the empowerment of smallholder farming&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quot;,&quot;non-dropping-particle&quot;:&quot;de&quot;}],&quot;container-title&quot;:&quot;Journal of Social and Economic Development&quot;,&quot;DOI&quot;:&quot;10.1007/s40847-024-00330-y&quot;,&quot;ISSN&quot;:&quot;21996873&quot;,&quot;issued&quot;:{&quot;date-parts&quot;:[[2024]]},&quot;abstract&quot;:&quot;This study aims to assess the impact of Brazilian programs focused on promoting territorial development in strengthening historically marginalized social groups, specifically family farming, within the framework of territorial governance. Drawing on the theoretical framework of territorial governance and institutional arrangements, we empirically analyze a significant Brazilian experience. Our findings demonstrate that the series of Brazilian territorial development programs resulted in valuable social and institutional learning experiences, effectively organizing family farming organizations and enhancing their agency within negotiation arenas within the territory. We argue for the necessity of affirmative measures and structural reform policies within the scope of territorial governance.&quot;,&quot;publisher&quot;:&quot;Springer&quot;,&quot;container-title-short&quot;:&quot;&quot;},&quot;isTemporary&quot;:false},{&quot;id&quot;:&quot;7c8ee536-dd24-3f3e-8d74-1b2f14edca8a&quot;,&quot;itemData&quot;:{&quot;type&quot;:&quot;article-journal&quot;,&quot;id&quot;:&quot;7c8ee536-dd24-3f3e-8d74-1b2f14edca8a&quot;,&quot;title&quot;:&quot;Why is it so difficult to promote territorial development through public policies ? The obstacles faced by a Brazilian experience&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de&quot;,&quot;non-dropping-particle&quot;:&quot;&quot;}],&quot;container-title&quot;:&quot;World Development Perspectives&quot;,&quot;container-title-short&quot;:&quot;World Dev Perspect&quot;,&quot;DOI&quot;:&quot;10.1016/j.wdp.2021.100367&quot;,&quot;ISSN&quot;:&quot;2452-2929&quot;,&quot;URL&quot;:&quot;https://doi.org/10.1016/j.wdp.2021.100367&quot;,&quot;issued&quot;:{&quot;date-parts&quot;:[[2021]]},&quot;page&quot;:&quot;100367&quot;,&quot;publisher&quot;:&quot;Elsevier Ltd&quot;,&quot;issue&quot;:&quot;December&quot;,&quot;volume&quot;:&quot;24&quot;},&quot;isTemporary&quot;:false}]},{&quot;citationID&quot;:&quot;MENDELEY_CITATION_9e058895-8ad4-4de8-9e28-7b1902ff5bea&quot;,&quot;properties&quot;:{&quot;noteIndex&quot;:0},&quot;isEdited&quot;:false,&quot;manualOverride&quot;:{&quot;isManuallyOverridden&quot;:false,&quot;citeprocText&quot;:&quot;(ANTUNES JUNIOR; BORSATTO; SOUZA-ESQUERDO, 2021)&quot;,&quot;manualOverrideText&quot;:&quot;&quot;},&quot;citationTag&quot;:&quot;MENDELEY_CITATION_v3_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&quot;,&quot;citationItems&quot;:[{&quot;id&quot;:&quot;7c8ee536-dd24-3f3e-8d74-1b2f14edca8a&quot;,&quot;itemData&quot;:{&quot;type&quot;:&quot;article-journal&quot;,&quot;id&quot;:&quot;7c8ee536-dd24-3f3e-8d74-1b2f14edca8a&quot;,&quot;title&quot;:&quot;Why is it so difficult to promote territorial development through public policies ? The obstacles faced by a Brazilian experience&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de&quot;,&quot;non-dropping-particle&quot;:&quot;&quot;}],&quot;container-title&quot;:&quot;World Development Perspectives&quot;,&quot;container-title-short&quot;:&quot;World Dev Perspect&quot;,&quot;DOI&quot;:&quot;10.1016/j.wdp.2021.100367&quot;,&quot;ISSN&quot;:&quot;2452-2929&quot;,&quot;URL&quot;:&quot;https://doi.org/10.1016/j.wdp.2021.100367&quot;,&quot;issued&quot;:{&quot;date-parts&quot;:[[2021]]},&quot;page&quot;:&quot;100367&quot;,&quot;publisher&quot;:&quot;Elsevier Ltd&quot;,&quot;issue&quot;:&quot;December&quot;,&quot;volume&quot;:&quot;24&quot;},&quot;isTemporary&quot;:false}]},{&quot;citationID&quot;:&quot;MENDELEY_CITATION_fdc33f09-5f32-4c52-b610-79b84a459339&quot;,&quot;properties&quot;:{&quot;noteIndex&quot;:0},&quot;isEdited&quot;:false,&quot;manualOverride&quot;:{&quot;isManuallyOverridden&quot;:false,&quot;citeprocText&quot;:&quot;(ANTUNES JUNIOR; BORSATTO; SOUZA-ESQUERDO, 2021; NAVARRO; WOODS; CEJUDO, 2016)&quot;,&quot;manualOverrideText&quot;:&quot;&quot;},&quot;citationTag&quot;:&quot;MENDELEY_CITATION_v3_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mRlIiwibm9uLWRyb3BwaW5nLXBhcnRpY2xlIjoiIn1dLCJjb250YWluZXItdGl0bGUiOiJXb3JsZCBEZXZlbG9wbWVudCBQZXJzcGVjdGl2ZXMiLCJjb250YWluZXItdGl0bGUtc2hvcnQiOiJXb3JsZCBEZXYgUGVyc3BlY3QiLCJET0kiOiIxMC4xMDE2L2oud2RwLjIwMjEuMTAwMzY3IiwiSVNTTiI6IjI0NTItMjkyOSIsIlVSTCI6Imh0dHBzOi8vZG9pLm9yZy8xMC4xMDE2L2oud2RwLjIwMjEuMTAwMzY3IiwiaXNzdWVkIjp7ImRhdGUtcGFydHMiOltbMjAyMV1dfSwicGFnZSI6IjEwMDM2NyIsInB1Ymxpc2hlciI6IkVsc2V2aWVyIEx0ZCIsImlzc3VlIjoiRGVjZW1iZXIiLCJ2b2x1bWUiOiIyNCJ9LCJpc1RlbXBvcmFyeSI6ZmFsc2V9XX0=&quot;,&quot;citationItems&quot;:[{&quot;id&quot;:&quot;95af17ef-89a8-36e2-bf46-950d9e4dec4e&quot;,&quot;itemData&quot;:{&quot;type&quot;:&quot;article-journal&quot;,&quot;id&quot;:&quot;95af17ef-89a8-36e2-bf46-950d9e4dec4e&quot;,&quot;title&quot;:&quot;The LEADER Initiative has been a Victim of Its Own Success. The Decline of the Bottom-Up Approach in Rural Development Programmes. The Cases of Wales and Andalusia&quot;,&quot;author&quot;:[{&quot;family&quot;:&quot;Navarro&quot;,&quot;given&quot;:&quot;Francisco Antonio&quot;,&quot;parse-names&quot;:false,&quot;dropping-particle&quot;:&quot;&quot;,&quot;non-dropping-particle&quot;:&quot;&quot;},{&quot;family&quot;:&quot;Woods&quot;,&quot;given&quot;:&quot;Michael&quot;,&quot;parse-names&quot;:false,&quot;dropping-particle&quot;:&quot;&quot;,&quot;non-dropping-particle&quot;:&quot;&quot;},{&quot;family&quot;:&quot;Cejudo&quot;,&quot;given&quot;:&quot;Eugenio&quot;,&quot;parse-names&quot;:false,&quot;dropping-particle&quot;:&quot;&quot;,&quot;non-dropping-particle&quot;:&quot;&quot;}],&quot;container-title&quot;:&quot;Sociologia Ruralis&quot;,&quot;container-title-short&quot;:&quot;Sociol Ruralis&quot;,&quot;DOI&quot;:&quot;10.1111/soru.12079&quot;,&quot;ISSN&quot;:&quot;14679523&quot;,&quot;issued&quot;:{&quot;date-parts&quot;:[[2016]]},&quot;page&quot;:&quot;270-288&quot;,&quot;abstract&quot;:&quot;The LEADER approach has been at the heart of European rural development policy for the last 20 years, encompassing the principles of bottom-up endogenous development and community empowerment. Initially delivered through autonomous local action groups (LAGs), since the 2007-2013 programming period, LEADER has been integrated with other measures in broader regional rural development programmes. It has been claimed that these changes have diluted the participatory principles of this programme. We examine the extent and impact of participation in rural development through LEADER, how this has changed over time, and the factors driving changes, through surveys of LAG managers in two case study regions in Spain (Andalusia) and the UK (Wales). The findings show that LAG managers are very positive about the breadth of participation in their own group and its role in decentralising decision-making, but critical of the structure, operation and management of LEADER in rural development programmes. In particular bureaucracy and the increased influence of regional and local government are perceived to have limited the autonomy of LAGs and to have deterred the participation of marginalised groups. The principles of this initiative are perceived to have been diluted and LEADER appears to have been a victim of its own success.&quot;,&quot;issue&quot;:&quot;2&quot;,&quot;volume&quot;:&quot;56&quot;},&quot;isTemporary&quot;:false},{&quot;id&quot;:&quot;7c8ee536-dd24-3f3e-8d74-1b2f14edca8a&quot;,&quot;itemData&quot;:{&quot;type&quot;:&quot;article-journal&quot;,&quot;id&quot;:&quot;7c8ee536-dd24-3f3e-8d74-1b2f14edca8a&quot;,&quot;title&quot;:&quot;Why is it so difficult to promote territorial development through public policies ? The obstacles faced by a Brazilian experience&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de&quot;,&quot;non-dropping-particle&quot;:&quot;&quot;}],&quot;container-title&quot;:&quot;World Development Perspectives&quot;,&quot;container-title-short&quot;:&quot;World Dev Perspect&quot;,&quot;DOI&quot;:&quot;10.1016/j.wdp.2021.100367&quot;,&quot;ISSN&quot;:&quot;2452-2929&quot;,&quot;URL&quot;:&quot;https://doi.org/10.1016/j.wdp.2021.100367&quot;,&quot;issued&quot;:{&quot;date-parts&quot;:[[2021]]},&quot;page&quot;:&quot;100367&quot;,&quot;publisher&quot;:&quot;Elsevier Ltd&quot;,&quot;issue&quot;:&quot;December&quot;,&quot;volume&quot;:&quot;24&quot;},&quot;isTemporary&quot;:false}]},{&quot;citationID&quot;:&quot;MENDELEY_CITATION_8e0e78f0-81f5-4463-9c01-30f8ad1765ab&quot;,&quot;properties&quot;:{&quot;noteIndex&quot;:0},&quot;isEdited&quot;:false,&quot;manualOverride&quot;:{&quot;isManuallyOverridden&quot;:true,&quot;citeprocText&quot;:&quot;(ANTUNES JUNIOR; BORSATTO; SOUZA-ESQUERDO, 2021; BOSWORTH et al., 2020)&quot;,&quot;manualOverrideText&quot;:&quot;(ANTUNES JUNIOR; BORSATTO; SOUZA-ESQUERDO, 2021; BOSWORTH et al., 2020).&quot;},&quot;citationTag&quot;:&quot;MENDELEY_CITATION_v3_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&quot;,&quot;citationItems&quot;:[{&quot;id&quot;:&quot;7c8ee536-dd24-3f3e-8d74-1b2f14edca8a&quot;,&quot;itemData&quot;:{&quot;type&quot;:&quot;article-journal&quot;,&quot;id&quot;:&quot;7c8ee536-dd24-3f3e-8d74-1b2f14edca8a&quot;,&quot;title&quot;:&quot;Why is it so difficult to promote territorial development through public policies ? The obstacles faced by a Brazilian experience&quot;,&quot;author&quot;:[{&quot;family&quot;:&quot;Antunes Junior&quot;,&quot;given&quot;:&quot;Wolney Felippe&quot;,&quot;parse-names&quot;:false,&quot;dropping-particle&quot;:&quot;&quot;,&quot;non-dropping-particle&quot;:&quot;&quot;},{&quot;family&quot;:&quot;Borsatto&quot;,&quot;given&quot;:&quot;Ricardo Serra&quot;,&quot;parse-names&quot;:false,&quot;dropping-particle&quot;:&quot;&quot;,&quot;non-dropping-particle&quot;:&quot;&quot;},{&quot;family&quot;:&quot;Souza-Esquerdo&quot;,&quot;given&quot;:&quot;Vanilde Ferreira&quot;,&quot;parse-names&quot;:false,&quot;dropping-particle&quot;:&quot;de&quot;,&quot;non-dropping-particle&quot;:&quot;&quot;}],&quot;container-title&quot;:&quot;World Development Perspectives&quot;,&quot;container-title-short&quot;:&quot;World Dev Perspect&quot;,&quot;DOI&quot;:&quot;10.1016/j.wdp.2021.100367&quot;,&quot;ISSN&quot;:&quot;2452-2929&quot;,&quot;URL&quot;:&quot;https://doi.org/10.1016/j.wdp.2021.100367&quot;,&quot;issued&quot;:{&quot;date-parts&quot;:[[2021]]},&quot;page&quot;:&quot;100367&quot;,&quot;publisher&quot;:&quot;Elsevier Ltd&quot;,&quot;issue&quot;:&quot;December&quot;,&quot;volume&quot;:&quot;24&quot;},&quot;isTemporary&quot;:false},{&quot;id&quot;:&quot;e938d240-6346-348e-b0df-5eff4f3fcf15&quot;,&quot;itemData&quot;:{&quot;type&quot;:&quot;chapter&quot;,&quot;id&quot;:&quot;e938d240-6346-348e-b0df-5eff4f3fcf15&quot;,&quot;title&quot;:&quot;Rural Social Innovation and Neo-endogenous Rural Development&quot;,&quot;author&quot;:[{&quot;family&quot;:&quot;Bosworth&quot;,&quot;given&quot;:&quot;Gary&quot;,&quot;parse-names&quot;:false,&quot;dropping-particle&quot;:&quot;&quot;,&quot;non-dropping-particle&quot;:&quot;&quot;},{&quot;family&quot;:&quot;Price&quot;,&quot;given&quot;:&quot;Liz&quot;,&quot;parse-names&quot;:false,&quot;dropping-particle&quot;:&quot;&quot;,&quot;non-dropping-particle&quot;:&quot;&quot;},{&quot;family&quot;:&quot;Hakulinen&quot;,&quot;given&quot;:&quot;Ville&quot;,&quot;parse-names&quot;:false,&quot;dropping-particle&quot;:&quot;&quot;,&quot;non-dropping-particle&quot;:&quot;&quot;},{&quot;family&quot;:&quot;Marango&quot;,&quot;given&quot;:&quot;Susan&quot;,&quot;parse-names&quot;:false,&quot;dropping-particle&quot;:&quot;&quot;,&quot;non-dropping-particle&quot;:&quot;&quot;}],&quot;container-title&quot;:&quot;Neoendogenous Development in European Rural Areas&quot;,&quot;DOI&quot;:&quot;https://doi-org.ez88.periodicos.capes.gov.br/10.1007/978-3-030-33463-5_2&quot;,&quot;issued&quot;:{&quot;date-parts&quot;:[[2020]]},&quot;page&quot;:&quot;21-32&quot;,&quot;publisher&quot;:&quot;Springer Geography&quot;,&quot;container-title-short&quot;:&quot;&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15</Pages>
  <Words>4049</Words>
  <Characters>21870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Wolney F. Antunes Junior</cp:lastModifiedBy>
  <cp:revision>21</cp:revision>
  <dcterms:created xsi:type="dcterms:W3CDTF">2025-05-10T21:46:00Z</dcterms:created>
  <dcterms:modified xsi:type="dcterms:W3CDTF">2025-05-12T18:45:00Z</dcterms:modified>
</cp:coreProperties>
</file>