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4D8842" w14:textId="77777777" w:rsidR="008A1127" w:rsidRDefault="008A1127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11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IMPACTOS DA OXIGENOTERAPIA DE ALTO FLUXO EM NEONATOS COM BRONQUIOLITE VIRAL</w:t>
      </w:r>
    </w:p>
    <w:p w14:paraId="5E0C262A" w14:textId="662CEF7E" w:rsidR="00DD137F" w:rsidRP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DD137F"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aria Fernanda Bandeira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End"/>
    </w:p>
    <w:p w14:paraId="2A8E3CB2" w14:textId="310A0414" w:rsid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D137F">
        <w:rPr>
          <w:rFonts w:ascii="Times New Roman" w:eastAsia="Times New Roman" w:hAnsi="Times New Roman" w:cs="Times New Roman"/>
          <w:sz w:val="20"/>
          <w:szCs w:val="20"/>
        </w:rPr>
        <w:t>Graduanda em Enfermagem, Universidade Federal de Campina Grande, Cajazeiras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Paraíba, e</w:t>
      </w:r>
      <w:r w:rsidRPr="00DD137F">
        <w:rPr>
          <w:rFonts w:ascii="Times New Roman" w:eastAsia="Times New Roman" w:hAnsi="Times New Roman" w:cs="Times New Roman"/>
          <w:sz w:val="20"/>
          <w:szCs w:val="20"/>
        </w:rPr>
        <w:t>nfnanda1406@gmail.com</w:t>
      </w:r>
    </w:p>
    <w:p w14:paraId="216D8884" w14:textId="67E1597B" w:rsidR="00DD137F" w:rsidRP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José Fernando Bandeira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14:paraId="4BD0C601" w14:textId="0D7D0327" w:rsid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D137F">
        <w:rPr>
          <w:rFonts w:ascii="Times New Roman" w:eastAsia="Times New Roman" w:hAnsi="Times New Roman" w:cs="Times New Roman"/>
          <w:sz w:val="20"/>
          <w:szCs w:val="20"/>
        </w:rPr>
        <w:t>Graduando em Geografia, Universidade Federal de Campina Grand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e, </w:t>
      </w:r>
      <w:r w:rsidRPr="00DD137F">
        <w:rPr>
          <w:rFonts w:ascii="Times New Roman" w:eastAsia="Times New Roman" w:hAnsi="Times New Roman" w:cs="Times New Roman"/>
          <w:sz w:val="20"/>
          <w:szCs w:val="20"/>
        </w:rPr>
        <w:t>Cajazeiras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Paraíba, </w:t>
      </w:r>
      <w:r w:rsidRPr="00DD137F">
        <w:rPr>
          <w:rFonts w:ascii="Times New Roman" w:eastAsia="Times New Roman" w:hAnsi="Times New Roman" w:cs="Times New Roman"/>
          <w:sz w:val="20"/>
          <w:szCs w:val="20"/>
        </w:rPr>
        <w:t>fernando99bandeira@gmail.com</w:t>
      </w:r>
    </w:p>
    <w:p w14:paraId="58C1D07A" w14:textId="075BEACC" w:rsidR="00DD137F" w:rsidRP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Aleffy Gil Pereira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proofErr w:type="gramEnd"/>
    </w:p>
    <w:p w14:paraId="0C7DD14F" w14:textId="4B91BCEF" w:rsid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D137F">
        <w:rPr>
          <w:rFonts w:ascii="Times New Roman" w:eastAsia="Times New Roman" w:hAnsi="Times New Roman" w:cs="Times New Roman"/>
          <w:sz w:val="20"/>
          <w:szCs w:val="20"/>
        </w:rPr>
        <w:t xml:space="preserve"> Graduando em Engenharia Civil, Instituto Federal de Educação, Ciência e Tecnologia da Paraíba, Cajazeiras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sz w:val="20"/>
          <w:szCs w:val="20"/>
        </w:rPr>
        <w:t xml:space="preserve">- Paraíba, eng.aleffy@gmail.com </w:t>
      </w:r>
    </w:p>
    <w:p w14:paraId="49E3F4B3" w14:textId="52B9D067" w:rsidR="00DD137F" w:rsidRP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Nathalia Ferreira dos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E2D755F" w14:textId="16801AD3" w:rsidR="00062F5C" w:rsidRP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Ensino Superior 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Enfermagem, Unipê, João Pessoa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- Paraíba, nathalyasantos.nf7@gmail.com</w:t>
      </w:r>
    </w:p>
    <w:p w14:paraId="69EC6C96" w14:textId="6708A116" w:rsidR="00DD137F" w:rsidRP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Anna Gabriela Pereira da Costa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proofErr w:type="gramEnd"/>
    </w:p>
    <w:p w14:paraId="144E846E" w14:textId="67E40381" w:rsidR="00DD137F" w:rsidRP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Enfermeira, Centro Universitário de João Pessoa,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João Pessoa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Paraíba, annagabrielapereiracosta.1@gmail.com</w:t>
      </w:r>
    </w:p>
    <w:p w14:paraId="79ACB268" w14:textId="45D84F77" w:rsidR="00DD137F" w:rsidRP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Júlia </w:t>
      </w:r>
      <w:proofErr w:type="spellStart"/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Lohanna</w:t>
      </w:r>
      <w:proofErr w:type="spellEnd"/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Costa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33B265C" w14:textId="5D38E28B" w:rsidR="00DD137F" w:rsidRP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Graduanda em Enfermagem,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Centro Universitário Santa Terezinha,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São Luís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Maranhão,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lohannasantos23@gmail.com</w:t>
      </w:r>
    </w:p>
    <w:p w14:paraId="0625C3CF" w14:textId="1D4248BF" w:rsidR="00DD137F" w:rsidRP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Giulia Narciso Dalla Venezia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proofErr w:type="gramEnd"/>
    </w:p>
    <w:p w14:paraId="2F3B6C51" w14:textId="14F1D9EE" w:rsidR="00DD137F" w:rsidRP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Enfermeira, Faculdade de Minas,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Belo Horizonte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Minas Gerais,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giuliavenezia2@gmail.com</w:t>
      </w:r>
    </w:p>
    <w:p w14:paraId="60405C5A" w14:textId="522A4E26" w:rsidR="00DD137F" w:rsidRP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Sarah Elizabeth Vidal Maul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  <w:proofErr w:type="gramEnd"/>
    </w:p>
    <w:p w14:paraId="15B7318D" w14:textId="523438CD" w:rsidR="00DD137F" w:rsidRP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Fisioterapeuta, UEPB, Campina Grande,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137F">
        <w:rPr>
          <w:rFonts w:ascii="Times New Roman" w:eastAsia="Times New Roman" w:hAnsi="Times New Roman" w:cs="Times New Roman"/>
          <w:color w:val="000000"/>
          <w:sz w:val="20"/>
          <w:szCs w:val="20"/>
        </w:rPr>
        <w:t>Paraíba, sarahlizevidal@gmail.com</w:t>
      </w:r>
    </w:p>
    <w:p w14:paraId="4FA53E27" w14:textId="77777777" w:rsidR="00062F5C" w:rsidRPr="00DD137F" w:rsidRDefault="00062F5C" w:rsidP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CD9D64" w14:textId="76B4ED25" w:rsidR="00DD137F" w:rsidRDefault="000457A4" w:rsidP="00DD137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D3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bronquiolite viral é uma infecção respiratória comum em neonatos, frequentemente causada pelo vírus sincicial respiratório. A oxigenoterapia de alto fluxo (OAF) tem sido cada vez mais utilizada no manejo dessa condição, em substituição à oxigenoterapia convencional. Este artigo de revisão de literatura tem como objetivo geral analisar os impactos da OAF em neonatos com bronquiolite viral, comparando-a com outras formas de terapia. A metodologia adotada para este estudo envolveu uma revisão sistemática de artigos científicos publicados entre 2019 e 2023, acessados em bases de dados como </w:t>
      </w:r>
      <w:r w:rsidR="00D336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PubMed, Sci</w:t>
      </w:r>
      <w:r w:rsidR="00DD137F">
        <w:rPr>
          <w:rFonts w:ascii="Times New Roman" w:eastAsia="Times New Roman" w:hAnsi="Times New Roman" w:cs="Times New Roman"/>
          <w:color w:val="000000"/>
          <w:sz w:val="24"/>
          <w:szCs w:val="24"/>
        </w:rPr>
        <w:t>ELO</w:t>
      </w:r>
      <w:r w:rsidR="00D3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MEDLINE. Foram incluídos estudos que examinaram a eficácia, segurança e efeitos da OAF em neonatos com bronquiolite viral. Critérios de inclusão envolveram trabalhos randomizados, ensaios clínicos controlados e séries de casos. As discussões revelaram que a OAF apresenta vantagens significativas em comparação com a oxigenoterapia convencional. Estudos mostraram uma redução notável na necessidade de ventilação mecânica e internações em unidades de terapia intensiva. Além disso, a OAF proporcionou melhorias na saturação de oxigênio e na diminuição do esforço respiratório dos neonatos, contribuindo para uma recuperação mais rápida. No entanto, a revisão também apontou para algumas limitações, como a necessidade de monitoramento rigoroso para evitar complicações, incluindo barotrauma e secura das vias aéreas. Em conclusão, a oxigenoterapia de alto fluxo parece ser uma alternativa eficaz e segura no manejo de neonatos com bronquiolite viral. No entanto, são necessárias mais pesquisas para estabelecer protocolos padronizados e melhores práticas de monitoramento, garantindo assim um uso mais seguro e eficaz dessa intervenção. Além disso, a capacitação das equipes de saúde sobre o manuseio correto da OAF é fundamental para otimizar os resultados terapêuticos e minimizar os riscos associados.</w:t>
      </w:r>
    </w:p>
    <w:p w14:paraId="65C0DA14" w14:textId="01DFF6B8" w:rsidR="00062F5C" w:rsidRPr="008577B4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8577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93A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Equipe de assistência ao paciente, </w:t>
      </w:r>
      <w:r w:rsidR="000D60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Saúde da criança, </w:t>
      </w:r>
      <w:r w:rsidR="00A065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Neonatos.</w:t>
      </w:r>
    </w:p>
    <w:p w14:paraId="436A5F0A" w14:textId="77777777" w:rsidR="008577B4" w:rsidRDefault="008577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7B16CB" w14:textId="737B9814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765143" w:rsidRPr="00765143">
        <w:rPr>
          <w:rFonts w:ascii="Times New Roman" w:eastAsia="Times New Roman" w:hAnsi="Times New Roman" w:cs="Times New Roman"/>
          <w:sz w:val="24"/>
          <w:szCs w:val="24"/>
        </w:rPr>
        <w:t>enfnanda1406@gmail.com</w:t>
      </w:r>
      <w:r w:rsidR="00765143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B1BDB31" w14:textId="77777777" w:rsidR="00DD137F" w:rsidRDefault="00DD1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EF60368" w14:textId="3CE074BD" w:rsidR="00DD137F" w:rsidRDefault="008A6AAB" w:rsidP="00DD137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</w:t>
      </w:r>
    </w:p>
    <w:p w14:paraId="22F44FA7" w14:textId="77777777" w:rsidR="00DD137F" w:rsidRPr="008A6AAB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CINCO HUIQUI, A. I. Exactitud diagnóstica del índice de nocicepción analgesia para la evaluación del dolor em pacientes críticos. Med. Crít. (Col. Mex. Med. Crít.),</w:t>
      </w:r>
      <w:proofErr w:type="gramStart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Ciudad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México, v.36, n. </w:t>
      </w: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2, p. 82-90, 2022. Disponible em </w:t>
      </w:r>
      <w:r w:rsidRPr="00DD137F">
        <w:rPr>
          <w:rFonts w:ascii="Times New Roman" w:eastAsia="Times New Roman" w:hAnsi="Times New Roman" w:cs="Times New Roman"/>
          <w:sz w:val="24"/>
          <w:szCs w:val="24"/>
        </w:rPr>
        <w:t>http://www.scielo.org.mx/scielo.php?script=sci_arttext&amp;pid=S2448-89092022000200082&amp;lng=es&amp;nrm=</w:t>
      </w:r>
      <w:proofErr w:type="gramStart"/>
      <w:r w:rsidRPr="00DD137F">
        <w:rPr>
          <w:rFonts w:ascii="Times New Roman" w:eastAsia="Times New Roman" w:hAnsi="Times New Roman" w:cs="Times New Roman"/>
          <w:sz w:val="24"/>
          <w:szCs w:val="24"/>
        </w:rPr>
        <w:t>iso</w:t>
      </w:r>
      <w:proofErr w:type="gramEnd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Epub 18-Nov-2022.  </w:t>
      </w:r>
      <w:hyperlink r:id="rId7" w:history="1">
        <w:r w:rsidRPr="008A6A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https://doi.org/10.35366/104869</w:t>
        </w:r>
      </w:hyperlink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Acesso em: 02 de abril de 2024.</w:t>
      </w:r>
    </w:p>
    <w:p w14:paraId="462F4C80" w14:textId="77777777" w:rsid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4AC855" w14:textId="575BFE81" w:rsid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FERRER, L. Alternativas para la sedación, analgesia, relajación y delirium em pacientes COVID-19. Revisión narrativa. Med. Crít. (Col. Mex. Med. Crít.),</w:t>
      </w:r>
      <w:proofErr w:type="gramStart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Ciudad de México ,  v. 36, n. 5, p. 296-311,    2022 .   Disponible em </w:t>
      </w:r>
      <w:r w:rsidRPr="00DD137F">
        <w:rPr>
          <w:rFonts w:ascii="Times New Roman" w:eastAsia="Times New Roman" w:hAnsi="Times New Roman" w:cs="Times New Roman"/>
          <w:sz w:val="24"/>
          <w:szCs w:val="24"/>
        </w:rPr>
        <w:t>http://www.scielo.org.mx/scielo.php?script=sci_arttext&amp;pid=S2448-89092022000500296&amp;lng=es&amp;nrm=</w:t>
      </w:r>
      <w:proofErr w:type="gramStart"/>
      <w:r w:rsidRPr="00DD137F">
        <w:rPr>
          <w:rFonts w:ascii="Times New Roman" w:eastAsia="Times New Roman" w:hAnsi="Times New Roman" w:cs="Times New Roman"/>
          <w:sz w:val="24"/>
          <w:szCs w:val="24"/>
        </w:rPr>
        <w:t>iso</w:t>
      </w:r>
      <w:proofErr w:type="gramEnd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Epub 02-Jun-2023.  </w:t>
      </w:r>
      <w:hyperlink r:id="rId8" w:history="1">
        <w:r w:rsidRPr="008A6A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https://doi.org/10.35366/106512</w:t>
        </w:r>
      </w:hyperlink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Acesso em: 01 de abril de 2024.</w:t>
      </w:r>
    </w:p>
    <w:p w14:paraId="1F9691FC" w14:textId="77777777" w:rsid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BBEBAF" w14:textId="2926130B" w:rsidR="008A6AAB" w:rsidRPr="00DD137F" w:rsidRDefault="008A6AAB" w:rsidP="00DD1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MIDEGA, T. D. Uso de cetamina em pacientes críticos: uma revisão narrativa. Revista Brasileira de Terapia Intensiva [online]. 2022, v. 34, n. 2, pp. 287-294. Disponível em: </w:t>
      </w:r>
      <w:hyperlink r:id="rId9" w:history="1">
        <w:r w:rsidRPr="008A6A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https://doi.org/10.5935/0103-507X.20220027-pt</w:t>
        </w:r>
      </w:hyperlink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D1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Epub 08 Ago 2022. ISSN 1982-4335. Acesso em 30 de Abril de 2024.</w:t>
      </w:r>
    </w:p>
    <w:p w14:paraId="6E6B2EF6" w14:textId="77777777" w:rsid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B81D5DB" w14:textId="77777777" w:rsidR="00DD137F" w:rsidRP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PAULINO, M.C. Abordagem da sedação, da analgesia e </w:t>
      </w:r>
      <w:proofErr w:type="spellStart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do|deliriumem</w:t>
      </w:r>
      <w:proofErr w:type="spellEnd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Portugal: inquérito nacional e estudo de prevalência. Revista Brasileira de Terapia Intensiva [online]. 2022, v. 34, n. 2. Disponível em: </w:t>
      </w:r>
      <w:proofErr w:type="gramStart"/>
      <w:r w:rsidRPr="00DD137F"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 w:rsidRPr="00DD137F">
        <w:rPr>
          <w:rFonts w:ascii="Times New Roman" w:eastAsia="Times New Roman" w:hAnsi="Times New Roman" w:cs="Times New Roman"/>
          <w:sz w:val="24"/>
          <w:szCs w:val="24"/>
        </w:rPr>
        <w:t>://doi.org/10.5935/0103-507X.20220020-pt</w:t>
      </w: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Epub 08 Ago 2022. ISSN 1982-4335. Acesso em: 29 de abril de 2024.</w:t>
      </w:r>
    </w:p>
    <w:p w14:paraId="063B4990" w14:textId="77777777" w:rsidR="00DD137F" w:rsidRDefault="00DD137F" w:rsidP="00DD1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0F578F9" w14:textId="23AF9CB5" w:rsidR="00DD137F" w:rsidRDefault="008A6AAB" w:rsidP="00DD1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1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VIEIRA, T. Use of sedatives and analgesics and hospital outcomes in pediatric intensive care: a cohort</w:t>
      </w:r>
      <w:r w:rsidR="00DD1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study. BrJP [online]. 2022, v.</w:t>
      </w:r>
      <w:r w:rsidRPr="00DD1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05, n. 02. Available from: </w:t>
      </w:r>
      <w:r w:rsidRPr="00DD137F">
        <w:rPr>
          <w:rFonts w:ascii="Times New Roman" w:eastAsia="Times New Roman" w:hAnsi="Times New Roman" w:cs="Times New Roman"/>
          <w:sz w:val="24"/>
          <w:szCs w:val="24"/>
          <w:lang w:val="en-US"/>
        </w:rPr>
        <w:t>https://doi.org/10.5935/2595-0118.20220030-en</w:t>
      </w:r>
      <w:r w:rsidRPr="00DD1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Epub 01 July 2022. </w:t>
      </w: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ISSN 2595-3192. Acesso em: 27 de abril de 2024.</w:t>
      </w:r>
    </w:p>
    <w:sectPr w:rsidR="00DD13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5364D" w14:textId="77777777" w:rsidR="00DC67A5" w:rsidRDefault="00DC67A5">
      <w:pPr>
        <w:spacing w:after="0" w:line="240" w:lineRule="auto"/>
      </w:pPr>
      <w:r>
        <w:separator/>
      </w:r>
    </w:p>
  </w:endnote>
  <w:endnote w:type="continuationSeparator" w:id="0">
    <w:p w14:paraId="1DCF7FAC" w14:textId="77777777" w:rsidR="00DC67A5" w:rsidRDefault="00DC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16FA" w14:textId="77777777" w:rsidR="00DC67A5" w:rsidRDefault="00DC67A5">
      <w:pPr>
        <w:spacing w:after="0" w:line="240" w:lineRule="auto"/>
      </w:pPr>
      <w:r>
        <w:separator/>
      </w:r>
    </w:p>
  </w:footnote>
  <w:footnote w:type="continuationSeparator" w:id="0">
    <w:p w14:paraId="5B750C40" w14:textId="77777777" w:rsidR="00DC67A5" w:rsidRDefault="00DC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D908B" w14:textId="77777777" w:rsidR="00062F5C" w:rsidRDefault="00DC67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D7200" w14:textId="77777777" w:rsidR="00062F5C" w:rsidRDefault="00DC67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5C"/>
    <w:rsid w:val="000457A4"/>
    <w:rsid w:val="00062F5C"/>
    <w:rsid w:val="000942B2"/>
    <w:rsid w:val="00096420"/>
    <w:rsid w:val="000D608A"/>
    <w:rsid w:val="00254FC9"/>
    <w:rsid w:val="00256E75"/>
    <w:rsid w:val="002972FA"/>
    <w:rsid w:val="002F7825"/>
    <w:rsid w:val="00363B68"/>
    <w:rsid w:val="00422745"/>
    <w:rsid w:val="00560270"/>
    <w:rsid w:val="00671D37"/>
    <w:rsid w:val="00690A48"/>
    <w:rsid w:val="006B335F"/>
    <w:rsid w:val="00765143"/>
    <w:rsid w:val="007D2164"/>
    <w:rsid w:val="007D7D1A"/>
    <w:rsid w:val="008577B4"/>
    <w:rsid w:val="00884A90"/>
    <w:rsid w:val="00895AD8"/>
    <w:rsid w:val="008A1127"/>
    <w:rsid w:val="008A6AAB"/>
    <w:rsid w:val="00A06532"/>
    <w:rsid w:val="00B23B7F"/>
    <w:rsid w:val="00B93A42"/>
    <w:rsid w:val="00BA6C60"/>
    <w:rsid w:val="00C131A3"/>
    <w:rsid w:val="00C33D05"/>
    <w:rsid w:val="00C43F89"/>
    <w:rsid w:val="00D33675"/>
    <w:rsid w:val="00DC67A5"/>
    <w:rsid w:val="00DD137F"/>
    <w:rsid w:val="00E933A7"/>
    <w:rsid w:val="00F11089"/>
    <w:rsid w:val="00F2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FF6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A6AA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6A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A6AA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5366/10651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i.org/10.35366/10486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935/0103-507X.20220027-p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795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Orlando Rolim</cp:lastModifiedBy>
  <cp:revision>15</cp:revision>
  <dcterms:created xsi:type="dcterms:W3CDTF">2024-07-02T04:17:00Z</dcterms:created>
  <dcterms:modified xsi:type="dcterms:W3CDTF">2024-07-02T15:45:00Z</dcterms:modified>
</cp:coreProperties>
</file>