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Parasitos, Posts e Piadas: O Poder do Humor na Divulgação Científica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Julie de Jesus Azevedo Monteiro, Universidade Federal Fluminense (graduanda) juliemonteiro@if.uff.br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Anne Tayna Stein, Universidade Federal Fluminense (graduanda) annetayna@id.uff.br</w:t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Juliana Moura Siqueira dos Santos, Universidade Federal Fluminense (graduanda) julianamsm@id.uff.br</w:t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Nathálya Nunes Dias, Universidade Federal Fluminense (graduanda) nunesnathalya@id.uff.br  </w:t>
      </w:r>
    </w:p>
    <w:p w:rsidR="00000000" w:rsidDel="00000000" w:rsidP="00000000" w:rsidRDefault="00000000" w:rsidRPr="00000000" w14:paraId="00000006">
      <w:pPr>
        <w:spacing w:after="240" w:lineRule="auto"/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Danuza Pinheiro Bastos Garcia de Mattos, Universidade Federal Fluminense (Professora; Doutora) danuzamattos@id.uff.br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pStyle w:val="Heading1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Meme; Mídias sociais; Educação em saúde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INTRODUÇÃO</w:t>
      </w:r>
    </w:p>
    <w:p w:rsidR="00000000" w:rsidDel="00000000" w:rsidP="00000000" w:rsidRDefault="00000000" w:rsidRPr="00000000" w14:paraId="00000009">
      <w:pPr>
        <w:spacing w:after="240" w:befor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 divulgação científica vem se reinventando diante dos desafios contemporâneos, especialmente com a abundância de informações disponíveis por meio das tecnologias digitais. Nesse contexto, o humor surge como uma poderosa ferramenta de mediação entre o conhecimento científico e o público geral, promovendo aproximação, engajamento e compreensão por meio de uma linguagem clara, leve e divertida (RAMOS; PIASSA, 2015).</w:t>
      </w:r>
    </w:p>
    <w:p w:rsidR="00000000" w:rsidDel="00000000" w:rsidP="00000000" w:rsidRDefault="00000000" w:rsidRPr="00000000" w14:paraId="0000000A">
      <w:pPr>
        <w:spacing w:after="240" w:befor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O uso de estratégias bem-humoradas na internet tem ampliado o alcance e a atratividade de conteúdos científicos. Com o crescente acesso da população às redes sociais, essas plataformas consolidaram-se como espaços dinâmicos para disseminação de informações, incluindo saberes científicos (GUIA; SARAIVA, 2019). A linguagem acessível e a instantaneidade das redes permitem que a ciência alcance públicos diversos, superando barreiras tradicionais da academia.</w:t>
      </w:r>
    </w:p>
    <w:p w:rsidR="00000000" w:rsidDel="00000000" w:rsidP="00000000" w:rsidRDefault="00000000" w:rsidRPr="00000000" w14:paraId="0000000B">
      <w:pPr>
        <w:spacing w:after="240" w:befor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O Projeto de Extensão “Parasitologia Hoje”, da Universidade Federal Fluminense (UFF), tem como proposta central promover a educação em saúde, com foco na prevenção e controle das parasitoses, por meio de estratégias de comunicação científica inovadoras e inclusivas. Dentre elas, destaca-se a utilização do humor e elementos culturais como eixos comunicativos de suas postagens no Instagram, abordando temas da Parasitologia e suas interfaces, dentro da perspectiva da saúde única (one health).</w:t>
      </w:r>
    </w:p>
    <w:p w:rsidR="00000000" w:rsidDel="00000000" w:rsidP="00000000" w:rsidRDefault="00000000" w:rsidRPr="00000000" w14:paraId="0000000C">
      <w:pPr>
        <w:spacing w:after="240" w:befor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As ações do projeto incluem o uso de recursos visuais, artes digitais e elementos de acessibilidade, articulando informação, ludicidade e linguagem científica. Ao adotar formatos como memes, vídeos curtos e quadros criativos, o projeto contribui para tornar o conhecimento científico mais atraente, próximo da realidade das pessoas e alinhado à lógica comunicacional das redes.</w:t>
      </w:r>
    </w:p>
    <w:p w:rsidR="00000000" w:rsidDel="00000000" w:rsidP="00000000" w:rsidRDefault="00000000" w:rsidRPr="00000000" w14:paraId="0000000D">
      <w:pPr>
        <w:spacing w:after="240" w:befor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Em meio à cultura digital e à propagação de </w:t>
      </w:r>
      <w:r w:rsidDel="00000000" w:rsidR="00000000" w:rsidRPr="00000000">
        <w:rPr>
          <w:i w:val="1"/>
          <w:rtl w:val="0"/>
        </w:rPr>
        <w:t xml:space="preserve">fake news</w:t>
      </w:r>
      <w:r w:rsidDel="00000000" w:rsidR="00000000" w:rsidRPr="00000000">
        <w:rPr>
          <w:rtl w:val="0"/>
        </w:rPr>
        <w:t xml:space="preserve">, a divulgação científica enfrenta o desafio de manter sua relevância, principalmente quando sua linguagem formal se mostra pouco compatível com os hábitos de consumo de informação do público geral  (MANCOSO et al., 2023). Nesse cenário, a combinação entre ciência, humor e redes sociais torna-se uma estratégia para ampliar o alcance das mensagens, favorecendo a compreensão e o interesse coletivo por temas científicos (SANTOS et al., 2021).</w:t>
      </w:r>
    </w:p>
    <w:p w:rsidR="00000000" w:rsidDel="00000000" w:rsidP="00000000" w:rsidRDefault="00000000" w:rsidRPr="00000000" w14:paraId="0000000E">
      <w:pPr>
        <w:spacing w:after="240" w:befor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O humor se apresenta, assim, como linguagem estratégica e pedagógica, capaz de transformar conteúdos densos em mensagens compreensíveis e engajadoras, revelado-se uma ferramenta poderosa e estratégica para a mediação entre ciência e sociedade, servindo como uma ponte entre a complexidade dos saberes científicos e a leveza da comunicação cotidiana. (RAMOS; PIASSA, 2015). Quando associado a elementos culturais populares, como memes, bordões e referências midiáticas, contribui para o surgimento de novas formas de apropriação, autoria e circulação de saberes científicos.</w:t>
      </w:r>
    </w:p>
    <w:p w:rsidR="00000000" w:rsidDel="00000000" w:rsidP="00000000" w:rsidRDefault="00000000" w:rsidRPr="00000000" w14:paraId="0000000F">
      <w:pPr>
        <w:spacing w:after="240" w:befor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 cultura dos memes, é caracterizada pela replicabilidade e pela adaptação criativa de ideias em formatos visualmente impactantes. Na divulgação científica, os memes cumprem papel informativo e crítico, promovendo o envolvimento do público com temas que, à primeira vista, poderiam parecer distantes ou técnicos demais.</w:t>
      </w:r>
    </w:p>
    <w:p w:rsidR="00000000" w:rsidDel="00000000" w:rsidP="00000000" w:rsidRDefault="00000000" w:rsidRPr="00000000" w14:paraId="00000010">
      <w:pPr>
        <w:spacing w:after="240" w:befor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Dessa forma, o presente trabalho tem como objetivo relatar a nossa experiència com o uso do humor como eixo comunicacional do projeto de extensão “Parasitologia Hoje”, observando a forma como artes, memes e quadros criativos são utilizados no Instagram para abordar temas da Parasitologia e da educação em saúde, dialogando com diferentes públicos por meio de uma linguagem contemporânea, acessível e engajadora.</w:t>
      </w:r>
    </w:p>
    <w:p w:rsidR="00000000" w:rsidDel="00000000" w:rsidP="00000000" w:rsidRDefault="00000000" w:rsidRPr="00000000" w14:paraId="0000001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heading=h.yhyrw4r63xwt" w:id="0"/>
      <w:bookmarkEnd w:id="0"/>
      <w:r w:rsidDel="00000000" w:rsidR="00000000" w:rsidRPr="00000000">
        <w:rPr>
          <w:rtl w:val="0"/>
        </w:rPr>
        <w:t xml:space="preserve">METODOLOGIA</w:t>
      </w:r>
    </w:p>
    <w:p w:rsidR="00000000" w:rsidDel="00000000" w:rsidP="00000000" w:rsidRDefault="00000000" w:rsidRPr="00000000" w14:paraId="00000013">
      <w:pPr>
        <w:spacing w:after="240" w:befor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Os conteúdos digitais do projeto são produzidos principalmente com as ferramentas </w:t>
      </w:r>
      <w:r w:rsidDel="00000000" w:rsidR="00000000" w:rsidRPr="00000000">
        <w:rPr>
          <w:b w:val="1"/>
          <w:rtl w:val="0"/>
        </w:rPr>
        <w:t xml:space="preserve">Canva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CapCut</w:t>
      </w:r>
      <w:r w:rsidDel="00000000" w:rsidR="00000000" w:rsidRPr="00000000">
        <w:rPr>
          <w:rtl w:val="0"/>
        </w:rPr>
        <w:t xml:space="preserve">, e publicados no perfil do projeto no Instagram (@parasitologiahoje). A equipe é composta por docentes e discentes de diferentes cursos da Universidade Federal Fluminense, atuando de forma colaborativa e interdisciplinar.</w:t>
      </w:r>
    </w:p>
    <w:p w:rsidR="00000000" w:rsidDel="00000000" w:rsidP="00000000" w:rsidRDefault="00000000" w:rsidRPr="00000000" w14:paraId="00000014">
      <w:pPr>
        <w:spacing w:after="240" w:befor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 dinâmica de produção envolve a publicação de pelo menos duas postagens semanais: uma com linguagem mais técnica e informativa; e outra com abordagem humorística. As reuniões quinzenais da equipe têm como foco o planejamento de quais conteúdos serão abordados e a escolha das estratégias de comunicação para estes, considerando as tendências das redes e atualidades da saúde pública.</w:t>
      </w:r>
    </w:p>
    <w:p w:rsidR="00000000" w:rsidDel="00000000" w:rsidP="00000000" w:rsidRDefault="00000000" w:rsidRPr="00000000" w14:paraId="00000015">
      <w:pPr>
        <w:spacing w:after="240" w:befor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Na construção das postagens humorísticas, são selecionados vídeos, áudios, memes e imagens em alta circulação no momento, os quais são adaptados para se relacionarem a temas da Parasitologia, com elementos do cotidiano, cultura pop e artes. Para mensurar o alcance e o engajamento das publicações, utilizou-se a ferramenta Meta Business Suite, que permite a análise de métricas como visualizações, curtidas, comentários e compartilhamentos.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rPr/>
      </w:pPr>
      <w:r w:rsidDel="00000000" w:rsidR="00000000" w:rsidRPr="00000000">
        <w:rPr>
          <w:rtl w:val="0"/>
        </w:rPr>
        <w:t xml:space="preserve">RESULTADOS E DISCUSSÃO</w:t>
      </w:r>
    </w:p>
    <w:p w:rsidR="00000000" w:rsidDel="00000000" w:rsidP="00000000" w:rsidRDefault="00000000" w:rsidRPr="00000000" w14:paraId="00000018">
      <w:pPr>
        <w:spacing w:after="240" w:befor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Desde o início do projeto, já foram produzidas mais de 500 publicações, sendo 45 apenas em 2025 (até o momento da submissão deste resumo), das quais 17 adotaram o humor como principal recurso. As análises apontam que as postagens humorísticas geraram maior engajamento do público: entre as cinco publicações mais visualizadas do ano (com alcance entre 2.510 e 5.019 visualizações), quatro utilizaram linguagem humorística e obtiveram entre 107 e 146 curtidas, havendo também maior número compartilhamentos e comentários (todos positivos).</w:t>
      </w:r>
    </w:p>
    <w:p w:rsidR="00000000" w:rsidDel="00000000" w:rsidP="00000000" w:rsidRDefault="00000000" w:rsidRPr="00000000" w14:paraId="00000019">
      <w:pPr>
        <w:spacing w:after="240" w:befor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As postagens mais populares incluem a associação de parasitos a signos do zodíaco, personagens de filmes, memes e situações do cotidiano. Essa abordagem lúdica e culturalmente situada tem se mostrado eficaz para despertar a curiosidade de públicos que, muitas vezes, não possuem contato prévio com a ciência ou com o ambiente acadêmico.</w:t>
      </w:r>
    </w:p>
    <w:p w:rsidR="00000000" w:rsidDel="00000000" w:rsidP="00000000" w:rsidRDefault="00000000" w:rsidRPr="00000000" w14:paraId="0000001A">
      <w:pPr>
        <w:spacing w:after="240" w:befor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Tais resultados confirmam a hipótese de que a ciência pode (e deve) dialogar com linguagens e estéticas do tempo presente, especialmente para combater desinformação e promover alfabetização científica.</w:t>
      </w:r>
    </w:p>
    <w:p w:rsidR="00000000" w:rsidDel="00000000" w:rsidP="00000000" w:rsidRDefault="00000000" w:rsidRPr="00000000" w14:paraId="0000001B">
      <w:pPr>
        <w:spacing w:after="240" w:before="24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CONSIDERAÇÕES FINAIS</w:t>
      </w:r>
    </w:p>
    <w:p w:rsidR="00000000" w:rsidDel="00000000" w:rsidP="00000000" w:rsidRDefault="00000000" w:rsidRPr="00000000" w14:paraId="0000001D">
      <w:pPr>
        <w:spacing w:after="240" w:befor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O uso do humor na divulgação científica, como proposto pelo projeto “Parasitologia Hoje”, tem se mostrado uma estratégia eficaz para ampliar o alcance da ciência, promover educação em saúde e democratizar o acesso ao conhecimento. Ao integrar elementos culturais, linguagem acessível e formatos digitais, o projeto fortalece o diálogo entre universidade e sociedade, contribuindo para a construção de uma ciência mais participativa, inclusiva e próxima do cotidiano das pessoas.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Agradecimento à PROEX-UFF pelo apoio financeiro na forma de bolsas aos estudantes do projeto.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widowControl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heading=h.ex5h37yzju4r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Referências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GUIA, C. P. B.; SARAIVA, J. A. C. O bom humor como ferramenta de divulgação científica: estudo de caso do IG @BiologiaIFCE. In: CONGRESSO NACIONAL DE EDUCAÇÃO – CONEDU, VI, 2019, Fortaleza, CE. </w:t>
      </w:r>
      <w:r w:rsidDel="00000000" w:rsidR="00000000" w:rsidRPr="00000000">
        <w:rPr>
          <w:i w:val="1"/>
          <w:rtl w:val="0"/>
        </w:rPr>
        <w:t xml:space="preserve">Anais VI CONEDU</w:t>
      </w:r>
      <w:r w:rsidDel="00000000" w:rsidR="00000000" w:rsidRPr="00000000">
        <w:rPr>
          <w:rtl w:val="0"/>
        </w:rPr>
        <w:t xml:space="preserve">. Campina Grande: Realize Editora, 2019. ISSN 2358‑8829. Pôster (GT 16 – Ensino de Ciências). Disponível em: https://www.editorarealize.com.br/artigo/visualizar/61244. Acesso em: 24 jul. 2025.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MANCOSO, Kaique; PAES, Amanda; OLIVEIRA, Thaiane; MASSARANI, Luisa. Pesquisa em desinformação e divulgação científica: uma revisão da literatura latino-americana. Journal of Science Communication América Latina, v. 6, n. 1, p. 1‑?, jun. 2023. doi:10.22323/3.06010201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RAMOS, J. E. F.; PIASSI, L. P. As possibilidades do uso do humor na divulgação científica. </w:t>
      </w:r>
      <w:r w:rsidDel="00000000" w:rsidR="00000000" w:rsidRPr="00000000">
        <w:rPr>
          <w:i w:val="1"/>
          <w:rtl w:val="0"/>
        </w:rPr>
        <w:t xml:space="preserve">Anais do XXI Simpósio Nacional de Ensino de Física – SNEF</w:t>
      </w:r>
      <w:r w:rsidDel="00000000" w:rsidR="00000000" w:rsidRPr="00000000">
        <w:rPr>
          <w:rtl w:val="0"/>
        </w:rPr>
        <w:t xml:space="preserve">, Uberlândia, MG, 26 a 30 jan. 2015. Universidade Federal de Uberlândia; Sociedade Brasileira de Física, 2015. Disponível em: </w:t>
      </w:r>
      <w:hyperlink r:id="rId7">
        <w:r w:rsidDel="00000000" w:rsidR="00000000" w:rsidRPr="00000000">
          <w:rPr>
            <w:rtl w:val="0"/>
          </w:rPr>
          <w:t xml:space="preserve">https://www.researchgate.net/publication/341993615_As_possibilidades_do_uso_do_humor_na_divulgacao_cientifica</w:t>
        </w:r>
      </w:hyperlink>
      <w:r w:rsidDel="00000000" w:rsidR="00000000" w:rsidRPr="00000000">
        <w:rPr>
          <w:rtl w:val="0"/>
        </w:rPr>
        <w:t xml:space="preserve">. Acesso em 24 jul. 2025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SANTOS, R; MARTINS, R. A nova comunicação da ciência: estratégias para o engajamento do público nas plataformas digitais. Revista Tecnologia e Sociedade, v. 17, n. 45, p. 83–100, 2021. Disponível em: https://periodicos.utfpr.edu.br/rts/article/view/14115.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992.1259842519685" w:right="998.7401574803164" w:header="1701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223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-874391</wp:posOffset>
          </wp:positionV>
          <wp:extent cx="7537556" cy="1021080"/>
          <wp:effectExtent b="0" l="0" r="0" t="0"/>
          <wp:wrapSquare wrapText="bothSides" distB="0" distT="0" distL="114300" distR="114300"/>
          <wp:docPr id="87141824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86471" l="0" r="0" t="3689"/>
                  <a:stretch>
                    <a:fillRect/>
                  </a:stretch>
                </pic:blipFill>
                <pic:spPr>
                  <a:xfrm>
                    <a:off x="0" y="0"/>
                    <a:ext cx="7537556" cy="10210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widowControl w:val="1"/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884EFD"/>
    <w:pPr>
      <w:keepNext w:val="1"/>
      <w:keepLines w:val="1"/>
      <w:widowControl w:val="1"/>
      <w:autoSpaceDE w:val="1"/>
      <w:autoSpaceDN w:val="1"/>
      <w:spacing w:before="40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szCs w:val="24"/>
      <w:lang w:bidi="ar-SA" w:eastAsia="en-US" w:val="pt-BR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884EFD"/>
    <w:pPr>
      <w:keepNext w:val="1"/>
      <w:keepLines w:val="1"/>
      <w:widowControl w:val="1"/>
      <w:autoSpaceDE w:val="1"/>
      <w:autoSpaceDN w:val="1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szCs w:val="24"/>
      <w:lang w:bidi="ar-SA" w:eastAsia="en-US" w:val="pt-BR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884EFD"/>
    <w:pPr>
      <w:keepNext w:val="1"/>
      <w:keepLines w:val="1"/>
      <w:widowControl w:val="1"/>
      <w:autoSpaceDE w:val="1"/>
      <w:autoSpaceDN w:val="1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szCs w:val="24"/>
      <w:lang w:bidi="ar-SA" w:eastAsia="en-US" w:val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1"/>
    <w:rsid w:val="00884EF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884EF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884EF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884EF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884EFD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884EFD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884EFD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884EFD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884EFD"/>
    <w:rPr>
      <w:rFonts w:cstheme="majorBidi" w:eastAsiaTheme="majorEastAsia"/>
      <w:color w:val="272727" w:themeColor="text1" w:themeTint="0000D8"/>
    </w:rPr>
  </w:style>
  <w:style w:type="character" w:styleId="TtuloChar" w:customStyle="1">
    <w:name w:val="Título Char"/>
    <w:basedOn w:val="Fontepargpadro"/>
    <w:link w:val="Ttulo"/>
    <w:uiPriority w:val="10"/>
    <w:rsid w:val="00884EF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tuloChar" w:customStyle="1">
    <w:name w:val="Subtítulo Char"/>
    <w:basedOn w:val="Fontepargpadro"/>
    <w:link w:val="Subttulo"/>
    <w:uiPriority w:val="11"/>
    <w:rsid w:val="00884EF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884EFD"/>
    <w:pPr>
      <w:widowControl w:val="1"/>
      <w:autoSpaceDE w:val="1"/>
      <w:autoSpaceDN w:val="1"/>
      <w:spacing w:after="160" w:before="160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szCs w:val="24"/>
      <w:lang w:bidi="ar-SA" w:eastAsia="en-US" w:val="pt-BR"/>
    </w:rPr>
  </w:style>
  <w:style w:type="character" w:styleId="CitaoChar" w:customStyle="1">
    <w:name w:val="Citação Char"/>
    <w:basedOn w:val="Fontepargpadro"/>
    <w:link w:val="Citao"/>
    <w:uiPriority w:val="29"/>
    <w:rsid w:val="00884EFD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884EFD"/>
    <w:pPr>
      <w:widowControl w:val="1"/>
      <w:autoSpaceDE w:val="1"/>
      <w:autoSpaceDN w:val="1"/>
      <w:ind w:left="720"/>
      <w:contextualSpacing w:val="1"/>
    </w:pPr>
    <w:rPr>
      <w:rFonts w:asciiTheme="minorHAnsi" w:cstheme="minorBidi" w:eastAsiaTheme="minorHAnsi" w:hAnsiTheme="minorHAnsi"/>
      <w:kern w:val="2"/>
      <w:szCs w:val="24"/>
      <w:lang w:bidi="ar-SA" w:eastAsia="en-US" w:val="pt-BR"/>
    </w:rPr>
  </w:style>
  <w:style w:type="character" w:styleId="nfaseIntensa">
    <w:name w:val="Intense Emphasis"/>
    <w:basedOn w:val="Fontepargpadro"/>
    <w:uiPriority w:val="21"/>
    <w:qFormat w:val="1"/>
    <w:rsid w:val="00884EFD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884EFD"/>
    <w:pPr>
      <w:widowControl w:val="1"/>
      <w:pBdr>
        <w:top w:color="0f4761" w:space="10" w:sz="4" w:themeColor="accent1" w:themeShade="0000BF" w:val="single"/>
        <w:bottom w:color="0f4761" w:space="10" w:sz="4" w:themeColor="accent1" w:themeShade="0000BF" w:val="single"/>
      </w:pBdr>
      <w:autoSpaceDE w:val="1"/>
      <w:autoSpaceDN w:val="1"/>
      <w:spacing w:after="360" w:before="360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szCs w:val="24"/>
      <w:lang w:bidi="ar-SA" w:eastAsia="en-US" w:val="pt-BR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884EFD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884EFD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884EFD"/>
    <w:pPr>
      <w:widowControl w:val="1"/>
      <w:tabs>
        <w:tab w:val="center" w:pos="4252"/>
        <w:tab w:val="right" w:pos="8504"/>
      </w:tabs>
      <w:autoSpaceDE w:val="1"/>
      <w:autoSpaceDN w:val="1"/>
    </w:pPr>
    <w:rPr>
      <w:rFonts w:asciiTheme="minorHAnsi" w:cstheme="minorBidi" w:eastAsiaTheme="minorHAnsi" w:hAnsiTheme="minorHAnsi"/>
      <w:lang w:bidi="ar-SA" w:eastAsia="en-US" w:val="pt-BR"/>
    </w:rPr>
  </w:style>
  <w:style w:type="character" w:styleId="CabealhoChar" w:customStyle="1">
    <w:name w:val="Cabeçalho Char"/>
    <w:basedOn w:val="Fontepargpadro"/>
    <w:link w:val="Cabealho"/>
    <w:uiPriority w:val="99"/>
    <w:rsid w:val="00884EFD"/>
    <w:rPr>
      <w:kern w:val="0"/>
      <w:szCs w:val="22"/>
    </w:rPr>
  </w:style>
  <w:style w:type="paragraph" w:styleId="Rodap">
    <w:name w:val="footer"/>
    <w:basedOn w:val="Normal"/>
    <w:link w:val="RodapChar"/>
    <w:uiPriority w:val="99"/>
    <w:unhideWhenUsed w:val="1"/>
    <w:rsid w:val="00884EFD"/>
    <w:pPr>
      <w:widowControl w:val="1"/>
      <w:tabs>
        <w:tab w:val="center" w:pos="4252"/>
        <w:tab w:val="right" w:pos="8504"/>
      </w:tabs>
      <w:autoSpaceDE w:val="1"/>
      <w:autoSpaceDN w:val="1"/>
    </w:pPr>
    <w:rPr>
      <w:rFonts w:asciiTheme="minorHAnsi" w:cstheme="minorBidi" w:eastAsiaTheme="minorHAnsi" w:hAnsiTheme="minorHAnsi"/>
      <w:lang w:bidi="ar-SA" w:eastAsia="en-US" w:val="pt-BR"/>
    </w:rPr>
  </w:style>
  <w:style w:type="character" w:styleId="RodapChar" w:customStyle="1">
    <w:name w:val="Rodapé Char"/>
    <w:basedOn w:val="Fontepargpadro"/>
    <w:link w:val="Rodap"/>
    <w:uiPriority w:val="99"/>
    <w:rsid w:val="00884EFD"/>
    <w:rPr>
      <w:kern w:val="0"/>
      <w:szCs w:val="22"/>
    </w:rPr>
  </w:style>
  <w:style w:type="paragraph" w:styleId="Subtitle">
    <w:name w:val="Subtitle"/>
    <w:basedOn w:val="Normal"/>
    <w:next w:val="Normal"/>
    <w:pPr>
      <w:widowControl w:val="1"/>
      <w:spacing w:after="160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researchgate.net/publication/341993615_As_possibilidades_do_uso_do_humor_na_divulgacao_cientifica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zBsj9PXgevimaCmj5h1pfq1W3Q==">CgMxLjAyDmgueWh5cnc0cjYzeHd0Mg5oLmV4NWgzN3l6anU0cjgAciExMWhVV2FLVW5hbW5uTllqcXpIUklpWlNJMjk2QWhPcXg=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2025-07-10T17:40:00Z</dcterms:created>
  <dc:creator>Luiz Andrade</dc:creator>
</cp:coreProperties>
</file>