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5BD1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bCs/>
          <w:szCs w:val="24"/>
          <w:lang w:eastAsia="pt-BR"/>
        </w:rPr>
      </w:pPr>
    </w:p>
    <w:p w14:paraId="79FB5C73" w14:textId="77777777" w:rsidR="00DC2BF1" w:rsidRPr="00BC48D3" w:rsidRDefault="00DC2BF1" w:rsidP="00DC2BF1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pt-BR"/>
        </w:rPr>
      </w:pPr>
      <w:r w:rsidRPr="00BC48D3">
        <w:rPr>
          <w:rFonts w:eastAsia="Times New Roman" w:cs="Times New Roman"/>
          <w:b/>
          <w:bCs/>
          <w:szCs w:val="24"/>
          <w:lang w:eastAsia="pt-BR"/>
        </w:rPr>
        <w:t xml:space="preserve">Um panorama da indústria fonográfica no início do novo </w:t>
      </w:r>
      <w:proofErr w:type="spellStart"/>
      <w:r w:rsidRPr="00BC48D3">
        <w:rPr>
          <w:rFonts w:eastAsia="Times New Roman" w:cs="Times New Roman"/>
          <w:b/>
          <w:bCs/>
          <w:szCs w:val="24"/>
          <w:lang w:eastAsia="pt-BR"/>
        </w:rPr>
        <w:t>milenio</w:t>
      </w:r>
      <w:proofErr w:type="spellEnd"/>
      <w:r w:rsidRPr="00BC48D3">
        <w:rPr>
          <w:rFonts w:eastAsia="Times New Roman" w:cs="Times New Roman"/>
          <w:b/>
          <w:bCs/>
          <w:szCs w:val="24"/>
          <w:lang w:eastAsia="pt-BR"/>
        </w:rPr>
        <w:t>: consortium, monopólio e homogeneidade cultural</w:t>
      </w:r>
    </w:p>
    <w:p w14:paraId="3A5AE157" w14:textId="77777777" w:rsidR="00514AEA" w:rsidRPr="00BC48D3" w:rsidRDefault="00514AEA" w:rsidP="00514AEA">
      <w:pPr>
        <w:spacing w:line="240" w:lineRule="auto"/>
        <w:jc w:val="center"/>
        <w:rPr>
          <w:rFonts w:eastAsia="Times New Roman" w:cs="Times New Roman"/>
          <w:bCs/>
          <w:szCs w:val="24"/>
          <w:lang w:eastAsia="pt-BR"/>
        </w:rPr>
      </w:pPr>
    </w:p>
    <w:p w14:paraId="4B83A730" w14:textId="7722E37E" w:rsidR="00514AEA" w:rsidRPr="00BC48D3" w:rsidRDefault="00DC2BF1" w:rsidP="00514AEA">
      <w:pPr>
        <w:spacing w:line="240" w:lineRule="auto"/>
        <w:jc w:val="right"/>
        <w:rPr>
          <w:rFonts w:eastAsia="Times New Roman" w:cs="Times New Roman"/>
          <w:bCs/>
          <w:szCs w:val="24"/>
          <w:lang w:eastAsia="pt-BR"/>
        </w:rPr>
      </w:pPr>
      <w:r w:rsidRPr="00BC48D3">
        <w:rPr>
          <w:rFonts w:eastAsia="Times New Roman" w:cs="Times New Roman"/>
          <w:bCs/>
          <w:szCs w:val="24"/>
          <w:lang w:eastAsia="pt-BR"/>
        </w:rPr>
        <w:t>Guido Agustín Saá</w:t>
      </w:r>
      <w:r w:rsidR="00514AEA" w:rsidRPr="00BC48D3">
        <w:rPr>
          <w:rFonts w:eastAsia="Times New Roman" w:cs="Times New Roman"/>
          <w:bCs/>
          <w:szCs w:val="24"/>
          <w:vertAlign w:val="superscript"/>
          <w:lang w:eastAsia="pt-BR"/>
        </w:rPr>
        <w:footnoteReference w:id="1"/>
      </w:r>
    </w:p>
    <w:p w14:paraId="63E2A013" w14:textId="77777777" w:rsidR="00514AEA" w:rsidRPr="00BC48D3" w:rsidRDefault="00514AEA" w:rsidP="00514AEA">
      <w:pPr>
        <w:spacing w:line="240" w:lineRule="auto"/>
        <w:jc w:val="center"/>
        <w:rPr>
          <w:rFonts w:eastAsia="Times New Roman" w:cs="Times New Roman"/>
          <w:bCs/>
          <w:szCs w:val="24"/>
          <w:lang w:eastAsia="pt-BR"/>
        </w:rPr>
      </w:pPr>
    </w:p>
    <w:p w14:paraId="0823E0FC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bCs/>
          <w:szCs w:val="24"/>
          <w:lang w:eastAsia="pt-BR"/>
        </w:rPr>
      </w:pPr>
    </w:p>
    <w:p w14:paraId="637AC796" w14:textId="77777777" w:rsidR="00514AEA" w:rsidRPr="00BC48D3" w:rsidRDefault="00514AEA" w:rsidP="00B52C48">
      <w:pPr>
        <w:pStyle w:val="Heading1"/>
      </w:pPr>
      <w:r w:rsidRPr="00BC48D3">
        <w:t>Resumo</w:t>
      </w:r>
    </w:p>
    <w:p w14:paraId="7847AD7D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pt-BR"/>
        </w:rPr>
      </w:pPr>
    </w:p>
    <w:p w14:paraId="319043F8" w14:textId="3ACEEC30" w:rsidR="00DC2BF1" w:rsidRPr="00BC48D3" w:rsidRDefault="00DC2BF1" w:rsidP="00DC2BF1">
      <w:pPr>
        <w:spacing w:line="240" w:lineRule="auto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A criação de ídolos infantis e juvenis não é um fenómeno exclusivo do novo milénio. Na indústria da música poderíamos dizer que desde os anos cinquenta tem sido a regra: a promoção de grupos e solistas de rock 'n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roll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(Elvis Presley, The Beach Boys, The Beatles),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bubblegum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pop (The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Archies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>, Ohio Express), a “nova onda” do twist (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Celentano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, Rita Pavone) e os grupos infantis (Menudo,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Uff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!) são alguns exemplos. São sem dúvida fortes apostas </w:t>
      </w:r>
      <w:r w:rsidR="00BD6690" w:rsidRPr="00BC48D3">
        <w:rPr>
          <w:rFonts w:eastAsia="Times New Roman" w:cs="Times New Roman"/>
          <w:iCs/>
          <w:szCs w:val="24"/>
          <w:lang w:eastAsia="pt-BR"/>
        </w:rPr>
        <w:t>dessas empresas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, que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realiza</w:t>
      </w:r>
      <w:r w:rsidR="00BD6690" w:rsidRPr="00BC48D3">
        <w:rPr>
          <w:rFonts w:eastAsia="Times New Roman" w:cs="Times New Roman"/>
          <w:iCs/>
          <w:szCs w:val="24"/>
          <w:lang w:eastAsia="pt-BR"/>
        </w:rPr>
        <w:t>n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um minucioso processo de seleção e formação, para garantir que as suas estrelas tenham uma personalidade avassaladora em palco, grande visibilidade mediática, uma abertura constante à vida privada e diversas e numerosas capacidades artísticas. Mas há algo que caracteriza a música do novo milénio: o seu altíssimo impacto e a sua enorme rentabilidade. Isso só poderia acontecer com tanta intensidade e sucesso graças a inúmeras políticas culturais típicas do mundo neoliberal e à desregulamentação da mídia: Britney Spears,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Backstreet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Boys, Beyoncé e Christina Aguilera, para citar alguns, são epifenômenos de um vertiginoso processo de concentração e cartelização da mídia sem precedentes, começando no início da década de 1990 e continuando até hoje. Em nosso trabalho, estamos interessados ​​em analisar o processo de </w:t>
      </w:r>
      <w:r w:rsidR="00BD6690" w:rsidRPr="00BC48D3">
        <w:rPr>
          <w:rFonts w:eastAsia="Times New Roman" w:cs="Times New Roman"/>
          <w:iCs/>
          <w:szCs w:val="24"/>
          <w:lang w:eastAsia="pt-BR"/>
        </w:rPr>
        <w:t>quinze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anos que vai de 1995 a 2010 na indústria fonográfica, explicando como os </w:t>
      </w:r>
      <w:r w:rsidR="00BD6690" w:rsidRPr="00BC48D3">
        <w:rPr>
          <w:rFonts w:eastAsia="Times New Roman" w:cs="Times New Roman"/>
          <w:i/>
          <w:szCs w:val="24"/>
          <w:lang w:eastAsia="pt-BR"/>
        </w:rPr>
        <w:t xml:space="preserve">big </w:t>
      </w:r>
      <w:proofErr w:type="spellStart"/>
      <w:r w:rsidR="00BD6690" w:rsidRPr="00BC48D3">
        <w:rPr>
          <w:rFonts w:eastAsia="Times New Roman" w:cs="Times New Roman"/>
          <w:i/>
          <w:szCs w:val="24"/>
          <w:lang w:eastAsia="pt-BR"/>
        </w:rPr>
        <w:t>six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acabaram sendo os </w:t>
      </w:r>
      <w:r w:rsidR="00BD6690" w:rsidRPr="00BC48D3">
        <w:rPr>
          <w:rFonts w:eastAsia="Times New Roman" w:cs="Times New Roman"/>
          <w:i/>
          <w:szCs w:val="24"/>
          <w:lang w:eastAsia="pt-BR"/>
        </w:rPr>
        <w:t xml:space="preserve">big </w:t>
      </w:r>
      <w:proofErr w:type="spellStart"/>
      <w:r w:rsidR="00BD6690" w:rsidRPr="00BC48D3">
        <w:rPr>
          <w:rFonts w:eastAsia="Times New Roman" w:cs="Times New Roman"/>
          <w:i/>
          <w:szCs w:val="24"/>
          <w:lang w:eastAsia="pt-BR"/>
        </w:rPr>
        <w:t>three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. Para compreender este fenômeno trabalhamos com a economia política, especificamente com as contribuições de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Zallo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(1988 y 2001), Van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Cuilenburg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/Dennis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McQuail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(2003), Negus (1992) e Martel (2014) que conheceram descrever a enorme indústria musical desta disciplina. Entretanto,</w:t>
      </w:r>
      <w:r w:rsidR="00A92C59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6D46DB">
        <w:rPr>
          <w:rFonts w:eastAsia="Times New Roman" w:cs="Times New Roman"/>
          <w:iCs/>
          <w:szCs w:val="24"/>
          <w:lang w:eastAsia="pt-BR"/>
        </w:rPr>
        <w:t xml:space="preserve">Aguiar e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Waldfogel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(201</w:t>
      </w:r>
      <w:r w:rsidR="006D46DB">
        <w:rPr>
          <w:rFonts w:eastAsia="Times New Roman" w:cs="Times New Roman"/>
          <w:iCs/>
          <w:szCs w:val="24"/>
          <w:lang w:eastAsia="pt-BR"/>
        </w:rPr>
        <w:t>6</w:t>
      </w:r>
      <w:r w:rsidRPr="00BC48D3">
        <w:rPr>
          <w:rFonts w:eastAsia="Times New Roman" w:cs="Times New Roman"/>
          <w:iCs/>
          <w:szCs w:val="24"/>
          <w:lang w:eastAsia="pt-BR"/>
        </w:rPr>
        <w:t>)</w:t>
      </w:r>
      <w:r w:rsidR="00DD6875">
        <w:rPr>
          <w:rFonts w:eastAsia="Times New Roman" w:cs="Times New Roman"/>
          <w:iCs/>
          <w:szCs w:val="24"/>
          <w:lang w:eastAsia="pt-BR"/>
        </w:rPr>
        <w:t xml:space="preserve"> </w:t>
      </w:r>
      <w:r w:rsidRPr="00BC48D3">
        <w:rPr>
          <w:rFonts w:eastAsia="Times New Roman" w:cs="Times New Roman"/>
          <w:iCs/>
          <w:szCs w:val="24"/>
          <w:lang w:eastAsia="pt-BR"/>
        </w:rPr>
        <w:t>e Montoro</w:t>
      </w:r>
      <w:r w:rsidR="000F4A44">
        <w:rPr>
          <w:rFonts w:eastAsia="Times New Roman" w:cs="Times New Roman"/>
          <w:iCs/>
          <w:szCs w:val="24"/>
          <w:lang w:eastAsia="pt-BR"/>
        </w:rPr>
        <w:t>-</w:t>
      </w:r>
      <w:r w:rsidRPr="00BC48D3">
        <w:rPr>
          <w:rFonts w:eastAsia="Times New Roman" w:cs="Times New Roman"/>
          <w:iCs/>
          <w:szCs w:val="24"/>
          <w:lang w:eastAsia="pt-BR"/>
        </w:rPr>
        <w:t>Pons</w:t>
      </w:r>
      <w:r w:rsidR="00A92C59" w:rsidRPr="00BC48D3">
        <w:rPr>
          <w:rFonts w:eastAsia="Times New Roman" w:cs="Times New Roman"/>
          <w:iCs/>
          <w:szCs w:val="24"/>
          <w:lang w:eastAsia="pt-BR"/>
        </w:rPr>
        <w:t xml:space="preserve"> e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Cuadrado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García (2017), servirão para compreender os processos de produção e distribuição de música na era digital emergente. Por fim, Jack Banks (1996) e a sua denúncia sobre a cartelização de conteúdos no canal MTV irá ajudar-nos a relacionar os fenómenos da indústria musical na sua sinergia com as empresas de telecomunicações (Rádio e TV). Utilizaremos as definições de concentração propostas por Labate, Lozano e outros (2013) e convergência (Becerra, 2011), bem como a definição de popstar que construiremos com a introdução ao livro de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Loy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Rickwood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e Bennett (2018). Para a indústria fonográfica, as contribuições de Albornoz (2011), Wong Chi Chung (201</w:t>
      </w:r>
      <w:r w:rsidR="00E8663F">
        <w:rPr>
          <w:rFonts w:eastAsia="Times New Roman" w:cs="Times New Roman"/>
          <w:iCs/>
          <w:szCs w:val="24"/>
          <w:lang w:eastAsia="pt-BR"/>
        </w:rPr>
        <w:t>0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) e novamente Martel (2014) servirão para compreender como o fenômeno de concentração, produção e difusão neste setor produtivo filial. </w:t>
      </w:r>
    </w:p>
    <w:p w14:paraId="1A199506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iCs/>
          <w:szCs w:val="24"/>
          <w:lang w:eastAsia="pt-BR"/>
        </w:rPr>
      </w:pPr>
    </w:p>
    <w:p w14:paraId="6276D687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iCs/>
          <w:szCs w:val="24"/>
          <w:lang w:eastAsia="pt-BR"/>
        </w:rPr>
      </w:pPr>
    </w:p>
    <w:p w14:paraId="0410E099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b/>
          <w:bCs/>
          <w:iCs/>
          <w:color w:val="000000"/>
          <w:szCs w:val="24"/>
          <w:lang w:eastAsia="pt-BR"/>
        </w:rPr>
      </w:pPr>
      <w:r w:rsidRPr="00BC48D3">
        <w:rPr>
          <w:rFonts w:eastAsia="Times New Roman" w:cs="Times New Roman"/>
          <w:b/>
          <w:bCs/>
          <w:iCs/>
          <w:color w:val="000000"/>
          <w:szCs w:val="24"/>
          <w:lang w:eastAsia="pt-BR"/>
        </w:rPr>
        <w:t>Palavras-chave</w:t>
      </w:r>
    </w:p>
    <w:p w14:paraId="1685021C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b/>
          <w:bCs/>
          <w:iCs/>
          <w:szCs w:val="24"/>
          <w:lang w:eastAsia="pt-BR"/>
        </w:rPr>
      </w:pPr>
    </w:p>
    <w:p w14:paraId="07AEAC50" w14:textId="7EE201CB" w:rsidR="00514AEA" w:rsidRPr="00BC48D3" w:rsidRDefault="00DC2BF1" w:rsidP="00514AEA">
      <w:pPr>
        <w:spacing w:line="240" w:lineRule="auto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Indústria fonográfica, pop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music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record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labels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r w:rsidR="00BD6690" w:rsidRPr="00BC48D3">
        <w:rPr>
          <w:rFonts w:eastAsia="Times New Roman" w:cs="Times New Roman"/>
          <w:iCs/>
          <w:szCs w:val="24"/>
          <w:lang w:eastAsia="pt-BR"/>
        </w:rPr>
        <w:t>gravadora, monopólio da mídia.</w:t>
      </w:r>
    </w:p>
    <w:p w14:paraId="71235BBB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iCs/>
          <w:szCs w:val="24"/>
          <w:lang w:eastAsia="pt-BR"/>
        </w:rPr>
      </w:pPr>
    </w:p>
    <w:p w14:paraId="7482FC1B" w14:textId="1D564437" w:rsidR="00514AEA" w:rsidRPr="00BC48D3" w:rsidRDefault="00696F78" w:rsidP="00B52C48">
      <w:pPr>
        <w:pStyle w:val="Heading1"/>
      </w:pPr>
      <w:r w:rsidRPr="00BC48D3">
        <w:t xml:space="preserve">Introdução </w:t>
      </w:r>
    </w:p>
    <w:p w14:paraId="600E9CA8" w14:textId="77777777" w:rsidR="00514AEA" w:rsidRPr="00BC48D3" w:rsidRDefault="00514AEA" w:rsidP="00514AEA">
      <w:pPr>
        <w:spacing w:line="240" w:lineRule="auto"/>
        <w:jc w:val="both"/>
        <w:rPr>
          <w:rFonts w:eastAsia="Times New Roman" w:cs="Times New Roman"/>
          <w:b/>
          <w:bCs/>
          <w:iCs/>
          <w:szCs w:val="24"/>
          <w:lang w:eastAsia="pt-BR"/>
        </w:rPr>
      </w:pPr>
    </w:p>
    <w:p w14:paraId="0CE5F568" w14:textId="7FA28115" w:rsidR="00BD6690" w:rsidRPr="00BC48D3" w:rsidRDefault="00BD6690" w:rsidP="00514AEA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lastRenderedPageBreak/>
        <w:t>Em este trabalho descreveremos o processo de progressiva concentração mediática que favoreceu a progressiva redução de agentes económicos no campo da indústria fonográfica, desde a perspectiva da economia política da comunicação, a disciplina que analisa os acontecimentos culturais na sua relação com o mercado na economia capitalista (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MOSCO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, 1996). Se o século XX permitiu ver o impacto causado pelos novos meios de gravação e reprodução musical, e viu o crescimento das primeiras editoras discográficas, os primeiros anos do século XXI assistirão à distribuição destes produtos musicais a nível global, o crescimento das audiências graças à Internet e a concentração progressiva do mercado discográfico por um punhado de empresas. </w:t>
      </w:r>
      <w:r w:rsidR="00213705" w:rsidRPr="00BC48D3">
        <w:rPr>
          <w:rFonts w:eastAsia="Times New Roman" w:cs="Times New Roman"/>
          <w:iCs/>
          <w:szCs w:val="24"/>
          <w:lang w:eastAsia="pt-BR"/>
        </w:rPr>
        <w:t>É esse contexto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sociocultural e económico em que emerge o </w:t>
      </w:r>
      <w:proofErr w:type="spellStart"/>
      <w:r w:rsidR="00213705" w:rsidRPr="00BC48D3">
        <w:rPr>
          <w:rFonts w:eastAsia="Times New Roman" w:cs="Times New Roman"/>
          <w:i/>
          <w:szCs w:val="24"/>
          <w:lang w:eastAsia="pt-BR"/>
        </w:rPr>
        <w:t>teen</w:t>
      </w:r>
      <w:proofErr w:type="spellEnd"/>
      <w:r w:rsidR="00213705" w:rsidRPr="00BC48D3">
        <w:rPr>
          <w:rFonts w:eastAsia="Times New Roman" w:cs="Times New Roman"/>
          <w:i/>
          <w:szCs w:val="24"/>
          <w:lang w:eastAsia="pt-BR"/>
        </w:rPr>
        <w:t xml:space="preserve"> pop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: </w:t>
      </w:r>
      <w:r w:rsidR="008B567A" w:rsidRPr="00BC48D3">
        <w:rPr>
          <w:rFonts w:eastAsia="Times New Roman" w:cs="Times New Roman"/>
          <w:iCs/>
          <w:szCs w:val="24"/>
          <w:lang w:eastAsia="pt-BR"/>
        </w:rPr>
        <w:t>descreveremos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suas condições-chave</w:t>
      </w:r>
      <w:r w:rsidR="00213705" w:rsidRPr="00BC48D3">
        <w:rPr>
          <w:rFonts w:eastAsia="Times New Roman" w:cs="Times New Roman"/>
          <w:iCs/>
          <w:szCs w:val="24"/>
          <w:lang w:eastAsia="pt-BR"/>
        </w:rPr>
        <w:t xml:space="preserve"> económicas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, sua expansão no campo audiovisual, o funcionamento interno das editoras discográficas e as formas como cada novo artista dirigido a um público global é </w:t>
      </w:r>
      <w:r w:rsidR="00AD7E83" w:rsidRPr="00BC48D3">
        <w:rPr>
          <w:rFonts w:eastAsia="Times New Roman" w:cs="Times New Roman"/>
          <w:iCs/>
          <w:szCs w:val="24"/>
          <w:lang w:eastAsia="pt-BR"/>
        </w:rPr>
        <w:t>examinado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e lançado.</w:t>
      </w:r>
    </w:p>
    <w:p w14:paraId="39343594" w14:textId="77777777" w:rsidR="00BD6690" w:rsidRPr="00BC48D3" w:rsidRDefault="00BD6690" w:rsidP="00B65579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0EC57557" w14:textId="0032BADA" w:rsidR="00BD6690" w:rsidRPr="00BC48D3" w:rsidRDefault="00BD6690" w:rsidP="00B52C48">
      <w:pPr>
        <w:pStyle w:val="Heading1"/>
      </w:pPr>
      <w:r w:rsidRPr="00BC48D3">
        <w:t>19</w:t>
      </w:r>
      <w:r w:rsidR="00C93C8C" w:rsidRPr="00BC48D3">
        <w:t>80</w:t>
      </w:r>
      <w:r w:rsidRPr="00BC48D3">
        <w:t xml:space="preserve">-2000: A desregulação dos entornos e </w:t>
      </w:r>
      <w:r w:rsidRPr="00BC48D3">
        <w:rPr>
          <w:i/>
        </w:rPr>
        <w:t>policies</w:t>
      </w:r>
      <w:r w:rsidRPr="00BC48D3">
        <w:t xml:space="preserve"> midiáticas </w:t>
      </w:r>
    </w:p>
    <w:p w14:paraId="44CAF23B" w14:textId="77777777" w:rsidR="00BD6690" w:rsidRPr="00BC48D3" w:rsidRDefault="00BD6690" w:rsidP="00B65579">
      <w:pPr>
        <w:jc w:val="both"/>
        <w:rPr>
          <w:rFonts w:eastAsia="Times New Roman" w:cs="Times New Roman"/>
          <w:b/>
          <w:bCs/>
          <w:iCs/>
          <w:color w:val="000000"/>
          <w:szCs w:val="24"/>
          <w:lang w:eastAsia="pt-BR"/>
        </w:rPr>
      </w:pPr>
    </w:p>
    <w:p w14:paraId="31857516" w14:textId="77777777" w:rsidR="00E8109D" w:rsidRPr="00BC48D3" w:rsidRDefault="00C93C8C" w:rsidP="00514AEA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Segundo Jan van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Cuilenburg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e Denis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McQuail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(2003), desde a década de 1980 predomina um paradigma regulatório que chamam de “Terceira Fase” da definição das políticas de mídia e comunicação. Esta terceira fase tem características diversas, muitas delas contraditórias, mas que coincidem em grande medida com a prevalência dos princípios do mercado sobre os do Estado nas </w:t>
      </w:r>
      <w:r w:rsidRPr="00BC48D3">
        <w:rPr>
          <w:rFonts w:eastAsia="Times New Roman" w:cs="Times New Roman"/>
          <w:i/>
          <w:szCs w:val="24"/>
          <w:lang w:eastAsia="pt-BR"/>
        </w:rPr>
        <w:t>policies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(regulações) midiáticas. Os discursos tecnocráticos sobre eficiência, concorrência e inovação serviram para justificar ações e legislações que gradualmente deslegitimaram a intervenção governamental e o desenho de políticas públicas.</w:t>
      </w:r>
    </w:p>
    <w:p w14:paraId="1C091938" w14:textId="227FE4B3" w:rsidR="00BD6690" w:rsidRPr="00BC48D3" w:rsidRDefault="00C93C8C" w:rsidP="00514AEA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Esta desregulamentação progressiva baseada na suposta necessidade de desenvolvimento tecnológico dos antigos e novos meios de comunicação social deu lugar à privatização generalizada dos serviços públicos, à concessão indiscriminada de licenças, à formação de monopólios e oligopólios empresariais dos meios de comunicação social e a várias formas de concentração e integração corporativa. Diferentemente da fase anterior (1945-1980), em que as considerações político-sociais prevaleceram sobre as tecnológicas e económicas, nesta terceira fase a autoridade e o alcance das regulações estatais diminuem face a uma crescente globalização e internacionalização de conglomerados empresariais e a coincidência cada vez mais generalizada entre convergência tecnológica e convergência económica. Estes dois fenómenos, cada vez mais acentuados pelo surgimento de novas tecnologias</w:t>
      </w:r>
      <w:r w:rsidR="008C0608" w:rsidRPr="00BC48D3">
        <w:rPr>
          <w:rFonts w:eastAsia="Times New Roman" w:cs="Times New Roman"/>
          <w:iCs/>
          <w:szCs w:val="24"/>
          <w:lang w:eastAsia="pt-BR"/>
        </w:rPr>
        <w:t xml:space="preserve"> de</w:t>
      </w:r>
      <w:r w:rsidR="0080603D" w:rsidRPr="00BC48D3">
        <w:rPr>
          <w:rFonts w:eastAsia="Times New Roman" w:cs="Times New Roman"/>
          <w:iCs/>
          <w:szCs w:val="24"/>
          <w:lang w:eastAsia="pt-BR"/>
        </w:rPr>
        <w:t xml:space="preserve"> aparelhos de </w:t>
      </w:r>
      <w:r w:rsidR="003D72CE" w:rsidRPr="00BC48D3">
        <w:rPr>
          <w:rFonts w:eastAsia="Times New Roman" w:cs="Times New Roman"/>
          <w:iCs/>
          <w:szCs w:val="24"/>
          <w:lang w:eastAsia="pt-BR"/>
        </w:rPr>
        <w:t>á</w:t>
      </w:r>
      <w:r w:rsidR="0080603D" w:rsidRPr="00BC48D3">
        <w:rPr>
          <w:rFonts w:eastAsia="Times New Roman" w:cs="Times New Roman"/>
          <w:iCs/>
          <w:szCs w:val="24"/>
          <w:lang w:eastAsia="pt-BR"/>
        </w:rPr>
        <w:t>udio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e pelo avanço da Internet, tenderam a estabilizar os monopólios e oligopólios </w:t>
      </w:r>
      <w:r w:rsidRPr="00BC48D3">
        <w:rPr>
          <w:rFonts w:eastAsia="Times New Roman" w:cs="Times New Roman"/>
          <w:iCs/>
          <w:szCs w:val="24"/>
          <w:lang w:eastAsia="pt-BR"/>
        </w:rPr>
        <w:lastRenderedPageBreak/>
        <w:t xml:space="preserve">transnacionais já existentes. As expansões e fusões empresariais exerceram ativamente pressão sobre os Estados, que gradualmente </w:t>
      </w:r>
      <w:r w:rsidR="008C465A" w:rsidRPr="00BC48D3">
        <w:rPr>
          <w:rFonts w:eastAsia="Times New Roman" w:cs="Times New Roman"/>
          <w:iCs/>
          <w:szCs w:val="24"/>
          <w:lang w:eastAsia="pt-BR"/>
        </w:rPr>
        <w:t>cederam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à regulamentação.</w:t>
      </w:r>
    </w:p>
    <w:p w14:paraId="3080B990" w14:textId="64ACA90F" w:rsidR="00C93C8C" w:rsidRPr="00BC48D3" w:rsidRDefault="00C93C8C" w:rsidP="00514AEA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O surgimento da Internet como </w:t>
      </w:r>
      <w:r w:rsidR="00730DD1" w:rsidRPr="00BC48D3">
        <w:rPr>
          <w:rFonts w:eastAsia="Times New Roman" w:cs="Times New Roman"/>
          <w:iCs/>
          <w:szCs w:val="24"/>
          <w:lang w:eastAsia="pt-BR"/>
        </w:rPr>
        <w:t>meio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de troca, difusão e socialização intensificou o discurso da competência</w:t>
      </w:r>
      <w:r w:rsidR="00730DD1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como forma de regulação: regras particulares para cada rama midiática e para cada infraestrutura, </w:t>
      </w:r>
      <w:proofErr w:type="gramStart"/>
      <w:r w:rsidRPr="00BC48D3">
        <w:rPr>
          <w:rFonts w:eastAsia="Times New Roman" w:cs="Times New Roman"/>
          <w:iCs/>
          <w:szCs w:val="24"/>
          <w:lang w:eastAsia="pt-BR"/>
        </w:rPr>
        <w:t xml:space="preserve">o </w:t>
      </w:r>
      <w:r w:rsidR="00B65579">
        <w:rPr>
          <w:rFonts w:eastAsia="Times New Roman" w:cs="Times New Roman"/>
          <w:iCs/>
          <w:szCs w:val="24"/>
          <w:lang w:eastAsia="pt-BR"/>
        </w:rPr>
        <w:t>instauração</w:t>
      </w:r>
      <w:proofErr w:type="gramEnd"/>
      <w:r w:rsidRPr="00BC48D3">
        <w:rPr>
          <w:rFonts w:eastAsia="Times New Roman" w:cs="Times New Roman"/>
          <w:iCs/>
          <w:szCs w:val="24"/>
          <w:lang w:eastAsia="pt-BR"/>
        </w:rPr>
        <w:t xml:space="preserve"> de obrigações mínimas pelas empresas e a busca pela expansão do serviço privado. As políticas e as autoridades reguladoras tendiam a subordinar-se à expansão e a complexidade tecnológica sob o pretexto ambíguo e </w:t>
      </w:r>
      <w:r w:rsidR="00A9518B" w:rsidRPr="00BC48D3">
        <w:rPr>
          <w:rFonts w:eastAsia="Times New Roman" w:cs="Times New Roman"/>
          <w:iCs/>
          <w:szCs w:val="24"/>
          <w:lang w:eastAsia="pt-BR"/>
        </w:rPr>
        <w:t>falso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dos “interesses do consumidor”, deixando de lado o interesse público; O interesse público foi até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ressemantizado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para se tornar acessibilidade a essas novas tecnologias e mídias (discurso imposto pelo mercado).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202D48" w:rsidRPr="00BC48D3">
        <w:rPr>
          <w:rFonts w:eastAsia="Times New Roman" w:cs="Times New Roman"/>
          <w:iCs/>
          <w:szCs w:val="24"/>
          <w:lang w:eastAsia="pt-BR"/>
        </w:rPr>
        <w:t>Então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 xml:space="preserve">, as </w:t>
      </w:r>
      <w:r w:rsidR="00202D48" w:rsidRPr="00BC48D3">
        <w:rPr>
          <w:rFonts w:eastAsia="Times New Roman" w:cs="Times New Roman"/>
          <w:iCs/>
          <w:szCs w:val="24"/>
          <w:lang w:eastAsia="pt-BR"/>
        </w:rPr>
        <w:t>indústrias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 xml:space="preserve"> culturais</w:t>
      </w:r>
      <w:r w:rsidR="00202D48" w:rsidRPr="00BC48D3">
        <w:rPr>
          <w:rFonts w:eastAsia="Times New Roman" w:cs="Times New Roman"/>
          <w:iCs/>
          <w:szCs w:val="24"/>
          <w:lang w:eastAsia="pt-BR"/>
        </w:rPr>
        <w:t xml:space="preserve"> aproveitaram um campo fértil para 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inserir e distribuir </w:t>
      </w:r>
      <w:proofErr w:type="spellStart"/>
      <w:r w:rsidR="00682EA4" w:rsidRPr="00BC48D3">
        <w:rPr>
          <w:rFonts w:eastAsia="Times New Roman" w:cs="Times New Roman"/>
          <w:iCs/>
          <w:szCs w:val="24"/>
          <w:lang w:eastAsia="pt-BR"/>
        </w:rPr>
        <w:t>suos</w:t>
      </w:r>
      <w:proofErr w:type="spellEnd"/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 produtos com uma facilidade sem precedentes.</w:t>
      </w:r>
    </w:p>
    <w:p w14:paraId="70FCD3C2" w14:textId="3E67A256" w:rsidR="00C93C8C" w:rsidRPr="00BC48D3" w:rsidRDefault="00E16F9D" w:rsidP="00C93C8C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As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 indústrias culturais </w:t>
      </w:r>
      <w:r w:rsidRPr="00BC48D3">
        <w:rPr>
          <w:rFonts w:eastAsia="Times New Roman" w:cs="Times New Roman"/>
          <w:iCs/>
          <w:szCs w:val="24"/>
          <w:lang w:eastAsia="pt-BR"/>
        </w:rPr>
        <w:t>são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 “um conjunto de ramos, segmentos e atividades industriais auxiliares que produzem e distribuem mercadorias com conteúdo simbólico, concebidas pelo trabalho criativo, organizadas por capitais valorizados e, em última instância, destinadas aos mercados de consumo, com função de influência ideológica e 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 xml:space="preserve">reprodução 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>social” (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ZALLO, 1988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, p. 26). </w:t>
      </w:r>
      <w:r w:rsidRPr="00BC48D3">
        <w:rPr>
          <w:rFonts w:eastAsia="Times New Roman" w:cs="Times New Roman"/>
          <w:iCs/>
          <w:szCs w:val="24"/>
          <w:lang w:eastAsia="pt-BR"/>
        </w:rPr>
        <w:t>Compõem u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>ma oferta cada vez mais ampla de mercadorias numa diversidade sem precedentes de suportes e equipamentos</w:t>
      </w:r>
      <w:r w:rsidR="00715A23" w:rsidRPr="00BC48D3">
        <w:rPr>
          <w:rFonts w:eastAsia="Times New Roman" w:cs="Times New Roman"/>
          <w:iCs/>
          <w:szCs w:val="24"/>
          <w:lang w:eastAsia="pt-BR"/>
        </w:rPr>
        <w:t xml:space="preserve"> que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 criou novas normas de consumo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>, dando origem a uma nova sociedade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; uma verdadeira era de produção simbólica, favorecida pela homogeneização dos preços e taxas internacionais. Esta extensão de produtos, usos e suportes (de disponibilidade, distribuição e portabilidade crescentes) permite-nos definir os meios de comunicação de massa como entidades económicas 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>unidas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 à mais-valia, que produzem e trocam bens mediados pela publicidade.</w:t>
      </w:r>
    </w:p>
    <w:p w14:paraId="3BA01BD3" w14:textId="56E986B2" w:rsidR="00C93C8C" w:rsidRPr="00BC48D3" w:rsidRDefault="003B7381" w:rsidP="00C93C8C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N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>ão existe sociedade “pós-industrial”, pois “a produção de bens simbólicos e de informação requer uma grande expansão simultânea dos suportes que a tornam possível” (</w:t>
      </w:r>
      <w:r w:rsidR="00AD7E83" w:rsidRPr="00BC48D3">
        <w:rPr>
          <w:rFonts w:eastAsia="Times New Roman" w:cs="Times New Roman"/>
          <w:iCs/>
          <w:szCs w:val="24"/>
          <w:lang w:eastAsia="pt-BR"/>
        </w:rPr>
        <w:t>ZALLO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>, p, 21): as novas tecnologias reduzem os preços ao reorganizar o trabalho,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 xml:space="preserve"> e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 a maior especialização do trabalho técnico-científico e sua coletivização geram novas formas de produtividade e a informação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 xml:space="preserve"> que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 simplifica </w:t>
      </w:r>
      <w:r w:rsidR="00E44497" w:rsidRPr="00BC48D3">
        <w:rPr>
          <w:rFonts w:eastAsia="Times New Roman" w:cs="Times New Roman"/>
          <w:iCs/>
          <w:szCs w:val="24"/>
          <w:lang w:eastAsia="pt-BR"/>
        </w:rPr>
        <w:t xml:space="preserve">processos produtivos 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>e reduz o tempo de trabalho necessário por unidade. Todos estes são processos puramente industriais, típicos da sociedade da informação. Perante um Estado cuja função é cada vez mais a de mero mediador entre as indústrias e a sociedade, estamos numa fase complexa e menos regulada do capitalismo, cuja base e expansão dependem cada vez mais da produção de informação, comunicação e cultura centralizada em poucas empresas produtoras: verdadeiros campos de acumulação prioritários que têm um lugar crescente na produção global</w:t>
      </w:r>
      <w:r w:rsidR="00535477" w:rsidRPr="00BC48D3">
        <w:rPr>
          <w:rFonts w:eastAsia="Times New Roman" w:cs="Times New Roman"/>
          <w:iCs/>
          <w:szCs w:val="24"/>
          <w:lang w:eastAsia="pt-BR"/>
        </w:rPr>
        <w:t xml:space="preserve">. 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 xml:space="preserve">Os processos de produção, distribuição e consumo de bens culturais influenciam as relações sociais e por isso as indústrias culturais </w:t>
      </w:r>
      <w:r w:rsidR="00C93C8C" w:rsidRPr="00BC48D3">
        <w:rPr>
          <w:rFonts w:eastAsia="Times New Roman" w:cs="Times New Roman"/>
          <w:iCs/>
          <w:szCs w:val="24"/>
          <w:lang w:eastAsia="pt-BR"/>
        </w:rPr>
        <w:lastRenderedPageBreak/>
        <w:t>“fazem parte dos sistemas de ideias e valores de uma sociedade (…)</w:t>
      </w:r>
      <w:r w:rsidR="0024339F"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>fazem parte da norma de consumo vigente e serão uma componente privilegiada da norma emergente devido à sua dupla função económica e social” (</w:t>
      </w:r>
      <w:r w:rsidR="00AD7E83" w:rsidRPr="00BC48D3">
        <w:rPr>
          <w:rFonts w:eastAsia="Times New Roman" w:cs="Times New Roman"/>
          <w:iCs/>
          <w:szCs w:val="24"/>
          <w:lang w:eastAsia="pt-BR"/>
        </w:rPr>
        <w:t>ZALLO</w:t>
      </w:r>
      <w:r w:rsidR="00C93C8C" w:rsidRPr="00BC48D3">
        <w:rPr>
          <w:rFonts w:eastAsia="Times New Roman" w:cs="Times New Roman"/>
          <w:iCs/>
          <w:szCs w:val="24"/>
          <w:lang w:eastAsia="pt-BR"/>
        </w:rPr>
        <w:t>, p. 25).</w:t>
      </w:r>
    </w:p>
    <w:p w14:paraId="0855C9F9" w14:textId="77777777" w:rsidR="00682EA4" w:rsidRPr="00BC48D3" w:rsidRDefault="00682EA4" w:rsidP="00C93C8C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6ED13452" w14:textId="6A913774" w:rsidR="00682EA4" w:rsidRPr="00BC48D3" w:rsidRDefault="00682EA4" w:rsidP="00B52C48">
      <w:pPr>
        <w:pStyle w:val="Heading1"/>
      </w:pPr>
      <w:r w:rsidRPr="00BC48D3">
        <w:t>A indústria fonográfica no final do milênio</w:t>
      </w:r>
      <w:r w:rsidR="008B79D3" w:rsidRPr="00BC48D3">
        <w:t xml:space="preserve">: sinergia e novo </w:t>
      </w:r>
      <w:r w:rsidR="007B0365" w:rsidRPr="00BC48D3">
        <w:t>entretenimento</w:t>
      </w:r>
    </w:p>
    <w:p w14:paraId="26F2BD6E" w14:textId="77777777" w:rsidR="00682EA4" w:rsidRPr="00BC48D3" w:rsidRDefault="00682EA4">
      <w:pPr>
        <w:rPr>
          <w:rFonts w:eastAsia="Times New Roman" w:cs="Times New Roman"/>
          <w:iCs/>
          <w:szCs w:val="24"/>
          <w:lang w:eastAsia="pt-BR"/>
        </w:rPr>
      </w:pPr>
    </w:p>
    <w:p w14:paraId="46E96C34" w14:textId="2C01501E" w:rsidR="00682EA4" w:rsidRPr="00BC48D3" w:rsidRDefault="00D15746" w:rsidP="00682EA4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Segundo a Keith Negus (1992)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, as gravadoras começaram a se ver como empresas de entretenimento e a se reconhecerem como organizações globais no final da década de 1980. Procuraram desenvolver personalidades globais que fossem comunicáveis e divulgadas através da mídia, e progressivamente se tornaram “um componente integrante de uma </w:t>
      </w:r>
      <w:r w:rsidR="00EC2534" w:rsidRPr="00BC48D3">
        <w:rPr>
          <w:rFonts w:eastAsia="Times New Roman" w:cs="Times New Roman"/>
          <w:iCs/>
          <w:szCs w:val="24"/>
          <w:lang w:eastAsia="pt-BR"/>
        </w:rPr>
        <w:t>rede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 crescente de indústrias interconectadas de entretenimento e lazer” (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NEGUS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, 1992:2011, p. 1). No momento da redação do </w:t>
      </w:r>
      <w:r w:rsidR="007C3362" w:rsidRPr="00BC48D3">
        <w:rPr>
          <w:rFonts w:eastAsia="Times New Roman" w:cs="Times New Roman"/>
          <w:iCs/>
          <w:szCs w:val="24"/>
          <w:lang w:eastAsia="pt-BR"/>
        </w:rPr>
        <w:t xml:space="preserve">seu 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livro, ainda existiam </w:t>
      </w:r>
      <w:r w:rsidR="00A9271A" w:rsidRPr="00BC48D3">
        <w:rPr>
          <w:rFonts w:eastAsia="Times New Roman" w:cs="Times New Roman"/>
          <w:iCs/>
          <w:szCs w:val="24"/>
          <w:lang w:eastAsia="pt-BR"/>
        </w:rPr>
        <w:t>cinco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 gravadoras que cobriam 70% das vendas internacionais: EMI, PolyGram, Sony, Warner, BMG, que por sua vez eram propriedade de grandes empresas transnacionais que se dedicavam a outros ramos do entretenimento. Esta tendência </w:t>
      </w:r>
      <w:r w:rsidR="00AD7E83" w:rsidRPr="00BC48D3">
        <w:rPr>
          <w:rFonts w:eastAsia="Times New Roman" w:cs="Times New Roman"/>
          <w:iCs/>
          <w:szCs w:val="24"/>
          <w:lang w:eastAsia="pt-BR"/>
        </w:rPr>
        <w:t>oligopolista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 não é nova na indústria (de facto, caracterizou-a ao longo do século XX) e nem a sua tendência para se envolver noutras indústrias d</w:t>
      </w:r>
      <w:r w:rsidR="00B65579">
        <w:rPr>
          <w:rFonts w:eastAsia="Times New Roman" w:cs="Times New Roman"/>
          <w:iCs/>
          <w:szCs w:val="24"/>
          <w:lang w:eastAsia="pt-BR"/>
        </w:rPr>
        <w:t>a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B65579" w:rsidRPr="00BC48D3">
        <w:rPr>
          <w:rFonts w:eastAsia="Times New Roman" w:cs="Times New Roman"/>
          <w:iCs/>
          <w:szCs w:val="24"/>
          <w:lang w:eastAsia="pt-BR"/>
        </w:rPr>
        <w:t>distração</w:t>
      </w:r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. Mas no </w:t>
      </w:r>
      <w:proofErr w:type="spellStart"/>
      <w:r w:rsidR="00682EA4" w:rsidRPr="00BC48D3">
        <w:rPr>
          <w:rFonts w:eastAsia="Times New Roman" w:cs="Times New Roman"/>
          <w:iCs/>
          <w:szCs w:val="24"/>
          <w:lang w:eastAsia="pt-BR"/>
        </w:rPr>
        <w:t>fin</w:t>
      </w:r>
      <w:proofErr w:type="spellEnd"/>
      <w:r w:rsidR="00682EA4" w:rsidRPr="00BC48D3">
        <w:rPr>
          <w:rFonts w:eastAsia="Times New Roman" w:cs="Times New Roman"/>
          <w:iCs/>
          <w:szCs w:val="24"/>
          <w:lang w:eastAsia="pt-BR"/>
        </w:rPr>
        <w:t xml:space="preserve"> do século, a novidade foi o seu carácter transnacional e as suas novas relações comerciais, que mais do que o confronto e a competição parecem demonstrar intensa cooperação ou diálogo.</w:t>
      </w:r>
    </w:p>
    <w:p w14:paraId="15A1BDA7" w14:textId="2FA38ADC" w:rsidR="008B79D3" w:rsidRPr="00BC48D3" w:rsidRDefault="00682EA4" w:rsidP="00682EA4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As grandes editoras discográficas, chamadas </w:t>
      </w:r>
      <w:r w:rsidRPr="00BC48D3">
        <w:rPr>
          <w:rFonts w:eastAsia="Times New Roman" w:cs="Times New Roman"/>
          <w:i/>
          <w:szCs w:val="24"/>
          <w:lang w:eastAsia="pt-BR"/>
        </w:rPr>
        <w:t xml:space="preserve">major </w:t>
      </w:r>
      <w:proofErr w:type="spellStart"/>
      <w:r w:rsidRPr="00BC48D3">
        <w:rPr>
          <w:rFonts w:eastAsia="Times New Roman" w:cs="Times New Roman"/>
          <w:i/>
          <w:szCs w:val="24"/>
          <w:lang w:eastAsia="pt-BR"/>
        </w:rPr>
        <w:t>labels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(</w:t>
      </w:r>
      <w:r w:rsidR="00282939" w:rsidRPr="00BC48D3">
        <w:rPr>
          <w:rFonts w:eastAsia="Times New Roman" w:cs="Times New Roman"/>
          <w:iCs/>
          <w:szCs w:val="24"/>
          <w:lang w:eastAsia="pt-BR"/>
        </w:rPr>
        <w:t xml:space="preserve">o </w:t>
      </w:r>
      <w:proofErr w:type="spellStart"/>
      <w:r w:rsidR="00282939" w:rsidRPr="00BC48D3">
        <w:rPr>
          <w:rFonts w:eastAsia="Times New Roman" w:cs="Times New Roman"/>
          <w:i/>
          <w:szCs w:val="24"/>
          <w:lang w:eastAsia="pt-BR"/>
        </w:rPr>
        <w:t>majors</w:t>
      </w:r>
      <w:proofErr w:type="spellEnd"/>
      <w:r w:rsidR="00282939"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caraterizadas pela sua capacidade de fabricar e distribuir de forma independente os seus produtos em todo o mundo), cresceram (e continuam a fazê-lo) através de processos complexos e longos de aquisições e fusões. Como o mercado discográfico internacional nasceu nos Estados Unidos e na Europa, e no seu nascimento era ocupado por apenas um punhado de editoras, as suas estratégias comerciais e artísticas continuam a ter uma marca intimamente ligada às suas origens. Então, produz-se o que Negus chama de “sinergia”, que ele descreve como </w:t>
      </w:r>
    </w:p>
    <w:p w14:paraId="25C43F28" w14:textId="446DA10A" w:rsidR="008B79D3" w:rsidRPr="00BC48D3" w:rsidRDefault="00682EA4" w:rsidP="00731B48">
      <w:pPr>
        <w:pStyle w:val="Citalarga"/>
      </w:pPr>
      <w:r w:rsidRPr="00BC48D3">
        <w:t>a estratégia de diversificar com tecnologias e áreas de entretenimento diretamente relacionadas e aproveitar as oportunidades que isso oferece para expandir a exposição de artistas e obras musicais específicas. (…) A sinergia não é motivada apenas pelo desejo de obter o máximo retorno da interligação que as indústrias do lazer proporcionam ao apresentar artistas em múltiplos meios. É também o reconhecimento de que as mudanças tecnológicas convergiram ao ponto de software, vídeo, discos e fitas poderem ser combinados e potencialmente utilizados num único dispositivo de entretenimento multimédia doméstico (</w:t>
      </w:r>
      <w:r w:rsidR="008B79D3" w:rsidRPr="00BC48D3">
        <w:t>NEGUS</w:t>
      </w:r>
      <w:r w:rsidRPr="00BC48D3">
        <w:t>, p. 4).</w:t>
      </w:r>
    </w:p>
    <w:p w14:paraId="542AD9BD" w14:textId="4FE7DB02" w:rsidR="00682EA4" w:rsidRPr="00BC48D3" w:rsidRDefault="00682EA4" w:rsidP="00682EA4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Dessa forma, </w:t>
      </w:r>
      <w:r w:rsidR="00D6323D" w:rsidRPr="00BC48D3">
        <w:rPr>
          <w:rFonts w:eastAsia="Times New Roman" w:cs="Times New Roman"/>
          <w:iCs/>
          <w:szCs w:val="24"/>
          <w:lang w:eastAsia="pt-BR"/>
        </w:rPr>
        <w:t>escoltando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uma atividade frenética de fusões e aquisições de e entre gravadoras e uma tendência crescente para alianças corporativas estratégicas para entrar e permanecer em indústrias de mídia voláteis e crescentes, as décadas de 80 e 90 assistem a uma </w:t>
      </w:r>
      <w:r w:rsidRPr="00BC48D3">
        <w:rPr>
          <w:rFonts w:eastAsia="Times New Roman" w:cs="Times New Roman"/>
          <w:iCs/>
          <w:szCs w:val="24"/>
          <w:lang w:eastAsia="pt-BR"/>
        </w:rPr>
        <w:lastRenderedPageBreak/>
        <w:t>tentativa marcante de aproveitar a sinergia entre software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,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áudio e vídeo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 xml:space="preserve"> (</w:t>
      </w:r>
      <w:r w:rsidRPr="00BC48D3">
        <w:rPr>
          <w:rFonts w:eastAsia="Times New Roman" w:cs="Times New Roman"/>
          <w:iCs/>
          <w:szCs w:val="24"/>
          <w:lang w:eastAsia="pt-BR"/>
        </w:rPr>
        <w:t>multimídia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)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. Isto levará então a um maior interesse em produtos 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interativos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e produções audiovisuais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 xml:space="preserve">, e a aparição de novos aparelhos e </w:t>
      </w:r>
      <w:r w:rsidR="0024339F" w:rsidRPr="00BC48D3">
        <w:rPr>
          <w:rFonts w:eastAsia="Times New Roman" w:cs="Times New Roman"/>
          <w:iCs/>
          <w:szCs w:val="24"/>
          <w:lang w:eastAsia="pt-BR"/>
        </w:rPr>
        <w:t>jeitos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 xml:space="preserve"> de consumo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. 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N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este contexto o som não é mais o foco central das gravadoras, mas sim o potencial pacote de entretenimento que pode ser obtido dos artistas, a possibilidade de exposição dos produtos através de </w:t>
      </w:r>
      <w:r w:rsidR="00D6323D" w:rsidRPr="00BC48D3">
        <w:rPr>
          <w:rFonts w:eastAsia="Times New Roman" w:cs="Times New Roman"/>
          <w:iCs/>
          <w:szCs w:val="24"/>
          <w:lang w:eastAsia="pt-BR"/>
        </w:rPr>
        <w:t>várias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linguagens artísticas e produtos culturais. Videoclipes, DVDs, campanhas publicitárias, reality shows, tudo isto terá como 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objetivo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posicionar os artistas internacionalmente, de forma a “alimentar a aldeia global” (</w:t>
      </w:r>
      <w:r w:rsidR="008B79D3" w:rsidRPr="00BC48D3">
        <w:rPr>
          <w:rFonts w:eastAsia="Times New Roman" w:cs="Times New Roman"/>
          <w:iCs/>
          <w:szCs w:val="24"/>
          <w:lang w:eastAsia="pt-BR"/>
        </w:rPr>
        <w:t>NEGUS</w:t>
      </w:r>
      <w:r w:rsidRPr="00BC48D3">
        <w:rPr>
          <w:rFonts w:eastAsia="Times New Roman" w:cs="Times New Roman"/>
          <w:iCs/>
          <w:szCs w:val="24"/>
          <w:lang w:eastAsia="pt-BR"/>
        </w:rPr>
        <w:t>, p. 6).</w:t>
      </w:r>
    </w:p>
    <w:p w14:paraId="381F7303" w14:textId="77777777" w:rsidR="00682EA4" w:rsidRPr="00BC48D3" w:rsidRDefault="00682EA4" w:rsidP="00682EA4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0E6E77AA" w14:textId="1B37E26A" w:rsidR="008B79D3" w:rsidRPr="00BC48D3" w:rsidRDefault="008B79D3" w:rsidP="00B52C48">
      <w:pPr>
        <w:pStyle w:val="Heading1"/>
      </w:pPr>
      <w:r w:rsidRPr="00BC48D3">
        <w:t>Uniformização do gosto num mundo globalizado</w:t>
      </w:r>
    </w:p>
    <w:p w14:paraId="7DB76533" w14:textId="77777777" w:rsidR="00682EA4" w:rsidRPr="00BC48D3" w:rsidRDefault="00682EA4" w:rsidP="00682EA4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4ACC4B72" w14:textId="43B70734" w:rsidR="00E10D7E" w:rsidRPr="00BC48D3" w:rsidRDefault="008B79D3" w:rsidP="00682EA4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A década de 1990 assistiu à proliferação da ideologia da globalização, um “discurso dominante” (NEGUS, p. 7) que exagerava as vantagens e escondia os conflitos e as desigualdades dos mercados transnacionais. Mais do que sonhos corporativos e palavras tranquilizadoras, a globalização (“organização da produção e exploração dos mercados em escala global”, p. 6) implicou mudanças reais nas estratégias empresariais, que começaram a ver o mundo não como um conjunto de estados distintos, mas como áreas comerciais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pan-regionais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interligadas, divididas de acordo com as suas características comerciais (mercados primário, secundário e terciário). A procura de maximizar as vendas num mercado em </w:t>
      </w:r>
      <w:r w:rsidR="00352E2F" w:rsidRPr="00BC48D3">
        <w:rPr>
          <w:rFonts w:eastAsia="Times New Roman" w:cs="Times New Roman"/>
          <w:iCs/>
          <w:szCs w:val="24"/>
          <w:lang w:eastAsia="pt-BR"/>
        </w:rPr>
        <w:t>aumento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levou à segmentação de públicos, à diversificação da produção e à concentração de marcas e distribuidores em todo o mundo. Tudo isto envolveu também grandes investimentos que só poderiam ser compensados pelo crescimento exponencial dos lucros, que só poderiam </w:t>
      </w:r>
      <w:r w:rsidR="00434A22" w:rsidRPr="00BC48D3">
        <w:rPr>
          <w:rFonts w:eastAsia="Times New Roman" w:cs="Times New Roman"/>
          <w:iCs/>
          <w:szCs w:val="24"/>
          <w:lang w:eastAsia="pt-BR"/>
        </w:rPr>
        <w:t xml:space="preserve">entanto </w:t>
      </w:r>
      <w:r w:rsidRPr="00BC48D3">
        <w:rPr>
          <w:rFonts w:eastAsia="Times New Roman" w:cs="Times New Roman"/>
          <w:iCs/>
          <w:szCs w:val="24"/>
          <w:lang w:eastAsia="pt-BR"/>
        </w:rPr>
        <w:t>ser assegurados através da colocação de produtos em todo o mundo.</w:t>
      </w:r>
      <w:r w:rsidR="00E10D7E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A primeira consequência destas tendências e estratégias é o domínio da música em inglês e, </w:t>
      </w:r>
      <w:r w:rsidR="00352E2F" w:rsidRPr="00BC48D3">
        <w:rPr>
          <w:rFonts w:eastAsia="Times New Roman" w:cs="Times New Roman"/>
          <w:iCs/>
          <w:szCs w:val="24"/>
          <w:lang w:eastAsia="pt-BR"/>
        </w:rPr>
        <w:t>nomeadamente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, dos produtos anglo-americanos. A segunda é uma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simple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derivação lógica disto:</w:t>
      </w:r>
    </w:p>
    <w:p w14:paraId="75E08C14" w14:textId="71D3DF53" w:rsidR="00682EA4" w:rsidRPr="00BC48D3" w:rsidRDefault="008B79D3" w:rsidP="00731B48">
      <w:pPr>
        <w:pStyle w:val="Citalarga"/>
      </w:pPr>
      <w:r w:rsidRPr="00BC48D3">
        <w:t xml:space="preserve">o domínio dos mercados mundiais pela música anglo-americana é reforçado pelo facto de as vendas americanas e britânicas influenciarem decisivamente as políticas locais das editoras discográficas e da programação de rádio em todo o mundo. (…) Assim, os mercados globais de música popular foram construídos para oferecer oportunidades aos artistas americanos e britânicos </w:t>
      </w:r>
      <w:r w:rsidR="00E10D7E" w:rsidRPr="00BC48D3">
        <w:t>antes de qualquer outro</w:t>
      </w:r>
      <w:r w:rsidRPr="00BC48D3">
        <w:t>. (</w:t>
      </w:r>
      <w:r w:rsidR="00E10D7E" w:rsidRPr="00BC48D3">
        <w:t>NEGUS</w:t>
      </w:r>
      <w:r w:rsidRPr="00BC48D3">
        <w:t>, pág. 10-11).</w:t>
      </w:r>
    </w:p>
    <w:p w14:paraId="442FCDBF" w14:textId="0506BEDB" w:rsidR="00E10D7E" w:rsidRPr="00BC48D3" w:rsidRDefault="00E10D7E" w:rsidP="00E10D7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Os gostos dos consumidores e dos mercados apontados não são tidos em conta, uma vez que o produto é previamente montado e testado, sendo assumido como universalmente adequado. A indústria musical constitui assim uma política cultural hegemónica, estabelecendo e fabricando agendas e gostos musicais, já que apenas produtos comprovados e bem-sucedidos chegam ao mercado global. 85% (NEGUS., p. 14) dos produtos (musicais e não musicais), </w:t>
      </w:r>
      <w:r w:rsidRPr="00BC48D3">
        <w:rPr>
          <w:rFonts w:eastAsia="Times New Roman" w:cs="Times New Roman"/>
          <w:iCs/>
          <w:szCs w:val="24"/>
          <w:lang w:eastAsia="pt-BR"/>
        </w:rPr>
        <w:lastRenderedPageBreak/>
        <w:t>durante a década de 90, foram produzidos e consumidos em três grandes mercados: os Estados Unidos, o Coreano-Japonês e a Europa Ocidental. Estes três mercados produziam tanto a música como os seus vídeos, os meios de comunicação (CD, vinil e DVD) e os seus dispositivos (leitores de DVD e CD, toca-discos) e o capital com o qual financiar tudo isto.</w:t>
      </w:r>
    </w:p>
    <w:p w14:paraId="27D0C3F3" w14:textId="1C83349E" w:rsidR="00E10D7E" w:rsidRPr="00BC48D3" w:rsidRDefault="00E10D7E" w:rsidP="00E10D7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Outra tendência corporativa envolve organizar e assegurar zelosamente os rendimentos </w:t>
      </w:r>
      <w:r w:rsidR="00F374DC" w:rsidRPr="00BC48D3">
        <w:rPr>
          <w:rFonts w:eastAsia="Times New Roman" w:cs="Times New Roman"/>
          <w:iCs/>
          <w:szCs w:val="24"/>
          <w:lang w:eastAsia="pt-BR"/>
        </w:rPr>
        <w:t>derivados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da circulação dos seus produtos a nível global. A aquisição de “produtos imateriais” (</w:t>
      </w:r>
      <w:r w:rsidR="00F374DC" w:rsidRPr="00BC48D3">
        <w:rPr>
          <w:rFonts w:eastAsia="Times New Roman" w:cs="Times New Roman"/>
          <w:iCs/>
          <w:szCs w:val="24"/>
          <w:lang w:eastAsia="pt-BR"/>
        </w:rPr>
        <w:t>NEGUS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., p. 12) está na ordem do dia: catálogos de músicas, direitos de produção e circulação, licenças de utilização para anúncios. A propriedade intelectual (o facto de uma ideia musical ter um dono que deve ser indemnizado) é uma ideologia em que as editoras se baseiam para garantir que recolhem os frutos do trabalho dos seus colaboradores (artistas, produtores, músicos) em nome da </w:t>
      </w:r>
      <w:r w:rsidR="00F374DC" w:rsidRPr="00BC48D3">
        <w:rPr>
          <w:rFonts w:eastAsia="Times New Roman" w:cs="Times New Roman"/>
          <w:iCs/>
          <w:szCs w:val="24"/>
          <w:lang w:eastAsia="pt-BR"/>
        </w:rPr>
        <w:t>inteireza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artística. Isto provocou uma intensa guerra contra a </w:t>
      </w:r>
      <w:r w:rsidR="00F374DC" w:rsidRPr="00BC48D3">
        <w:rPr>
          <w:rFonts w:eastAsia="Times New Roman" w:cs="Times New Roman"/>
          <w:iCs/>
          <w:szCs w:val="24"/>
          <w:lang w:eastAsia="pt-BR"/>
        </w:rPr>
        <w:t>“</w:t>
      </w:r>
      <w:r w:rsidRPr="00BC48D3">
        <w:rPr>
          <w:rFonts w:eastAsia="Times New Roman" w:cs="Times New Roman"/>
          <w:iCs/>
          <w:szCs w:val="24"/>
          <w:lang w:eastAsia="pt-BR"/>
        </w:rPr>
        <w:t>pirataria</w:t>
      </w:r>
      <w:r w:rsidR="00F374DC" w:rsidRPr="00BC48D3">
        <w:rPr>
          <w:rFonts w:eastAsia="Times New Roman" w:cs="Times New Roman"/>
          <w:iCs/>
          <w:szCs w:val="24"/>
          <w:lang w:eastAsia="pt-BR"/>
        </w:rPr>
        <w:t>”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e um </w:t>
      </w:r>
      <w:r w:rsidR="000E26AF" w:rsidRPr="00BC48D3">
        <w:rPr>
          <w:rFonts w:eastAsia="Times New Roman" w:cs="Times New Roman"/>
          <w:iCs/>
          <w:szCs w:val="24"/>
          <w:lang w:eastAsia="pt-BR"/>
        </w:rPr>
        <w:t xml:space="preserve">intenso 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lobby para a criação e </w:t>
      </w:r>
      <w:r w:rsidR="00F374DC" w:rsidRPr="00BC48D3">
        <w:rPr>
          <w:rFonts w:eastAsia="Times New Roman" w:cs="Times New Roman"/>
          <w:iCs/>
          <w:szCs w:val="24"/>
          <w:lang w:eastAsia="pt-BR"/>
        </w:rPr>
        <w:t>energização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de leis de direitos de autor em vários países.</w:t>
      </w:r>
    </w:p>
    <w:p w14:paraId="29D5621E" w14:textId="77777777" w:rsidR="00E10D7E" w:rsidRPr="00BC48D3" w:rsidRDefault="00E10D7E" w:rsidP="00682EA4">
      <w:pPr>
        <w:ind w:firstLine="709"/>
        <w:rPr>
          <w:rFonts w:eastAsia="Times New Roman" w:cs="Times New Roman"/>
          <w:iCs/>
          <w:szCs w:val="24"/>
          <w:lang w:eastAsia="pt-BR"/>
        </w:rPr>
      </w:pPr>
    </w:p>
    <w:p w14:paraId="7DBCD30C" w14:textId="13CE6FFA" w:rsidR="00156D46" w:rsidRPr="00BC48D3" w:rsidRDefault="00156D46" w:rsidP="00B52C48">
      <w:pPr>
        <w:pStyle w:val="Heading1"/>
      </w:pPr>
      <w:r w:rsidRPr="00BC48D3">
        <w:t xml:space="preserve">Descentralização e colaboração </w:t>
      </w:r>
    </w:p>
    <w:p w14:paraId="5E2128E5" w14:textId="77777777" w:rsidR="00CB70E1" w:rsidRPr="00BC48D3" w:rsidRDefault="00CB70E1" w:rsidP="00156D46">
      <w:pPr>
        <w:rPr>
          <w:rFonts w:eastAsia="Times New Roman" w:cs="Times New Roman"/>
          <w:b/>
          <w:bCs/>
          <w:iCs/>
          <w:szCs w:val="24"/>
          <w:lang w:eastAsia="pt-BR"/>
        </w:rPr>
      </w:pPr>
    </w:p>
    <w:p w14:paraId="4428CAB9" w14:textId="0370EE2B" w:rsidR="00156D46" w:rsidRPr="00BC48D3" w:rsidRDefault="005E2E32" w:rsidP="00024D73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Esta situação 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teve uma contrapartida: a crescente descentralização das grandes editoras. Devido à pressão governamental, esta tendência iniciada na década de 1970 obriga as grandes empresas a delegar tarefas, objetivos e capital a empresas satélites e marcas mais pequenas, com maior grau </w:t>
      </w:r>
      <w:r w:rsidR="00243B79" w:rsidRPr="00BC48D3">
        <w:rPr>
          <w:rFonts w:eastAsia="Times New Roman" w:cs="Times New Roman"/>
          <w:iCs/>
          <w:szCs w:val="24"/>
          <w:lang w:eastAsia="pt-BR"/>
        </w:rPr>
        <w:t>de autonomia,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960683" w:rsidRPr="00BC48D3">
        <w:rPr>
          <w:rFonts w:eastAsia="Times New Roman" w:cs="Times New Roman"/>
          <w:iCs/>
          <w:szCs w:val="24"/>
          <w:lang w:eastAsia="pt-BR"/>
        </w:rPr>
        <w:t>no entanto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coordenadas a partir de uma unidade central.</w:t>
      </w:r>
      <w:r w:rsidR="00E62BC3" w:rsidRPr="00BC48D3">
        <w:rPr>
          <w:rFonts w:eastAsia="Times New Roman" w:cs="Times New Roman"/>
          <w:iCs/>
          <w:szCs w:val="24"/>
          <w:lang w:eastAsia="pt-BR"/>
        </w:rPr>
        <w:t xml:space="preserve"> Sobretudo,</w:t>
      </w:r>
      <w:r w:rsidR="00152A36" w:rsidRPr="00BC48D3">
        <w:rPr>
          <w:rFonts w:eastAsia="Times New Roman" w:cs="Times New Roman"/>
          <w:iCs/>
          <w:szCs w:val="24"/>
          <w:lang w:eastAsia="pt-BR"/>
        </w:rPr>
        <w:t xml:space="preserve"> esse foi o casso das gravadoras </w:t>
      </w:r>
      <w:r w:rsidR="007E2C57" w:rsidRPr="00BC48D3">
        <w:rPr>
          <w:rFonts w:eastAsia="Times New Roman" w:cs="Times New Roman"/>
          <w:iCs/>
          <w:szCs w:val="24"/>
          <w:lang w:eastAsia="pt-BR"/>
        </w:rPr>
        <w:t>adquiridas pe</w:t>
      </w:r>
      <w:r w:rsidR="006B637C" w:rsidRPr="00BC48D3">
        <w:rPr>
          <w:rFonts w:eastAsia="Times New Roman" w:cs="Times New Roman"/>
          <w:iCs/>
          <w:szCs w:val="24"/>
          <w:lang w:eastAsia="pt-BR"/>
        </w:rPr>
        <w:t xml:space="preserve">las </w:t>
      </w:r>
      <w:r w:rsidR="00503E8B" w:rsidRPr="00BC48D3">
        <w:rPr>
          <w:rFonts w:eastAsia="Times New Roman" w:cs="Times New Roman"/>
          <w:i/>
          <w:szCs w:val="24"/>
          <w:lang w:eastAsia="pt-BR"/>
        </w:rPr>
        <w:t xml:space="preserve">big </w:t>
      </w:r>
      <w:proofErr w:type="spellStart"/>
      <w:r w:rsidR="00503E8B" w:rsidRPr="00BC48D3">
        <w:rPr>
          <w:rFonts w:eastAsia="Times New Roman" w:cs="Times New Roman"/>
          <w:i/>
          <w:szCs w:val="24"/>
          <w:lang w:eastAsia="pt-BR"/>
        </w:rPr>
        <w:t>labels</w:t>
      </w:r>
      <w:proofErr w:type="spellEnd"/>
      <w:r w:rsidR="006B637C" w:rsidRPr="00BC48D3">
        <w:rPr>
          <w:rFonts w:eastAsia="Times New Roman" w:cs="Times New Roman"/>
          <w:iCs/>
          <w:szCs w:val="24"/>
          <w:lang w:eastAsia="pt-BR"/>
        </w:rPr>
        <w:t xml:space="preserve"> em outros países.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Isso ocorre porque uma gravadora exige duas tarefas complementares: a aquisição de novos artistas e a produção de novos materiais por artistas pré-existentes. O risco crescente de dupla atividade num mercado em mudança e em expansão exigiu mudanças na dinâmica e nos ambientes de trabalho, a fim de responder rapidamente a essas mudanças. Este novo modelo hierárquico é denominado “</w:t>
      </w:r>
      <w:proofErr w:type="spellStart"/>
      <w:r w:rsidR="001431C6" w:rsidRPr="00BC48D3">
        <w:rPr>
          <w:rFonts w:eastAsia="Times New Roman" w:cs="Times New Roman"/>
          <w:i/>
          <w:iCs/>
          <w:szCs w:val="24"/>
          <w:lang w:eastAsia="pt-BR"/>
        </w:rPr>
        <w:t>loose-tight</w:t>
      </w:r>
      <w:proofErr w:type="spellEnd"/>
      <w:r w:rsidR="001431C6" w:rsidRPr="00BC48D3">
        <w:rPr>
          <w:rFonts w:eastAsia="Times New Roman" w:cs="Times New Roman"/>
          <w:i/>
          <w:iCs/>
          <w:szCs w:val="24"/>
          <w:lang w:eastAsia="pt-BR"/>
        </w:rPr>
        <w:t xml:space="preserve"> approach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>” (</w:t>
      </w:r>
      <w:r w:rsidR="00503E8B" w:rsidRPr="00BC48D3">
        <w:rPr>
          <w:rFonts w:eastAsia="Times New Roman" w:cs="Times New Roman"/>
          <w:iCs/>
          <w:szCs w:val="24"/>
          <w:lang w:eastAsia="pt-BR"/>
        </w:rPr>
        <w:t>NEGUS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>, p. 15)</w:t>
      </w:r>
      <w:r w:rsidR="001431C6" w:rsidRPr="00BC48D3">
        <w:rPr>
          <w:rFonts w:eastAsia="Times New Roman" w:cs="Times New Roman"/>
          <w:iCs/>
          <w:szCs w:val="24"/>
          <w:lang w:eastAsia="pt-BR"/>
        </w:rPr>
        <w:t xml:space="preserve"> (abordagem </w:t>
      </w:r>
      <w:r w:rsidR="00651D1F" w:rsidRPr="00BC48D3">
        <w:rPr>
          <w:rFonts w:eastAsia="Times New Roman" w:cs="Times New Roman"/>
          <w:iCs/>
          <w:szCs w:val="24"/>
          <w:lang w:eastAsia="pt-BR"/>
        </w:rPr>
        <w:t>“</w:t>
      </w:r>
      <w:r w:rsidR="001431C6" w:rsidRPr="00BC48D3">
        <w:rPr>
          <w:rFonts w:eastAsia="Times New Roman" w:cs="Times New Roman"/>
          <w:iCs/>
          <w:szCs w:val="24"/>
          <w:lang w:eastAsia="pt-BR"/>
        </w:rPr>
        <w:t>flexível-</w:t>
      </w:r>
      <w:r w:rsidR="00140C04" w:rsidRPr="00BC48D3">
        <w:rPr>
          <w:rFonts w:eastAsia="Times New Roman" w:cs="Times New Roman"/>
          <w:iCs/>
          <w:szCs w:val="24"/>
          <w:lang w:eastAsia="pt-BR"/>
        </w:rPr>
        <w:t>apertado</w:t>
      </w:r>
      <w:r w:rsidR="00651D1F" w:rsidRPr="00BC48D3">
        <w:rPr>
          <w:rFonts w:eastAsia="Times New Roman" w:cs="Times New Roman"/>
          <w:iCs/>
          <w:szCs w:val="24"/>
          <w:lang w:eastAsia="pt-BR"/>
        </w:rPr>
        <w:t>”</w:t>
      </w:r>
      <w:r w:rsidR="00140C04" w:rsidRPr="00BC48D3">
        <w:rPr>
          <w:rFonts w:eastAsia="Times New Roman" w:cs="Times New Roman"/>
          <w:iCs/>
          <w:szCs w:val="24"/>
          <w:lang w:eastAsia="pt-BR"/>
        </w:rPr>
        <w:t>)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e </w:t>
      </w:r>
      <w:r w:rsidR="00F4139F" w:rsidRPr="00BC48D3">
        <w:rPr>
          <w:rFonts w:eastAsia="Times New Roman" w:cs="Times New Roman"/>
          <w:iCs/>
          <w:szCs w:val="24"/>
          <w:lang w:eastAsia="pt-BR"/>
        </w:rPr>
        <w:t>garantiu liberdade criativa e controle financeiro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. As divisões semiautônomas são mais fáceis de monitorar separadamente, identificando o desempenho e a atividade de cada uma; </w:t>
      </w:r>
      <w:r w:rsidR="00243B79" w:rsidRPr="00BC48D3">
        <w:rPr>
          <w:rFonts w:eastAsia="Times New Roman" w:cs="Times New Roman"/>
          <w:iCs/>
          <w:szCs w:val="24"/>
          <w:lang w:eastAsia="pt-BR"/>
        </w:rPr>
        <w:t>essa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atividade tem uma contrapartida semelhante: as </w:t>
      </w:r>
      <w:r w:rsidR="00282939" w:rsidRPr="00BC48D3">
        <w:rPr>
          <w:rFonts w:eastAsia="Times New Roman" w:cs="Times New Roman"/>
          <w:i/>
          <w:szCs w:val="24"/>
          <w:lang w:eastAsia="pt-BR"/>
        </w:rPr>
        <w:t xml:space="preserve">big </w:t>
      </w:r>
      <w:proofErr w:type="spellStart"/>
      <w:r w:rsidR="00282939" w:rsidRPr="00BC48D3">
        <w:rPr>
          <w:rFonts w:eastAsia="Times New Roman" w:cs="Times New Roman"/>
          <w:i/>
          <w:szCs w:val="24"/>
          <w:lang w:eastAsia="pt-BR"/>
        </w:rPr>
        <w:t>labels</w:t>
      </w:r>
      <w:proofErr w:type="spellEnd"/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que passam a coordenar atividades com as menores (</w:t>
      </w:r>
      <w:r w:rsidR="00024D73" w:rsidRPr="00BC48D3">
        <w:rPr>
          <w:rFonts w:eastAsia="Times New Roman" w:cs="Times New Roman"/>
          <w:i/>
          <w:szCs w:val="24"/>
          <w:lang w:eastAsia="pt-BR"/>
        </w:rPr>
        <w:t>indie</w:t>
      </w:r>
      <w:r w:rsidR="00282939" w:rsidRPr="00BC48D3">
        <w:rPr>
          <w:rFonts w:eastAsia="Times New Roman" w:cs="Times New Roman"/>
          <w:i/>
          <w:szCs w:val="24"/>
          <w:lang w:eastAsia="pt-BR"/>
        </w:rPr>
        <w:t>s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>)</w:t>
      </w:r>
      <w:r w:rsidR="00430FDC" w:rsidRPr="00BC48D3">
        <w:rPr>
          <w:rFonts w:eastAsia="Times New Roman" w:cs="Times New Roman"/>
          <w:iCs/>
          <w:szCs w:val="24"/>
          <w:lang w:eastAsia="pt-BR"/>
        </w:rPr>
        <w:t xml:space="preserve">, para 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diversificar seu catálogo. A associação de </w:t>
      </w:r>
      <w:r w:rsidR="00024D73" w:rsidRPr="00BC48D3">
        <w:rPr>
          <w:rFonts w:eastAsia="Times New Roman" w:cs="Times New Roman"/>
          <w:i/>
          <w:szCs w:val="24"/>
          <w:lang w:eastAsia="pt-BR"/>
        </w:rPr>
        <w:t>indies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e </w:t>
      </w:r>
      <w:proofErr w:type="spellStart"/>
      <w:r w:rsidR="00024D73" w:rsidRPr="00BC48D3">
        <w:rPr>
          <w:rFonts w:eastAsia="Times New Roman" w:cs="Times New Roman"/>
          <w:i/>
          <w:szCs w:val="24"/>
          <w:lang w:eastAsia="pt-BR"/>
        </w:rPr>
        <w:t>majors</w:t>
      </w:r>
      <w:proofErr w:type="spellEnd"/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deixou claro que </w:t>
      </w:r>
      <w:r w:rsidR="00024D73" w:rsidRPr="00BC48D3">
        <w:rPr>
          <w:rFonts w:eastAsia="Times New Roman" w:cs="Times New Roman"/>
          <w:i/>
          <w:szCs w:val="24"/>
          <w:lang w:eastAsia="pt-BR"/>
        </w:rPr>
        <w:t>'indie'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é apenas um termo de marketing e que a sua </w:t>
      </w:r>
      <w:r w:rsidR="00282939" w:rsidRPr="00BC48D3">
        <w:rPr>
          <w:rFonts w:eastAsia="Times New Roman" w:cs="Times New Roman"/>
          <w:iCs/>
          <w:szCs w:val="24"/>
          <w:lang w:eastAsia="pt-BR"/>
        </w:rPr>
        <w:t>atividade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é mais fácil com financiamento externo. Sem perder o seu espírito inquieto e autónomo, estas pequenas marcas teriam uma produção e distribuição limitadas</w:t>
      </w:r>
      <w:r w:rsidR="00DA54D3" w:rsidRPr="00BC48D3">
        <w:rPr>
          <w:rFonts w:eastAsia="Times New Roman" w:cs="Times New Roman"/>
          <w:iCs/>
          <w:szCs w:val="24"/>
          <w:lang w:eastAsia="pt-BR"/>
        </w:rPr>
        <w:t>, m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ais investimento e melhor marketing dão </w:t>
      </w:r>
      <w:r w:rsidR="00352E2F" w:rsidRPr="00BC48D3">
        <w:rPr>
          <w:rFonts w:eastAsia="Times New Roman" w:cs="Times New Roman"/>
          <w:iCs/>
          <w:szCs w:val="24"/>
          <w:lang w:eastAsia="pt-BR"/>
        </w:rPr>
        <w:t>constância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à sua atividade</w:t>
      </w:r>
      <w:r w:rsidR="00462FDB"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r w:rsidR="00B46277" w:rsidRPr="00BC48D3">
        <w:rPr>
          <w:rFonts w:eastAsia="Times New Roman" w:cs="Times New Roman"/>
          <w:iCs/>
          <w:szCs w:val="24"/>
          <w:lang w:eastAsia="pt-BR"/>
        </w:rPr>
        <w:t xml:space="preserve">que 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sempre </w:t>
      </w:r>
      <w:r w:rsidR="00B46277" w:rsidRPr="00BC48D3">
        <w:rPr>
          <w:rFonts w:eastAsia="Times New Roman" w:cs="Times New Roman"/>
          <w:iCs/>
          <w:szCs w:val="24"/>
          <w:lang w:eastAsia="pt-BR"/>
        </w:rPr>
        <w:t>t</w:t>
      </w:r>
      <w:r w:rsidR="00462FDB" w:rsidRPr="00BC48D3">
        <w:rPr>
          <w:rFonts w:eastAsia="Times New Roman" w:cs="Times New Roman"/>
          <w:iCs/>
          <w:szCs w:val="24"/>
          <w:lang w:eastAsia="pt-BR"/>
        </w:rPr>
        <w:t>e</w:t>
      </w:r>
      <w:r w:rsidR="00B46277" w:rsidRPr="00BC48D3">
        <w:rPr>
          <w:rFonts w:eastAsia="Times New Roman" w:cs="Times New Roman"/>
          <w:iCs/>
          <w:szCs w:val="24"/>
          <w:lang w:eastAsia="pt-BR"/>
        </w:rPr>
        <w:t xml:space="preserve">ve 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a mesma motivação monetária das </w:t>
      </w:r>
      <w:r w:rsidR="00352E2F" w:rsidRPr="00BC48D3">
        <w:rPr>
          <w:rFonts w:eastAsia="Times New Roman" w:cs="Times New Roman"/>
          <w:i/>
          <w:szCs w:val="24"/>
          <w:lang w:eastAsia="pt-BR"/>
        </w:rPr>
        <w:t>major</w:t>
      </w:r>
      <w:r w:rsidR="00024D73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proofErr w:type="spellStart"/>
      <w:r w:rsidR="00352E2F" w:rsidRPr="00BC48D3">
        <w:rPr>
          <w:rFonts w:eastAsia="Times New Roman" w:cs="Times New Roman"/>
          <w:i/>
          <w:szCs w:val="24"/>
          <w:lang w:eastAsia="pt-BR"/>
        </w:rPr>
        <w:t>labels</w:t>
      </w:r>
      <w:proofErr w:type="spellEnd"/>
      <w:r w:rsidR="00024D73" w:rsidRPr="00BC48D3">
        <w:rPr>
          <w:rFonts w:eastAsia="Times New Roman" w:cs="Times New Roman"/>
          <w:iCs/>
          <w:szCs w:val="24"/>
          <w:lang w:eastAsia="pt-BR"/>
        </w:rPr>
        <w:t>.</w:t>
      </w:r>
    </w:p>
    <w:p w14:paraId="4D3E1127" w14:textId="66EF7BC4" w:rsidR="00D6660A" w:rsidRPr="00BC48D3" w:rsidRDefault="00ED4F4E" w:rsidP="00AD7E83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lastRenderedPageBreak/>
        <w:t xml:space="preserve">Desta forma, Negus caracteriza </w:t>
      </w:r>
      <w:r w:rsidR="008F1A50" w:rsidRPr="00BC48D3">
        <w:rPr>
          <w:rFonts w:eastAsia="Times New Roman" w:cs="Times New Roman"/>
          <w:iCs/>
          <w:szCs w:val="24"/>
          <w:lang w:eastAsia="pt-BR"/>
        </w:rPr>
        <w:t xml:space="preserve">o panorama 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industrial como “Teias de </w:t>
      </w:r>
      <w:proofErr w:type="spellStart"/>
      <w:r w:rsidR="008F1A50" w:rsidRPr="00BC48D3">
        <w:rPr>
          <w:rFonts w:eastAsia="Times New Roman" w:cs="Times New Roman"/>
          <w:i/>
          <w:szCs w:val="24"/>
          <w:lang w:eastAsia="pt-BR"/>
        </w:rPr>
        <w:t>majors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e</w:t>
      </w:r>
      <w:r w:rsidR="008F1A50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proofErr w:type="spellStart"/>
      <w:r w:rsidR="008F1A50" w:rsidRPr="00BC48D3">
        <w:rPr>
          <w:rFonts w:eastAsia="Times New Roman" w:cs="Times New Roman"/>
          <w:i/>
          <w:szCs w:val="24"/>
          <w:lang w:eastAsia="pt-BR"/>
        </w:rPr>
        <w:t>minors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>” (ibid., p. 17)</w:t>
      </w:r>
      <w:r w:rsidR="00462FDB" w:rsidRPr="00BC48D3">
        <w:rPr>
          <w:rFonts w:eastAsia="Times New Roman" w:cs="Times New Roman"/>
          <w:iCs/>
          <w:szCs w:val="24"/>
          <w:lang w:eastAsia="pt-BR"/>
        </w:rPr>
        <w:t>: g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randes </w:t>
      </w:r>
      <w:r w:rsidR="004067E2" w:rsidRPr="00BC48D3">
        <w:rPr>
          <w:rFonts w:eastAsia="Times New Roman" w:cs="Times New Roman"/>
          <w:iCs/>
          <w:szCs w:val="24"/>
          <w:lang w:eastAsia="pt-BR"/>
        </w:rPr>
        <w:t>gravadoras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divididos em unidades menores, </w:t>
      </w:r>
      <w:r w:rsidR="006D5B0A" w:rsidRPr="00BC48D3">
        <w:rPr>
          <w:rFonts w:eastAsia="Times New Roman" w:cs="Times New Roman"/>
          <w:iCs/>
          <w:szCs w:val="24"/>
          <w:lang w:eastAsia="pt-BR"/>
        </w:rPr>
        <w:t>contatados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com pequen</w:t>
      </w:r>
      <w:r w:rsidR="004067E2" w:rsidRPr="00BC48D3">
        <w:rPr>
          <w:rFonts w:eastAsia="Times New Roman" w:cs="Times New Roman"/>
          <w:iCs/>
          <w:szCs w:val="24"/>
          <w:lang w:eastAsia="pt-BR"/>
        </w:rPr>
        <w:t>a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s </w:t>
      </w:r>
      <w:r w:rsidR="004067E2" w:rsidRPr="00BC48D3">
        <w:rPr>
          <w:rFonts w:eastAsia="Times New Roman" w:cs="Times New Roman"/>
          <w:iCs/>
          <w:szCs w:val="24"/>
          <w:lang w:eastAsia="pt-BR"/>
        </w:rPr>
        <w:t>gravadoras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numa rede verdadeiramente complexa de interdependências. Estas “redes organizacionais” permitem um melhor acesso aos artistas emergentes e uma maior rapidez de resposta às novas tendências, sem perder o controlo dos seus componentes. A hierarquia monolítica deu lugar ao paradigma de buscar previsibilidade com mais flexibilidade. </w:t>
      </w:r>
    </w:p>
    <w:p w14:paraId="07B1E14F" w14:textId="77777777" w:rsidR="00F70181" w:rsidRPr="00BC48D3" w:rsidRDefault="00F70181" w:rsidP="00731B48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3A3050A1" w14:textId="77777777" w:rsidR="00D15B1E" w:rsidRPr="00BC48D3" w:rsidRDefault="00D15B1E" w:rsidP="00B52C48">
      <w:pPr>
        <w:pStyle w:val="Heading1"/>
      </w:pPr>
      <w:r w:rsidRPr="00BC48D3">
        <w:t>Concentração</w:t>
      </w:r>
    </w:p>
    <w:p w14:paraId="6A9207A1" w14:textId="77777777" w:rsidR="00D15B1E" w:rsidRPr="00BC48D3" w:rsidRDefault="00D15B1E" w:rsidP="00D15B1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7B9CEA49" w14:textId="5CB12F08" w:rsidR="00BA46F1" w:rsidRPr="00BC48D3" w:rsidRDefault="00D15B1E" w:rsidP="00D15B1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As últimas três décadas demonstraram uma crescente concentração da mídia cultural</w:t>
      </w:r>
      <w:r w:rsidR="00BA46F1" w:rsidRPr="00BC48D3">
        <w:rPr>
          <w:rFonts w:eastAsia="Times New Roman" w:cs="Times New Roman"/>
          <w:iCs/>
          <w:szCs w:val="24"/>
          <w:lang w:eastAsia="pt-BR"/>
        </w:rPr>
        <w:t xml:space="preserve">, a que 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Labate </w:t>
      </w:r>
      <w:r w:rsidR="00E42E86">
        <w:rPr>
          <w:rFonts w:eastAsia="Times New Roman" w:cs="Times New Roman"/>
          <w:iCs/>
          <w:szCs w:val="24"/>
          <w:lang w:eastAsia="pt-BR"/>
        </w:rPr>
        <w:t>et al.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(2013), </w:t>
      </w:r>
      <w:r w:rsidR="005F5034" w:rsidRPr="00BC48D3">
        <w:rPr>
          <w:rFonts w:eastAsia="Times New Roman" w:cs="Times New Roman"/>
          <w:iCs/>
          <w:szCs w:val="24"/>
          <w:lang w:eastAsia="pt-BR"/>
        </w:rPr>
        <w:t>descrevem</w:t>
      </w:r>
      <w:r w:rsidR="00BA46F1" w:rsidRPr="00BC48D3">
        <w:rPr>
          <w:rFonts w:eastAsia="Times New Roman" w:cs="Times New Roman"/>
          <w:iCs/>
          <w:szCs w:val="24"/>
          <w:lang w:eastAsia="pt-BR"/>
        </w:rPr>
        <w:t xml:space="preserve"> como “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o impacto que as maiores empresas de uma atividade económica têm no seu valor de produção”; </w:t>
      </w:r>
      <w:r w:rsidR="00BA46F1" w:rsidRPr="00BC48D3">
        <w:rPr>
          <w:rFonts w:eastAsia="Times New Roman" w:cs="Times New Roman"/>
          <w:iCs/>
          <w:szCs w:val="24"/>
          <w:lang w:eastAsia="pt-BR"/>
        </w:rPr>
        <w:t>p</w:t>
      </w:r>
      <w:r w:rsidRPr="00BC48D3">
        <w:rPr>
          <w:rFonts w:eastAsia="Times New Roman" w:cs="Times New Roman"/>
          <w:iCs/>
          <w:szCs w:val="24"/>
          <w:lang w:eastAsia="pt-BR"/>
        </w:rPr>
        <w:t>ode ocorrer através do crescimento interno, ou seja, a partir da criação de produtos que “permitam conquistar o mercado através do investimento e da acumulação; e o crescimento externo, que envolve a compra de empresas operacionais” (</w:t>
      </w:r>
      <w:r w:rsidR="00BA46F1" w:rsidRPr="00BC48D3">
        <w:rPr>
          <w:rFonts w:eastAsia="Times New Roman" w:cs="Times New Roman"/>
          <w:iCs/>
          <w:szCs w:val="24"/>
          <w:lang w:eastAsia="pt-BR"/>
        </w:rPr>
        <w:t>LABATE</w:t>
      </w:r>
      <w:r w:rsidR="008F346E" w:rsidRPr="00BC48D3">
        <w:rPr>
          <w:rFonts w:eastAsia="Times New Roman" w:cs="Times New Roman"/>
          <w:iCs/>
          <w:szCs w:val="24"/>
          <w:lang w:eastAsia="pt-BR"/>
        </w:rPr>
        <w:t xml:space="preserve"> et al.</w:t>
      </w:r>
      <w:r w:rsidRPr="00BC48D3">
        <w:rPr>
          <w:rFonts w:eastAsia="Times New Roman" w:cs="Times New Roman"/>
          <w:iCs/>
          <w:szCs w:val="24"/>
          <w:lang w:eastAsia="pt-BR"/>
        </w:rPr>
        <w:t>., p. 141). Nos últimos tempos, as pequenas editoras discográficas encontraram-se na “encruzilhada do crescimento através da compra de empresas mais pequenas ou da absorção por grupos internacionais, deixando o ramo fonográfico cada vez mais visto como um oligopólio</w:t>
      </w:r>
      <w:r w:rsidR="00BA46F1" w:rsidRPr="00BC48D3">
        <w:rPr>
          <w:rFonts w:eastAsia="Times New Roman" w:cs="Times New Roman"/>
          <w:iCs/>
          <w:szCs w:val="24"/>
          <w:lang w:eastAsia="pt-BR"/>
        </w:rPr>
        <w:t xml:space="preserve"> de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grupos empresariais ou conglomerados.</w:t>
      </w:r>
    </w:p>
    <w:p w14:paraId="760A3939" w14:textId="409CA9B3" w:rsidR="00BA46F1" w:rsidRPr="00BC48D3" w:rsidRDefault="00D15B1E" w:rsidP="00D15B1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No entanto, isto ocorreu em detrimento da diversidade de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conteúdos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ou da absorção ou reestruturação destrutiva de </w:t>
      </w:r>
      <w:proofErr w:type="spellStart"/>
      <w:r w:rsidR="00BA46F1" w:rsidRPr="00BC48D3">
        <w:rPr>
          <w:rFonts w:eastAsia="Times New Roman" w:cs="Times New Roman"/>
          <w:i/>
          <w:szCs w:val="24"/>
          <w:lang w:eastAsia="pt-BR"/>
        </w:rPr>
        <w:t>labels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mais pequenos</w:t>
      </w:r>
      <w:r w:rsidR="005F5034" w:rsidRPr="00BC48D3">
        <w:rPr>
          <w:rFonts w:eastAsia="Times New Roman" w:cs="Times New Roman"/>
          <w:iCs/>
          <w:szCs w:val="24"/>
          <w:lang w:eastAsia="pt-BR"/>
        </w:rPr>
        <w:t>, porque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“as grandes empresas estão melhor posicionadas para inovar produtos e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conteúdos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do que as pequenas, e </w:t>
      </w:r>
      <w:r w:rsidR="00BA46F1" w:rsidRPr="00BC48D3">
        <w:rPr>
          <w:rFonts w:eastAsia="Times New Roman" w:cs="Times New Roman"/>
          <w:iCs/>
          <w:szCs w:val="24"/>
          <w:lang w:eastAsia="pt-BR"/>
        </w:rPr>
        <w:t xml:space="preserve">[consequentemente] </w:t>
      </w:r>
      <w:r w:rsidRPr="00BC48D3">
        <w:rPr>
          <w:rFonts w:eastAsia="Times New Roman" w:cs="Times New Roman"/>
          <w:iCs/>
          <w:szCs w:val="24"/>
          <w:lang w:eastAsia="pt-BR"/>
        </w:rPr>
        <w:t>num mercado concentrado os poucos proprietários teriam uma melhor relação custo-benefício e, portanto, com maiores recursos para poderem inovar e aumentar a qualidade dos seus produtos”</w:t>
      </w:r>
      <w:r w:rsidR="005F5034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Pr="00BC48D3">
        <w:rPr>
          <w:rFonts w:eastAsia="Times New Roman" w:cs="Times New Roman"/>
          <w:iCs/>
          <w:szCs w:val="24"/>
          <w:lang w:eastAsia="pt-BR"/>
        </w:rPr>
        <w:t>(</w:t>
      </w:r>
      <w:r w:rsidR="00BA46F1" w:rsidRPr="00BC48D3">
        <w:rPr>
          <w:rFonts w:eastAsia="Times New Roman" w:cs="Times New Roman"/>
          <w:iCs/>
          <w:szCs w:val="24"/>
          <w:lang w:eastAsia="pt-BR"/>
        </w:rPr>
        <w:t>LABATE</w:t>
      </w:r>
      <w:r w:rsidR="008F346E" w:rsidRPr="00BC48D3">
        <w:rPr>
          <w:rFonts w:eastAsia="Times New Roman" w:cs="Times New Roman"/>
          <w:iCs/>
          <w:szCs w:val="24"/>
          <w:lang w:eastAsia="pt-BR"/>
        </w:rPr>
        <w:t xml:space="preserve"> et al.</w:t>
      </w:r>
      <w:r w:rsidRPr="00BC48D3">
        <w:rPr>
          <w:rFonts w:eastAsia="Times New Roman" w:cs="Times New Roman"/>
          <w:iCs/>
          <w:szCs w:val="24"/>
          <w:lang w:eastAsia="pt-BR"/>
        </w:rPr>
        <w:t>, p. 147).</w:t>
      </w:r>
    </w:p>
    <w:p w14:paraId="7F99C803" w14:textId="3D6C9ACA" w:rsidR="00D15B1E" w:rsidRPr="00BC48D3" w:rsidRDefault="00BA46F1" w:rsidP="00D159EA">
      <w:pPr>
        <w:ind w:firstLine="709"/>
        <w:jc w:val="both"/>
      </w:pPr>
      <w:r w:rsidRPr="00BC48D3">
        <w:rPr>
          <w:rFonts w:eastAsia="Times New Roman" w:cs="Times New Roman"/>
          <w:iCs/>
          <w:szCs w:val="24"/>
          <w:lang w:eastAsia="pt-BR"/>
        </w:rPr>
        <w:t>A</w:t>
      </w:r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s </w:t>
      </w:r>
      <w:proofErr w:type="spellStart"/>
      <w:r w:rsidRPr="00BC48D3">
        <w:rPr>
          <w:rFonts w:eastAsia="Times New Roman" w:cs="Times New Roman"/>
          <w:i/>
          <w:szCs w:val="24"/>
          <w:lang w:eastAsia="pt-BR"/>
        </w:rPr>
        <w:t>majors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, ao adquirirem as </w:t>
      </w:r>
      <w:proofErr w:type="spellStart"/>
      <w:r w:rsidRPr="00BC48D3">
        <w:rPr>
          <w:rFonts w:eastAsia="Times New Roman" w:cs="Times New Roman"/>
          <w:i/>
          <w:szCs w:val="24"/>
          <w:lang w:eastAsia="pt-BR"/>
        </w:rPr>
        <w:t>minors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, operam através delas para obter novos artistas e obras a partir de um orçamento maior e mais flexível. </w:t>
      </w:r>
      <w:r w:rsidRPr="00BC48D3">
        <w:rPr>
          <w:rFonts w:eastAsia="Times New Roman" w:cs="Times New Roman"/>
          <w:iCs/>
          <w:szCs w:val="24"/>
          <w:lang w:eastAsia="pt-BR"/>
        </w:rPr>
        <w:t>A</w:t>
      </w:r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s pequenas gravadoras cumprem a função de recrutar jovens artistas e utilizar </w:t>
      </w:r>
      <w:proofErr w:type="spellStart"/>
      <w:r w:rsidR="005F5034" w:rsidRPr="00BC48D3">
        <w:rPr>
          <w:rFonts w:eastAsia="Times New Roman" w:cs="Times New Roman"/>
          <w:i/>
          <w:szCs w:val="24"/>
          <w:lang w:eastAsia="pt-BR"/>
        </w:rPr>
        <w:t>focus</w:t>
      </w:r>
      <w:proofErr w:type="spellEnd"/>
      <w:r w:rsidR="005F5034" w:rsidRPr="00BC48D3">
        <w:rPr>
          <w:rFonts w:eastAsia="Times New Roman" w:cs="Times New Roman"/>
          <w:i/>
          <w:szCs w:val="24"/>
          <w:lang w:eastAsia="pt-BR"/>
        </w:rPr>
        <w:t xml:space="preserve"> </w:t>
      </w:r>
      <w:proofErr w:type="spellStart"/>
      <w:r w:rsidR="005F5034" w:rsidRPr="00BC48D3">
        <w:rPr>
          <w:rFonts w:eastAsia="Times New Roman" w:cs="Times New Roman"/>
          <w:i/>
          <w:szCs w:val="24"/>
          <w:lang w:eastAsia="pt-BR"/>
        </w:rPr>
        <w:t>groups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>, enquanto as grandes gravadoras divulgam suas descobertas, financiando-as e promovendo-as.</w:t>
      </w:r>
    </w:p>
    <w:p w14:paraId="499B1FDD" w14:textId="77777777" w:rsidR="00D15B1E" w:rsidRPr="00BC48D3" w:rsidRDefault="00D15B1E" w:rsidP="00D15B1E">
      <w:pPr>
        <w:ind w:firstLine="709"/>
        <w:jc w:val="both"/>
        <w:rPr>
          <w:rFonts w:eastAsia="Times New Roman" w:cs="Times New Roman"/>
          <w:iCs/>
          <w:color w:val="7030A0"/>
          <w:szCs w:val="24"/>
          <w:lang w:eastAsia="pt-BR"/>
        </w:rPr>
      </w:pPr>
    </w:p>
    <w:p w14:paraId="5F223607" w14:textId="77777777" w:rsidR="00D15B1E" w:rsidRPr="00756F1B" w:rsidRDefault="00D15B1E" w:rsidP="00B52C48">
      <w:pPr>
        <w:pStyle w:val="Heading1"/>
        <w:rPr>
          <w:lang w:val="en-US"/>
        </w:rPr>
      </w:pPr>
      <w:r w:rsidRPr="00756F1B">
        <w:rPr>
          <w:lang w:val="en-US"/>
        </w:rPr>
        <w:t xml:space="preserve">Das </w:t>
      </w:r>
      <w:r w:rsidRPr="00756F1B">
        <w:rPr>
          <w:i/>
          <w:iCs/>
          <w:lang w:val="en-US"/>
        </w:rPr>
        <w:t>big six</w:t>
      </w:r>
      <w:r w:rsidRPr="00756F1B">
        <w:rPr>
          <w:lang w:val="en-US"/>
        </w:rPr>
        <w:t xml:space="preserve"> as </w:t>
      </w:r>
      <w:r w:rsidRPr="00756F1B">
        <w:rPr>
          <w:i/>
          <w:iCs/>
          <w:lang w:val="en-US"/>
        </w:rPr>
        <w:t>big four</w:t>
      </w:r>
      <w:r w:rsidRPr="00756F1B">
        <w:rPr>
          <w:lang w:val="en-US"/>
        </w:rPr>
        <w:t xml:space="preserve"> (e, </w:t>
      </w:r>
      <w:proofErr w:type="spellStart"/>
      <w:r w:rsidRPr="00756F1B">
        <w:rPr>
          <w:lang w:val="en-US"/>
        </w:rPr>
        <w:t>após</w:t>
      </w:r>
      <w:proofErr w:type="spellEnd"/>
      <w:r w:rsidRPr="00756F1B">
        <w:rPr>
          <w:lang w:val="en-US"/>
        </w:rPr>
        <w:t xml:space="preserve">, as </w:t>
      </w:r>
      <w:r w:rsidRPr="00756F1B">
        <w:rPr>
          <w:i/>
          <w:iCs/>
          <w:lang w:val="en-US"/>
        </w:rPr>
        <w:t>big three</w:t>
      </w:r>
      <w:r w:rsidRPr="00756F1B">
        <w:rPr>
          <w:lang w:val="en-US"/>
        </w:rPr>
        <w:t>)</w:t>
      </w:r>
    </w:p>
    <w:p w14:paraId="3E7F9517" w14:textId="77777777" w:rsidR="00D15B1E" w:rsidRPr="00756F1B" w:rsidRDefault="00D15B1E" w:rsidP="00D15B1E">
      <w:pPr>
        <w:ind w:firstLine="709"/>
        <w:jc w:val="both"/>
        <w:rPr>
          <w:rFonts w:eastAsia="Times New Roman" w:cs="Times New Roman"/>
          <w:iCs/>
          <w:color w:val="7030A0"/>
          <w:szCs w:val="24"/>
          <w:lang w:val="en-US" w:eastAsia="pt-BR"/>
        </w:rPr>
      </w:pPr>
    </w:p>
    <w:p w14:paraId="1E8315E5" w14:textId="39EED5B3" w:rsidR="00C5122A" w:rsidRPr="00BC48D3" w:rsidRDefault="00D15B1E" w:rsidP="00D15B1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Na década de 1980, apenas seis gravadoras representavam mais de dois terços das vendas internacionais de música (</w:t>
      </w:r>
      <w:r w:rsidR="000672DB" w:rsidRPr="00BC48D3">
        <w:rPr>
          <w:rFonts w:eastAsia="Times New Roman" w:cs="Times New Roman"/>
          <w:iCs/>
          <w:szCs w:val="24"/>
          <w:lang w:eastAsia="pt-BR"/>
        </w:rPr>
        <w:t>NEGUS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, 1992) e, na década de 1990, </w:t>
      </w:r>
      <w:r w:rsidR="005443B4" w:rsidRPr="00BC48D3">
        <w:rPr>
          <w:rFonts w:eastAsia="Times New Roman" w:cs="Times New Roman"/>
          <w:iCs/>
          <w:szCs w:val="24"/>
          <w:lang w:eastAsia="pt-BR"/>
        </w:rPr>
        <w:t xml:space="preserve">esse número aumentou para </w:t>
      </w:r>
      <w:r w:rsidRPr="00BC48D3">
        <w:rPr>
          <w:rFonts w:eastAsia="Times New Roman" w:cs="Times New Roman"/>
          <w:iCs/>
          <w:szCs w:val="24"/>
          <w:lang w:eastAsia="pt-BR"/>
        </w:rPr>
        <w:t>“entre 80 e 90 por cento</w:t>
      </w:r>
      <w:r w:rsidR="005443B4" w:rsidRPr="00BC48D3">
        <w:rPr>
          <w:rFonts w:eastAsia="Times New Roman" w:cs="Times New Roman"/>
          <w:iCs/>
          <w:szCs w:val="24"/>
          <w:lang w:eastAsia="pt-BR"/>
        </w:rPr>
        <w:t>”,</w:t>
      </w:r>
      <w:r w:rsidR="00F93D28" w:rsidRPr="00BC48D3">
        <w:rPr>
          <w:rFonts w:eastAsia="Times New Roman" w:cs="Times New Roman"/>
          <w:iCs/>
          <w:szCs w:val="24"/>
          <w:lang w:eastAsia="pt-BR"/>
        </w:rPr>
        <w:t xml:space="preserve"> que foram especificamente “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Time Warner, Sony, Philips, </w:t>
      </w:r>
      <w:r w:rsidRPr="00BC48D3">
        <w:rPr>
          <w:rFonts w:eastAsia="Times New Roman" w:cs="Times New Roman"/>
          <w:iCs/>
          <w:szCs w:val="24"/>
          <w:lang w:eastAsia="pt-BR"/>
        </w:rPr>
        <w:lastRenderedPageBreak/>
        <w:t xml:space="preserve">Bertelsmann (BMG),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Thorn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>-EMI e Matsushita.” (</w:t>
      </w:r>
      <w:r w:rsidR="000672DB" w:rsidRPr="00BC48D3">
        <w:rPr>
          <w:rFonts w:eastAsia="Times New Roman" w:cs="Times New Roman"/>
          <w:iCs/>
          <w:szCs w:val="24"/>
          <w:lang w:eastAsia="pt-BR"/>
        </w:rPr>
        <w:t>WONG CHI CHUNG</w:t>
      </w:r>
      <w:r w:rsidRPr="00BC48D3">
        <w:rPr>
          <w:rFonts w:eastAsia="Times New Roman" w:cs="Times New Roman"/>
          <w:iCs/>
          <w:szCs w:val="24"/>
          <w:lang w:eastAsia="pt-BR"/>
        </w:rPr>
        <w:t>, 2010).</w:t>
      </w:r>
      <w:r w:rsidR="00A727B4" w:rsidRPr="00BC48D3">
        <w:rPr>
          <w:rFonts w:eastAsia="Times New Roman" w:cs="Times New Roman"/>
          <w:iCs/>
          <w:szCs w:val="24"/>
          <w:lang w:eastAsia="pt-BR"/>
        </w:rPr>
        <w:t xml:space="preserve"> C</w:t>
      </w:r>
      <w:r w:rsidR="00AC3219" w:rsidRPr="00BC48D3">
        <w:rPr>
          <w:rFonts w:eastAsia="Times New Roman" w:cs="Times New Roman"/>
          <w:iCs/>
          <w:szCs w:val="24"/>
          <w:lang w:eastAsia="pt-BR"/>
        </w:rPr>
        <w:t>om a absorção da PolyGram holandesa pelo conglomerado Universal em dezembro de 1998,</w:t>
      </w:r>
      <w:r w:rsidR="005F5034" w:rsidRPr="00BC48D3">
        <w:rPr>
          <w:rFonts w:eastAsia="Times New Roman" w:cs="Times New Roman"/>
          <w:iCs/>
          <w:szCs w:val="24"/>
          <w:lang w:eastAsia="pt-BR"/>
        </w:rPr>
        <w:t xml:space="preserve"> 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70% da produção </w:t>
      </w:r>
      <w:r w:rsidR="005F5034" w:rsidRPr="00BC48D3">
        <w:rPr>
          <w:rFonts w:eastAsia="Times New Roman" w:cs="Times New Roman"/>
          <w:iCs/>
          <w:szCs w:val="24"/>
          <w:lang w:eastAsia="pt-BR"/>
        </w:rPr>
        <w:t xml:space="preserve">veio de </w:t>
      </w:r>
      <w:r w:rsidRPr="00BC48D3">
        <w:rPr>
          <w:rFonts w:eastAsia="Times New Roman" w:cs="Times New Roman"/>
          <w:iCs/>
          <w:szCs w:val="24"/>
          <w:lang w:eastAsia="pt-BR"/>
        </w:rPr>
        <w:t>cinco grandes empresas</w:t>
      </w:r>
      <w:r w:rsidR="00F61B8B" w:rsidRPr="00BC48D3">
        <w:rPr>
          <w:rFonts w:eastAsia="Times New Roman" w:cs="Times New Roman"/>
          <w:iCs/>
          <w:szCs w:val="24"/>
          <w:lang w:eastAsia="pt-BR"/>
        </w:rPr>
        <w:t>.</w:t>
      </w:r>
    </w:p>
    <w:p w14:paraId="2080E364" w14:textId="5D2D1D6B" w:rsidR="00A004C2" w:rsidRPr="00BC48D3" w:rsidRDefault="00D15B1E" w:rsidP="006275EE">
      <w:pPr>
        <w:ind w:firstLine="709"/>
        <w:jc w:val="both"/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Embora estas cinco empresas tivessem o poder de fabricar e distribuir os seus produtos, foram obtendo </w:t>
      </w:r>
      <w:proofErr w:type="spellStart"/>
      <w:r w:rsidR="00F61B8B" w:rsidRPr="00C51AE1">
        <w:rPr>
          <w:rFonts w:eastAsia="Times New Roman" w:cs="Times New Roman"/>
          <w:i/>
          <w:szCs w:val="24"/>
          <w:lang w:eastAsia="pt-BR"/>
        </w:rPr>
        <w:t>labels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mais pequenos (que por si só não conseguiam lançar os seus produtos no mercado), ampliando sucessivamente a sua quota de mercado. A ideologia que dominava naquela época era a competição pela atenção dos mesmos públicos, a saturação dos mesmos segmentos de mercado</w:t>
      </w:r>
      <w:r w:rsidR="00DD2220" w:rsidRPr="00BC48D3">
        <w:rPr>
          <w:rFonts w:eastAsia="Times New Roman" w:cs="Times New Roman"/>
          <w:iCs/>
          <w:szCs w:val="24"/>
          <w:lang w:eastAsia="pt-BR"/>
        </w:rPr>
        <w:t xml:space="preserve"> (</w:t>
      </w:r>
      <w:r w:rsidR="006275EE" w:rsidRPr="00BC48D3">
        <w:rPr>
          <w:rFonts w:eastAsia="Times New Roman" w:cs="Times New Roman"/>
          <w:iCs/>
          <w:szCs w:val="24"/>
          <w:lang w:eastAsia="pt-BR"/>
        </w:rPr>
        <w:t>SHUKER</w:t>
      </w:r>
      <w:r w:rsidR="00DD2220" w:rsidRPr="00BC48D3">
        <w:rPr>
          <w:rFonts w:eastAsia="Times New Roman" w:cs="Times New Roman"/>
          <w:iCs/>
          <w:szCs w:val="24"/>
          <w:lang w:eastAsia="pt-BR"/>
        </w:rPr>
        <w:t xml:space="preserve">, 2005, </w:t>
      </w:r>
      <w:r w:rsidR="006275EE" w:rsidRPr="00BC48D3">
        <w:rPr>
          <w:rFonts w:eastAsia="Times New Roman" w:cs="Times New Roman"/>
          <w:iCs/>
          <w:szCs w:val="24"/>
          <w:lang w:eastAsia="pt-BR"/>
        </w:rPr>
        <w:t>JANSSENS</w:t>
      </w:r>
      <w:r w:rsidR="00A75A5C">
        <w:rPr>
          <w:rFonts w:eastAsia="Times New Roman" w:cs="Times New Roman"/>
          <w:iCs/>
          <w:szCs w:val="24"/>
          <w:lang w:eastAsia="pt-BR"/>
        </w:rPr>
        <w:t>, VANDAELE, VANDER BEKEN</w:t>
      </w:r>
      <w:r w:rsidR="00DD2220" w:rsidRPr="00BC48D3">
        <w:rPr>
          <w:rFonts w:eastAsia="Times New Roman" w:cs="Times New Roman"/>
          <w:iCs/>
          <w:szCs w:val="24"/>
          <w:lang w:eastAsia="pt-BR"/>
        </w:rPr>
        <w:t>, 2009)</w:t>
      </w:r>
      <w:r w:rsidRPr="00BC48D3">
        <w:rPr>
          <w:rFonts w:eastAsia="Times New Roman" w:cs="Times New Roman"/>
          <w:iCs/>
          <w:szCs w:val="24"/>
          <w:lang w:eastAsia="pt-BR"/>
        </w:rPr>
        <w:t>.</w:t>
      </w:r>
      <w:r w:rsidR="006275EE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BB11F1" w:rsidRPr="00BC48D3">
        <w:t>A</w:t>
      </w:r>
      <w:r w:rsidRPr="00BC48D3">
        <w:t xml:space="preserve"> fusão da Sony com a BMG entre </w:t>
      </w:r>
      <w:proofErr w:type="gramStart"/>
      <w:r w:rsidRPr="00BC48D3">
        <w:t>Julho</w:t>
      </w:r>
      <w:proofErr w:type="gramEnd"/>
      <w:r w:rsidRPr="00BC48D3">
        <w:t xml:space="preserve"> e Agosto de 2004</w:t>
      </w:r>
      <w:r w:rsidR="00BB11F1" w:rsidRPr="00BC48D3">
        <w:t xml:space="preserve"> </w:t>
      </w:r>
      <w:r w:rsidR="00B72227" w:rsidRPr="00BC48D3">
        <w:t>implicava que</w:t>
      </w:r>
      <w:r w:rsidRPr="00BC48D3">
        <w:t xml:space="preserve"> a grande maioria da música gravada internacionalmente acabou nas mãos de quatro empresas.</w:t>
      </w:r>
      <w:r w:rsidR="006275EE" w:rsidRPr="00BC48D3">
        <w:t xml:space="preserve"> </w:t>
      </w:r>
      <w:r w:rsidRPr="00BC48D3">
        <w:t>Fréderic Martel escreveu em 201</w:t>
      </w:r>
      <w:r w:rsidR="00776C7D">
        <w:t>4</w:t>
      </w:r>
      <w:r w:rsidRPr="00BC48D3">
        <w:t>:</w:t>
      </w:r>
    </w:p>
    <w:p w14:paraId="5DCDA063" w14:textId="638AA4A8" w:rsidR="00A004C2" w:rsidRPr="00BC48D3" w:rsidRDefault="00D15B1E" w:rsidP="006275EE">
      <w:pPr>
        <w:pStyle w:val="Citalarga"/>
      </w:pPr>
      <w:r w:rsidRPr="00BC48D3">
        <w:t xml:space="preserve">Quatro grandes gravadoras representam agora quase 80% da música vendida em todo o mundo e apenas uma delas, ao contrário do que as pessoas acreditam, é americana. A Universal Music, líder de mercado, é francesa; Sony Music é japonesa, EMI é britânica; O Warner Music </w:t>
      </w:r>
      <w:proofErr w:type="spellStart"/>
      <w:r w:rsidRPr="00BC48D3">
        <w:t>Group</w:t>
      </w:r>
      <w:proofErr w:type="spellEnd"/>
      <w:r w:rsidRPr="00BC48D3">
        <w:t>, finalmente, é o único que ainda é americano</w:t>
      </w:r>
      <w:r w:rsidR="006275EE" w:rsidRPr="00BC48D3">
        <w:t xml:space="preserve">. </w:t>
      </w:r>
      <w:r w:rsidRPr="00BC48D3">
        <w:t>(</w:t>
      </w:r>
      <w:r w:rsidR="00D0129E">
        <w:t>MARTEL</w:t>
      </w:r>
      <w:r w:rsidRPr="00BC48D3">
        <w:t>, 2014, p. 129).</w:t>
      </w:r>
    </w:p>
    <w:p w14:paraId="4B241570" w14:textId="0D130AA4" w:rsidR="00D15B1E" w:rsidRDefault="00D15B1E" w:rsidP="00D15B1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No final de 2010, a Universal liderava o mercado com mais de 25% das vendas e era seguida pela Sony e Warner com pouco mais de 20% e pela EMI, com menos de 10%. </w:t>
      </w:r>
      <w:proofErr w:type="gramStart"/>
      <w:r w:rsidR="00D63B81">
        <w:rPr>
          <w:rFonts w:eastAsia="Times New Roman" w:cs="Times New Roman"/>
          <w:iCs/>
          <w:szCs w:val="24"/>
          <w:lang w:eastAsia="pt-BR"/>
        </w:rPr>
        <w:t>E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ssas </w:t>
      </w:r>
      <w:r w:rsidR="00D63B81" w:rsidRPr="00D63B81">
        <w:rPr>
          <w:rFonts w:eastAsia="Times New Roman" w:cs="Times New Roman"/>
          <w:i/>
          <w:szCs w:val="24"/>
          <w:lang w:eastAsia="pt-BR"/>
        </w:rPr>
        <w:t>big four</w:t>
      </w:r>
      <w:proofErr w:type="gramEnd"/>
      <w:r w:rsidRPr="00BC48D3">
        <w:rPr>
          <w:rFonts w:eastAsia="Times New Roman" w:cs="Times New Roman"/>
          <w:iCs/>
          <w:szCs w:val="24"/>
          <w:lang w:eastAsia="pt-BR"/>
        </w:rPr>
        <w:t xml:space="preserve"> foram </w:t>
      </w:r>
      <w:r w:rsidR="00D63B81" w:rsidRPr="00BC48D3">
        <w:rPr>
          <w:rFonts w:eastAsia="Times New Roman" w:cs="Times New Roman"/>
          <w:iCs/>
          <w:szCs w:val="24"/>
          <w:lang w:eastAsia="pt-BR"/>
        </w:rPr>
        <w:t>reduzid</w:t>
      </w:r>
      <w:r w:rsidR="00D63B81">
        <w:rPr>
          <w:rFonts w:eastAsia="Times New Roman" w:cs="Times New Roman"/>
          <w:iCs/>
          <w:szCs w:val="24"/>
          <w:lang w:eastAsia="pt-BR"/>
        </w:rPr>
        <w:t>a</w:t>
      </w:r>
      <w:r w:rsidR="00D63B81" w:rsidRPr="00BC48D3">
        <w:rPr>
          <w:rFonts w:eastAsia="Times New Roman" w:cs="Times New Roman"/>
          <w:iCs/>
          <w:szCs w:val="24"/>
          <w:lang w:eastAsia="pt-BR"/>
        </w:rPr>
        <w:t>s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a três gravadoras (Universal, Sony e EMI), enquanto </w:t>
      </w:r>
      <w:r w:rsidR="00470A73" w:rsidRPr="00BC48D3">
        <w:rPr>
          <w:rFonts w:eastAsia="Times New Roman" w:cs="Times New Roman"/>
          <w:iCs/>
          <w:szCs w:val="24"/>
          <w:lang w:eastAsia="pt-BR"/>
        </w:rPr>
        <w:t>a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470A73" w:rsidRPr="00BC48D3">
        <w:rPr>
          <w:rFonts w:eastAsia="Times New Roman" w:cs="Times New Roman"/>
          <w:iCs/>
          <w:szCs w:val="24"/>
          <w:lang w:eastAsia="pt-BR"/>
        </w:rPr>
        <w:t>supressão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da grande </w:t>
      </w:r>
      <w:proofErr w:type="spellStart"/>
      <w:r w:rsidR="00470A73" w:rsidRPr="00BC48D3">
        <w:rPr>
          <w:rFonts w:eastAsia="Times New Roman" w:cs="Times New Roman"/>
          <w:i/>
          <w:szCs w:val="24"/>
          <w:lang w:eastAsia="pt-BR"/>
        </w:rPr>
        <w:t>label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britânica EMI, que foi vendida ao Citigroup e depois à Universal em 2011</w:t>
      </w:r>
      <w:r w:rsidR="00D63B81">
        <w:rPr>
          <w:rFonts w:eastAsia="Times New Roman" w:cs="Times New Roman"/>
          <w:iCs/>
          <w:szCs w:val="24"/>
          <w:lang w:eastAsia="pt-BR"/>
        </w:rPr>
        <w:t xml:space="preserve"> (</w:t>
      </w:r>
      <w:r w:rsidR="00D63B81" w:rsidRPr="00BC48D3">
        <w:rPr>
          <w:rFonts w:eastAsia="Times New Roman" w:cs="Times New Roman"/>
          <w:iCs/>
          <w:szCs w:val="24"/>
          <w:lang w:eastAsia="pt-BR"/>
        </w:rPr>
        <w:t>ARDITI, 2014</w:t>
      </w:r>
      <w:r w:rsidR="00D63B81">
        <w:rPr>
          <w:rFonts w:eastAsia="Times New Roman" w:cs="Times New Roman"/>
          <w:iCs/>
          <w:szCs w:val="24"/>
          <w:lang w:eastAsia="pt-BR"/>
        </w:rPr>
        <w:t>)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. Isso acentua ainda mais a essência </w:t>
      </w:r>
      <w:r w:rsidR="00997BB2" w:rsidRPr="00BC48D3">
        <w:rPr>
          <w:rFonts w:eastAsia="Times New Roman" w:cs="Times New Roman"/>
          <w:iCs/>
          <w:szCs w:val="24"/>
          <w:lang w:eastAsia="pt-BR"/>
        </w:rPr>
        <w:t>oligopolista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do mercado fonográfico: a indústria musical sempre </w:t>
      </w:r>
      <w:r w:rsidR="00997BB2" w:rsidRPr="00BC48D3">
        <w:rPr>
          <w:rFonts w:eastAsia="Times New Roman" w:cs="Times New Roman"/>
          <w:iCs/>
          <w:szCs w:val="24"/>
          <w:lang w:eastAsia="pt-BR"/>
        </w:rPr>
        <w:t>moveu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bilhões de dólares, mas a tendência à concentração nunca foi tão grande.</w:t>
      </w:r>
      <w:r w:rsidR="0012107B" w:rsidRPr="00BC48D3">
        <w:rPr>
          <w:rFonts w:eastAsia="Times New Roman" w:cs="Times New Roman"/>
          <w:iCs/>
          <w:szCs w:val="24"/>
          <w:lang w:eastAsia="pt-BR"/>
        </w:rPr>
        <w:t xml:space="preserve"> Essa tab</w:t>
      </w:r>
      <w:r w:rsidR="00E567B1" w:rsidRPr="00BC48D3">
        <w:rPr>
          <w:rFonts w:eastAsia="Times New Roman" w:cs="Times New Roman"/>
          <w:iCs/>
          <w:szCs w:val="24"/>
          <w:lang w:eastAsia="pt-BR"/>
        </w:rPr>
        <w:t>e</w:t>
      </w:r>
      <w:r w:rsidR="0012107B" w:rsidRPr="00BC48D3">
        <w:rPr>
          <w:rFonts w:eastAsia="Times New Roman" w:cs="Times New Roman"/>
          <w:iCs/>
          <w:szCs w:val="24"/>
          <w:lang w:eastAsia="pt-BR"/>
        </w:rPr>
        <w:t xml:space="preserve">la </w:t>
      </w:r>
      <w:r w:rsidR="00E567B1" w:rsidRPr="00BC48D3">
        <w:rPr>
          <w:rFonts w:eastAsia="Times New Roman" w:cs="Times New Roman"/>
          <w:iCs/>
          <w:szCs w:val="24"/>
          <w:lang w:eastAsia="pt-BR"/>
        </w:rPr>
        <w:t>mostra isso claramente:</w:t>
      </w:r>
    </w:p>
    <w:p w14:paraId="7C14233E" w14:textId="155E67EA" w:rsidR="003A1699" w:rsidRDefault="003A1699" w:rsidP="003A1699">
      <w:pPr>
        <w:jc w:val="both"/>
        <w:rPr>
          <w:rFonts w:eastAsia="Times New Roman" w:cs="Times New Roman"/>
          <w:iCs/>
          <w:szCs w:val="24"/>
          <w:lang w:eastAsia="pt-BR"/>
        </w:rPr>
      </w:pPr>
      <w:r w:rsidRPr="003A1699">
        <w:rPr>
          <w:rFonts w:eastAsia="Times New Roman" w:cs="Times New Roman"/>
          <w:iCs/>
          <w:szCs w:val="24"/>
          <w:lang w:eastAsia="pt-BR"/>
        </w:rPr>
        <w:drawing>
          <wp:inline distT="0" distB="0" distL="0" distR="0" wp14:anchorId="61C53241" wp14:editId="68DA8635">
            <wp:extent cx="5760085" cy="2390140"/>
            <wp:effectExtent l="0" t="0" r="0" b="0"/>
            <wp:docPr id="932331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317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E6BFE" w14:textId="6A961882" w:rsidR="00D15B1E" w:rsidRPr="00BC48D3" w:rsidRDefault="00D15B1E" w:rsidP="00B52C48">
      <w:pPr>
        <w:pStyle w:val="Heading1"/>
      </w:pPr>
      <w:r w:rsidRPr="00BC48D3">
        <w:t>O “</w:t>
      </w:r>
      <w:r w:rsidR="00997BB2" w:rsidRPr="00BC48D3">
        <w:rPr>
          <w:i/>
          <w:iCs/>
        </w:rPr>
        <w:t>consortium</w:t>
      </w:r>
      <w:r w:rsidRPr="00BC48D3">
        <w:t xml:space="preserve">” de mídia do século </w:t>
      </w:r>
      <w:r w:rsidR="00D9491F" w:rsidRPr="00BC48D3">
        <w:t>XXI</w:t>
      </w:r>
      <w:r w:rsidRPr="00BC48D3">
        <w:t xml:space="preserve"> como origem do </w:t>
      </w:r>
      <w:proofErr w:type="spellStart"/>
      <w:r w:rsidR="00D9491F" w:rsidRPr="00BC48D3">
        <w:rPr>
          <w:i/>
          <w:iCs/>
        </w:rPr>
        <w:t>teen</w:t>
      </w:r>
      <w:proofErr w:type="spellEnd"/>
      <w:r w:rsidR="00D9491F" w:rsidRPr="00BC48D3">
        <w:rPr>
          <w:i/>
          <w:iCs/>
        </w:rPr>
        <w:t xml:space="preserve"> pop</w:t>
      </w:r>
    </w:p>
    <w:p w14:paraId="712C2669" w14:textId="77777777" w:rsidR="00D15B1E" w:rsidRPr="00BC48D3" w:rsidRDefault="00D15B1E" w:rsidP="00D15B1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45CA8F71" w14:textId="2869BD50" w:rsidR="00D15B1E" w:rsidRPr="00BC48D3" w:rsidRDefault="00D15B1E" w:rsidP="00D15B1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As empresas dedicadas ao negócio da música de massa integravam um conjunto de três indústrias </w:t>
      </w:r>
      <w:r w:rsidR="00997BB2" w:rsidRPr="00BC48D3">
        <w:rPr>
          <w:rFonts w:eastAsia="Times New Roman" w:cs="Times New Roman"/>
          <w:iCs/>
          <w:szCs w:val="24"/>
          <w:lang w:eastAsia="pt-BR"/>
        </w:rPr>
        <w:t>diferentes,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mas complementares: a própria indústria fonográfica, a televisão e </w:t>
      </w:r>
      <w:r w:rsidRPr="00BC48D3">
        <w:rPr>
          <w:rFonts w:eastAsia="Times New Roman" w:cs="Times New Roman"/>
          <w:iCs/>
          <w:szCs w:val="24"/>
          <w:lang w:eastAsia="pt-BR"/>
        </w:rPr>
        <w:lastRenderedPageBreak/>
        <w:t>telecomunicações e a rádio. Enquanto o primeiro se dedicava a estabelecer, procurar e promover novos artistas através da mobilização de trabalhadores (cantores, compositores e produtores), os restantes serviam como forma de promoção e divulgação dos seus produtos. Embora as empresas de cada um destes setores quisessem interferir nos outros, não tiveram sucesso (</w:t>
      </w:r>
      <w:r w:rsidR="00997BB2" w:rsidRPr="00BC48D3">
        <w:rPr>
          <w:rFonts w:eastAsia="Times New Roman" w:cs="Times New Roman"/>
          <w:iCs/>
          <w:szCs w:val="24"/>
          <w:lang w:eastAsia="pt-BR"/>
        </w:rPr>
        <w:t>BANKS</w:t>
      </w:r>
      <w:r w:rsidRPr="00BC48D3">
        <w:rPr>
          <w:rFonts w:eastAsia="Times New Roman" w:cs="Times New Roman"/>
          <w:iCs/>
          <w:szCs w:val="24"/>
          <w:lang w:eastAsia="pt-BR"/>
        </w:rPr>
        <w:t>, 199</w:t>
      </w:r>
      <w:r w:rsidR="00822914">
        <w:rPr>
          <w:rFonts w:eastAsia="Times New Roman" w:cs="Times New Roman"/>
          <w:iCs/>
          <w:szCs w:val="24"/>
          <w:lang w:eastAsia="pt-BR"/>
        </w:rPr>
        <w:t>6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r w:rsidR="00997BB2" w:rsidRPr="00BC48D3">
        <w:rPr>
          <w:rFonts w:eastAsia="Times New Roman" w:cs="Times New Roman"/>
          <w:iCs/>
          <w:szCs w:val="24"/>
          <w:lang w:eastAsia="pt-BR"/>
        </w:rPr>
        <w:t>ALBORNOZ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, 2011). No entanto, todos estes ramos das Indústrias Culturais funcionaram como um verdadeiro </w:t>
      </w:r>
      <w:r w:rsidR="00997BB2" w:rsidRPr="00BC48D3">
        <w:rPr>
          <w:rFonts w:eastAsia="Times New Roman" w:cs="Times New Roman"/>
          <w:i/>
          <w:szCs w:val="24"/>
          <w:lang w:eastAsia="pt-BR"/>
        </w:rPr>
        <w:t>consortium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: trabalharam em conjunto para alcançar um </w:t>
      </w:r>
      <w:r w:rsidR="00634EF6" w:rsidRPr="00BC48D3">
        <w:rPr>
          <w:rFonts w:eastAsia="Times New Roman" w:cs="Times New Roman"/>
          <w:iCs/>
          <w:szCs w:val="24"/>
          <w:lang w:eastAsia="pt-BR"/>
        </w:rPr>
        <w:t>objetivo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comum.</w:t>
      </w:r>
      <w:r w:rsidR="0025308E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Cada sector “lubrificou” os seus mecanismos e ofereceu os seus recursos em associação tácita e espúria com os outros ramos para influenciar a cultura americana e internacional no final do século XX e início do XXI. </w:t>
      </w:r>
    </w:p>
    <w:p w14:paraId="5969E1AD" w14:textId="77777777" w:rsidR="00096017" w:rsidRPr="00BC48D3" w:rsidRDefault="00D15B1E" w:rsidP="0045193B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Ao mesmo tempo, cada um destes três sectores empresariais realizou uma procura crescente e sustentada de concentração e monopolização do seu próprio sector.</w:t>
      </w:r>
      <w:r w:rsidR="0045193B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9C6490" w:rsidRPr="00BC48D3">
        <w:rPr>
          <w:rFonts w:eastAsia="Times New Roman" w:cs="Times New Roman"/>
          <w:iCs/>
          <w:szCs w:val="24"/>
          <w:lang w:eastAsia="pt-BR"/>
        </w:rPr>
        <w:t>Para o efeito, recorreram-se a métodos de concorrência desleal</w:t>
      </w:r>
      <w:r w:rsidR="00096017" w:rsidRPr="00BC48D3">
        <w:rPr>
          <w:rFonts w:eastAsia="Times New Roman" w:cs="Times New Roman"/>
          <w:iCs/>
          <w:szCs w:val="24"/>
          <w:lang w:eastAsia="pt-BR"/>
        </w:rPr>
        <w:t>:</w:t>
      </w:r>
    </w:p>
    <w:p w14:paraId="3762794A" w14:textId="5F6903DB" w:rsidR="00096017" w:rsidRPr="00BC48D3" w:rsidRDefault="009C6490" w:rsidP="00DD2AF3">
      <w:pPr>
        <w:pStyle w:val="ListParagraph"/>
        <w:numPr>
          <w:ilvl w:val="0"/>
          <w:numId w:val="6"/>
        </w:numPr>
        <w:ind w:left="426"/>
        <w:jc w:val="both"/>
        <w:rPr>
          <w:rFonts w:eastAsia="Times New Roman" w:cs="Times New Roman"/>
          <w:iCs/>
          <w:szCs w:val="24"/>
          <w:lang w:eastAsia="pt-BR"/>
        </w:rPr>
      </w:pP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Clear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proofErr w:type="spellStart"/>
      <w:r w:rsidRPr="00BC48D3">
        <w:rPr>
          <w:rFonts w:eastAsia="Times New Roman" w:cs="Times New Roman"/>
          <w:iCs/>
          <w:szCs w:val="24"/>
          <w:lang w:eastAsia="pt-BR"/>
        </w:rPr>
        <w:t>Channel</w:t>
      </w:r>
      <w:proofErr w:type="spellEnd"/>
      <w:r w:rsidRPr="00BC48D3">
        <w:rPr>
          <w:rFonts w:eastAsia="Times New Roman" w:cs="Times New Roman"/>
          <w:iCs/>
          <w:szCs w:val="24"/>
          <w:lang w:eastAsia="pt-BR"/>
        </w:rPr>
        <w:t xml:space="preserve"> promoveu</w:t>
      </w:r>
      <w:r w:rsidR="00F57AD0" w:rsidRPr="00BC48D3">
        <w:rPr>
          <w:rFonts w:eastAsia="Times New Roman" w:cs="Times New Roman"/>
          <w:iCs/>
          <w:szCs w:val="24"/>
          <w:lang w:eastAsia="pt-BR"/>
        </w:rPr>
        <w:t xml:space="preserve"> a </w:t>
      </w:r>
      <w:proofErr w:type="spellStart"/>
      <w:r w:rsidR="00F57AD0" w:rsidRPr="00BC48D3">
        <w:rPr>
          <w:rFonts w:eastAsia="Times New Roman" w:cs="Times New Roman"/>
          <w:i/>
          <w:szCs w:val="24"/>
          <w:lang w:eastAsia="pt-BR"/>
        </w:rPr>
        <w:t>payola</w:t>
      </w:r>
      <w:proofErr w:type="spellEnd"/>
      <w:r w:rsidR="00F57AD0" w:rsidRPr="00BC48D3">
        <w:rPr>
          <w:rFonts w:eastAsia="Times New Roman" w:cs="Times New Roman"/>
          <w:iCs/>
          <w:szCs w:val="24"/>
          <w:lang w:eastAsia="pt-BR"/>
        </w:rPr>
        <w:t xml:space="preserve"> (sistema de play </w:t>
      </w:r>
      <w:proofErr w:type="spellStart"/>
      <w:r w:rsidR="00F57AD0" w:rsidRPr="00BC48D3">
        <w:rPr>
          <w:rFonts w:eastAsia="Times New Roman" w:cs="Times New Roman"/>
          <w:iCs/>
          <w:szCs w:val="24"/>
          <w:lang w:eastAsia="pt-BR"/>
        </w:rPr>
        <w:t>on</w:t>
      </w:r>
      <w:proofErr w:type="spellEnd"/>
      <w:r w:rsidR="00F57AD0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proofErr w:type="spellStart"/>
      <w:r w:rsidR="00F57AD0" w:rsidRPr="00BC48D3">
        <w:rPr>
          <w:rFonts w:eastAsia="Times New Roman" w:cs="Times New Roman"/>
          <w:iCs/>
          <w:szCs w:val="24"/>
          <w:lang w:eastAsia="pt-BR"/>
        </w:rPr>
        <w:t>demand</w:t>
      </w:r>
      <w:proofErr w:type="spellEnd"/>
      <w:r w:rsidR="00F57AD0"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r w:rsidR="005E6566" w:rsidRPr="00BC48D3">
        <w:rPr>
          <w:rFonts w:eastAsia="Times New Roman" w:cs="Times New Roman"/>
          <w:iCs/>
          <w:szCs w:val="24"/>
          <w:lang w:eastAsia="pt-BR"/>
        </w:rPr>
        <w:t>que consistia em receber dinheiro em troca de tocar determinados artistas e músicas)</w:t>
      </w:r>
      <w:r w:rsidR="00096017" w:rsidRPr="00BC48D3">
        <w:rPr>
          <w:rFonts w:eastAsia="Times New Roman" w:cs="Times New Roman"/>
          <w:iCs/>
          <w:szCs w:val="24"/>
          <w:lang w:eastAsia="pt-BR"/>
        </w:rPr>
        <w:t xml:space="preserve"> (MARTEL, 2014)</w:t>
      </w:r>
      <w:r w:rsidR="005E6566" w:rsidRPr="00BC48D3">
        <w:rPr>
          <w:rFonts w:eastAsia="Times New Roman" w:cs="Times New Roman"/>
          <w:iCs/>
          <w:szCs w:val="24"/>
          <w:lang w:eastAsia="pt-BR"/>
        </w:rPr>
        <w:t>,</w:t>
      </w:r>
    </w:p>
    <w:p w14:paraId="115DBBD2" w14:textId="328C7AB3" w:rsidR="00743A96" w:rsidRPr="00BC48D3" w:rsidRDefault="005E6566" w:rsidP="00DD2AF3">
      <w:pPr>
        <w:pStyle w:val="ListParagraph"/>
        <w:numPr>
          <w:ilvl w:val="0"/>
          <w:numId w:val="6"/>
        </w:numPr>
        <w:ind w:left="426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MTV</w:t>
      </w:r>
      <w:r w:rsidR="009623E4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A01222" w:rsidRPr="00BC48D3">
        <w:rPr>
          <w:rFonts w:eastAsia="Times New Roman" w:cs="Times New Roman"/>
          <w:iCs/>
          <w:szCs w:val="24"/>
          <w:lang w:eastAsia="pt-BR"/>
        </w:rPr>
        <w:t xml:space="preserve">obteve exclusividade para alguns novos videoclipes </w:t>
      </w:r>
      <w:r w:rsidR="008F0C5C" w:rsidRPr="00BC48D3">
        <w:rPr>
          <w:rFonts w:eastAsia="Times New Roman" w:cs="Times New Roman"/>
          <w:iCs/>
          <w:szCs w:val="24"/>
          <w:lang w:eastAsia="pt-BR"/>
        </w:rPr>
        <w:t xml:space="preserve">através de negociações exclusivas com as gravadoras e </w:t>
      </w:r>
      <w:r w:rsidR="00144118" w:rsidRPr="00BC48D3">
        <w:rPr>
          <w:rFonts w:eastAsia="Times New Roman" w:cs="Times New Roman"/>
          <w:iCs/>
          <w:szCs w:val="24"/>
          <w:lang w:eastAsia="pt-BR"/>
        </w:rPr>
        <w:t>fez campanha agressivamente para ser o único sinal de música em várias empresas de radiodifusão</w:t>
      </w:r>
      <w:r w:rsidR="00096017" w:rsidRPr="00BC48D3">
        <w:rPr>
          <w:rFonts w:eastAsia="Times New Roman" w:cs="Times New Roman"/>
          <w:iCs/>
          <w:szCs w:val="24"/>
          <w:lang w:eastAsia="pt-BR"/>
        </w:rPr>
        <w:t xml:space="preserve"> (cartelização) (BANKS, 1994)</w:t>
      </w:r>
    </w:p>
    <w:p w14:paraId="7012F0F9" w14:textId="701D3647" w:rsidR="00096017" w:rsidRPr="00BC48D3" w:rsidRDefault="00D448B5" w:rsidP="00DD2AF3">
      <w:pPr>
        <w:pStyle w:val="ListParagraph"/>
        <w:numPr>
          <w:ilvl w:val="0"/>
          <w:numId w:val="6"/>
        </w:numPr>
        <w:ind w:left="426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As gravadoras realizaram ações combativas contra o p2p e o que chamaram de “pirataria” (</w:t>
      </w:r>
      <w:r w:rsidR="00DD2AF3" w:rsidRPr="00BC48D3">
        <w:rPr>
          <w:rFonts w:eastAsia="Times New Roman" w:cs="Times New Roman"/>
          <w:iCs/>
          <w:szCs w:val="24"/>
          <w:lang w:eastAsia="pt-BR"/>
        </w:rPr>
        <w:t>AIGRAIN, 2012)</w:t>
      </w:r>
      <w:r w:rsidR="001D40E3" w:rsidRPr="00BC48D3">
        <w:rPr>
          <w:rFonts w:eastAsia="Times New Roman" w:cs="Times New Roman"/>
          <w:iCs/>
          <w:szCs w:val="24"/>
          <w:lang w:eastAsia="pt-BR"/>
        </w:rPr>
        <w:t xml:space="preserve">, </w:t>
      </w:r>
      <w:r w:rsidR="00F606FB" w:rsidRPr="00BC48D3">
        <w:rPr>
          <w:rFonts w:eastAsia="Times New Roman" w:cs="Times New Roman"/>
          <w:iCs/>
          <w:szCs w:val="24"/>
          <w:lang w:eastAsia="pt-BR"/>
        </w:rPr>
        <w:t>protegendo zelosamente a circulação autorizada de seus produtos</w:t>
      </w:r>
      <w:r w:rsidR="00DD2AF3" w:rsidRPr="00BC48D3">
        <w:rPr>
          <w:rFonts w:eastAsia="Times New Roman" w:cs="Times New Roman"/>
          <w:iCs/>
          <w:szCs w:val="24"/>
          <w:lang w:eastAsia="pt-BR"/>
        </w:rPr>
        <w:t>.</w:t>
      </w:r>
    </w:p>
    <w:p w14:paraId="06EDC14A" w14:textId="2BD8AD31" w:rsidR="00D15B1E" w:rsidRPr="00BC48D3" w:rsidRDefault="00DD3F7D" w:rsidP="00D15B1E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Através também de </w:t>
      </w:r>
      <w:r w:rsidR="00C326E6" w:rsidRPr="00BC48D3">
        <w:rPr>
          <w:rFonts w:eastAsia="Times New Roman" w:cs="Times New Roman"/>
          <w:iCs/>
          <w:szCs w:val="24"/>
          <w:lang w:eastAsia="pt-BR"/>
        </w:rPr>
        <w:t xml:space="preserve">uma redução acentuada do pessoal </w:t>
      </w:r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e custos (adotando a digitalização e encurtando cada vez mais os prazos de lançamento de produtos como singles e videoclipes) e a tendência à transnacionalização (através de gravadoras subsidiárias e terceirização), cada empresa buscou o maior retorno possível e conquistou um lugar importante em cada área. Como resultado, em 1999, apenas cinco editoras discográficas (as </w:t>
      </w:r>
      <w:r w:rsidRPr="00BC48D3">
        <w:rPr>
          <w:rFonts w:eastAsia="Times New Roman" w:cs="Times New Roman"/>
          <w:i/>
          <w:szCs w:val="24"/>
          <w:lang w:eastAsia="pt-BR"/>
        </w:rPr>
        <w:t xml:space="preserve">big </w:t>
      </w:r>
      <w:proofErr w:type="spellStart"/>
      <w:r w:rsidRPr="00BC48D3">
        <w:rPr>
          <w:rFonts w:eastAsia="Times New Roman" w:cs="Times New Roman"/>
          <w:i/>
          <w:szCs w:val="24"/>
          <w:lang w:eastAsia="pt-BR"/>
        </w:rPr>
        <w:t>five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: Warner, EMI, Universal Music </w:t>
      </w:r>
      <w:proofErr w:type="spellStart"/>
      <w:r w:rsidR="00D15B1E" w:rsidRPr="00BC48D3">
        <w:rPr>
          <w:rFonts w:eastAsia="Times New Roman" w:cs="Times New Roman"/>
          <w:iCs/>
          <w:szCs w:val="24"/>
          <w:lang w:eastAsia="pt-BR"/>
        </w:rPr>
        <w:t>Group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>, Sony, PolyGram e BMG) competiam por mais de dois terços do mercado musical, a MTV tinha-se livrado</w:t>
      </w:r>
      <w:r w:rsidR="00A7001D" w:rsidRPr="00BC48D3">
        <w:rPr>
          <w:rFonts w:eastAsia="Times New Roman" w:cs="Times New Roman"/>
          <w:iCs/>
          <w:szCs w:val="24"/>
          <w:lang w:eastAsia="pt-BR"/>
        </w:rPr>
        <w:t>, através da pressão sobre distribuidores de cabo e bandas musicais (BANKS, 1994)</w:t>
      </w:r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 dos seus concorrentes (</w:t>
      </w:r>
      <w:proofErr w:type="spellStart"/>
      <w:r w:rsidR="00D15B1E" w:rsidRPr="00BC48D3">
        <w:rPr>
          <w:rFonts w:eastAsia="Times New Roman" w:cs="Times New Roman"/>
          <w:iCs/>
          <w:szCs w:val="24"/>
          <w:lang w:eastAsia="pt-BR"/>
        </w:rPr>
        <w:t>Cable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 Music </w:t>
      </w:r>
      <w:proofErr w:type="spellStart"/>
      <w:r w:rsidR="00D15B1E" w:rsidRPr="00BC48D3">
        <w:rPr>
          <w:rFonts w:eastAsia="Times New Roman" w:cs="Times New Roman"/>
          <w:iCs/>
          <w:szCs w:val="24"/>
          <w:lang w:eastAsia="pt-BR"/>
        </w:rPr>
        <w:t>Channel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 em 1984 e Hit </w:t>
      </w:r>
      <w:proofErr w:type="spellStart"/>
      <w:r w:rsidR="00D15B1E" w:rsidRPr="00BC48D3">
        <w:rPr>
          <w:rFonts w:eastAsia="Times New Roman" w:cs="Times New Roman"/>
          <w:iCs/>
          <w:szCs w:val="24"/>
          <w:lang w:eastAsia="pt-BR"/>
        </w:rPr>
        <w:t>Video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 USA em 1993) e </w:t>
      </w:r>
      <w:proofErr w:type="spellStart"/>
      <w:r w:rsidR="00D15B1E" w:rsidRPr="00BC48D3">
        <w:rPr>
          <w:rFonts w:eastAsia="Times New Roman" w:cs="Times New Roman"/>
          <w:iCs/>
          <w:szCs w:val="24"/>
          <w:lang w:eastAsia="pt-BR"/>
        </w:rPr>
        <w:t>Clear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proofErr w:type="spellStart"/>
      <w:r w:rsidR="00D15B1E" w:rsidRPr="00BC48D3">
        <w:rPr>
          <w:rFonts w:eastAsia="Times New Roman" w:cs="Times New Roman"/>
          <w:iCs/>
          <w:szCs w:val="24"/>
          <w:lang w:eastAsia="pt-BR"/>
        </w:rPr>
        <w:t>Channel</w:t>
      </w:r>
      <w:proofErr w:type="spellEnd"/>
      <w:r w:rsidR="00D15B1E" w:rsidRPr="00BC48D3">
        <w:rPr>
          <w:rFonts w:eastAsia="Times New Roman" w:cs="Times New Roman"/>
          <w:iCs/>
          <w:szCs w:val="24"/>
          <w:lang w:eastAsia="pt-BR"/>
        </w:rPr>
        <w:t>, graças à Lei de Telecomunicações de 1996, assumiram 840 sinais de rádio e 19 estações de TV em 32 países, entrando também no negócio da música ao vivo</w:t>
      </w:r>
      <w:r w:rsidR="00E4649A" w:rsidRPr="00BC48D3">
        <w:rPr>
          <w:rFonts w:eastAsia="Times New Roman" w:cs="Times New Roman"/>
          <w:iCs/>
          <w:szCs w:val="24"/>
          <w:lang w:eastAsia="pt-BR"/>
        </w:rPr>
        <w:t xml:space="preserve"> (</w:t>
      </w:r>
      <w:r w:rsidR="00793441" w:rsidRPr="00BC48D3">
        <w:rPr>
          <w:rFonts w:eastAsia="Times New Roman" w:cs="Times New Roman"/>
          <w:iCs/>
          <w:szCs w:val="24"/>
          <w:lang w:eastAsia="pt-BR"/>
        </w:rPr>
        <w:t xml:space="preserve">com a criação de </w:t>
      </w:r>
      <w:r w:rsidR="00E4649A" w:rsidRPr="00BC48D3">
        <w:rPr>
          <w:rFonts w:eastAsia="Times New Roman" w:cs="Times New Roman"/>
          <w:iCs/>
          <w:szCs w:val="24"/>
          <w:lang w:eastAsia="pt-BR"/>
        </w:rPr>
        <w:t>CEE/Live Nation</w:t>
      </w:r>
      <w:r w:rsidR="00793441" w:rsidRPr="00BC48D3">
        <w:rPr>
          <w:rFonts w:eastAsia="Times New Roman" w:cs="Times New Roman"/>
          <w:iCs/>
          <w:szCs w:val="24"/>
          <w:lang w:eastAsia="pt-BR"/>
        </w:rPr>
        <w:t xml:space="preserve"> em </w:t>
      </w:r>
      <w:r w:rsidR="008B623C" w:rsidRPr="00BC48D3">
        <w:rPr>
          <w:rFonts w:eastAsia="Times New Roman" w:cs="Times New Roman"/>
          <w:iCs/>
          <w:szCs w:val="24"/>
          <w:lang w:eastAsia="pt-BR"/>
        </w:rPr>
        <w:t>2000</w:t>
      </w:r>
      <w:r w:rsidR="00E4649A" w:rsidRPr="00BC48D3">
        <w:rPr>
          <w:rFonts w:eastAsia="Times New Roman" w:cs="Times New Roman"/>
          <w:iCs/>
          <w:szCs w:val="24"/>
          <w:lang w:eastAsia="pt-BR"/>
        </w:rPr>
        <w:t>).</w:t>
      </w:r>
    </w:p>
    <w:p w14:paraId="56FCC577" w14:textId="77777777" w:rsidR="00D15B1E" w:rsidRPr="00BC48D3" w:rsidRDefault="00D15B1E" w:rsidP="00731B48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6292FD08" w14:textId="55CF0CE1" w:rsidR="00DA2A09" w:rsidRPr="000314AC" w:rsidRDefault="00DA2A09" w:rsidP="00B52C48">
      <w:pPr>
        <w:pStyle w:val="Heading1"/>
      </w:pPr>
      <w:r w:rsidRPr="000314AC">
        <w:t>Construção de imagem e segmentação de público</w:t>
      </w:r>
    </w:p>
    <w:p w14:paraId="06737D73" w14:textId="77777777" w:rsidR="00DA2A09" w:rsidRPr="000314AC" w:rsidRDefault="00DA2A09" w:rsidP="00DA2A09">
      <w:pPr>
        <w:rPr>
          <w:lang w:eastAsia="pt-BR"/>
        </w:rPr>
      </w:pPr>
    </w:p>
    <w:p w14:paraId="4AD148D2" w14:textId="2162BF5A" w:rsidR="00BE1B86" w:rsidRPr="000314AC" w:rsidRDefault="004E692F" w:rsidP="004E692F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0314AC">
        <w:rPr>
          <w:rFonts w:eastAsia="Times New Roman" w:cs="Times New Roman"/>
          <w:iCs/>
          <w:szCs w:val="24"/>
          <w:lang w:eastAsia="pt-BR"/>
        </w:rPr>
        <w:lastRenderedPageBreak/>
        <w:t>A segmentação, prática milenar de marketing, na música foi afetada por inúmeras mudanças demográficas e pela expansão das mídias tradicionais (revistas, emissoras de rádio específicas, programação televisiva diferenciada) que colaboraram na associação de gêneros particulares a determinados estilos de vida ou faixas etárias</w:t>
      </w:r>
      <w:r w:rsidR="00A840BF" w:rsidRPr="000314AC">
        <w:rPr>
          <w:rFonts w:eastAsia="Times New Roman" w:cs="Times New Roman"/>
          <w:iCs/>
          <w:szCs w:val="24"/>
          <w:lang w:eastAsia="pt-BR"/>
        </w:rPr>
        <w:t xml:space="preserve">, </w:t>
      </w:r>
      <w:r w:rsidR="000A45F3" w:rsidRPr="000314AC">
        <w:rPr>
          <w:rFonts w:eastAsia="Times New Roman" w:cs="Times New Roman"/>
          <w:iCs/>
          <w:szCs w:val="24"/>
          <w:lang w:eastAsia="pt-BR"/>
        </w:rPr>
        <w:t>criando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 uma atomização artificial que </w:t>
      </w:r>
      <w:r w:rsidR="00750165" w:rsidRPr="000314AC">
        <w:rPr>
          <w:rFonts w:eastAsia="Times New Roman" w:cs="Times New Roman"/>
          <w:iCs/>
          <w:szCs w:val="24"/>
          <w:lang w:eastAsia="pt-BR"/>
        </w:rPr>
        <w:t>distribui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 os géneros disponíveis </w:t>
      </w:r>
      <w:r w:rsidR="00750165" w:rsidRPr="000314AC">
        <w:rPr>
          <w:rFonts w:eastAsia="Times New Roman" w:cs="Times New Roman"/>
          <w:iCs/>
          <w:szCs w:val="24"/>
          <w:lang w:eastAsia="pt-BR"/>
        </w:rPr>
        <w:t>segmentando o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 público. A imagem derivada do marketing deve ser autêntica</w:t>
      </w:r>
      <w:r w:rsidR="001452DF" w:rsidRPr="000314AC">
        <w:rPr>
          <w:rFonts w:eastAsia="Times New Roman" w:cs="Times New Roman"/>
          <w:iCs/>
          <w:szCs w:val="24"/>
          <w:lang w:eastAsia="pt-BR"/>
        </w:rPr>
        <w:t xml:space="preserve"> -</w:t>
      </w:r>
      <w:r w:rsidRPr="000314AC">
        <w:rPr>
          <w:rFonts w:eastAsia="Times New Roman" w:cs="Times New Roman"/>
          <w:iCs/>
          <w:szCs w:val="24"/>
          <w:lang w:eastAsia="pt-BR"/>
        </w:rPr>
        <w:t>pois tanto o visual como o sonoro devem expressar a personalidade do artista</w:t>
      </w:r>
      <w:r w:rsidR="001452DF" w:rsidRPr="000314AC">
        <w:rPr>
          <w:rFonts w:eastAsia="Times New Roman" w:cs="Times New Roman"/>
          <w:iCs/>
          <w:szCs w:val="24"/>
          <w:lang w:eastAsia="pt-BR"/>
        </w:rPr>
        <w:t>-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 </w:t>
      </w:r>
      <w:r w:rsidR="001452DF" w:rsidRPr="000314AC">
        <w:rPr>
          <w:rFonts w:eastAsia="Times New Roman" w:cs="Times New Roman"/>
          <w:iCs/>
          <w:szCs w:val="24"/>
          <w:lang w:eastAsia="pt-BR"/>
        </w:rPr>
        <w:t>e convincente -</w:t>
      </w:r>
      <w:r w:rsidRPr="000314AC">
        <w:rPr>
          <w:rFonts w:eastAsia="Times New Roman" w:cs="Times New Roman"/>
          <w:iCs/>
          <w:szCs w:val="24"/>
          <w:lang w:eastAsia="pt-BR"/>
        </w:rPr>
        <w:t>credível na sua espontaneidade. O artista conviverá com essa imagem, que expressará sua origem, desejos, ética e estilo de vida.</w:t>
      </w:r>
    </w:p>
    <w:p w14:paraId="044EFC98" w14:textId="1BAA6686" w:rsidR="004E692F" w:rsidRPr="000314AC" w:rsidRDefault="004E692F" w:rsidP="004E692F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0314AC">
        <w:rPr>
          <w:rFonts w:eastAsia="Times New Roman" w:cs="Times New Roman"/>
          <w:iCs/>
          <w:szCs w:val="24"/>
          <w:lang w:eastAsia="pt-BR"/>
        </w:rPr>
        <w:t>Legitimar uma determinada identidade implica, antes de tudo, referir-se a um personagem (</w:t>
      </w:r>
      <w:r w:rsidRPr="000314AC">
        <w:rPr>
          <w:rFonts w:eastAsia="Times New Roman" w:cs="Times New Roman"/>
          <w:i/>
          <w:szCs w:val="24"/>
          <w:lang w:eastAsia="pt-BR"/>
        </w:rPr>
        <w:t>persona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) que, embora permaneça típico, compartilha uma ética com um público amplo. A imagem também deve expressar o que o torna único, tanto que pode até transcender o seu gênero musical e até mesmo a música. Esta singularidade é conseguida apresentando e localizando o artista através do </w:t>
      </w:r>
      <w:r w:rsidRPr="000314AC">
        <w:rPr>
          <w:rFonts w:eastAsia="Times New Roman" w:cs="Times New Roman"/>
          <w:i/>
          <w:szCs w:val="24"/>
          <w:lang w:eastAsia="pt-BR"/>
        </w:rPr>
        <w:t xml:space="preserve">branding </w:t>
      </w:r>
      <w:r w:rsidRPr="000314AC">
        <w:rPr>
          <w:rFonts w:eastAsia="Times New Roman" w:cs="Times New Roman"/>
          <w:iCs/>
          <w:szCs w:val="24"/>
          <w:lang w:eastAsia="pt-BR"/>
        </w:rPr>
        <w:t>(LIEB, 2018), o que o tornará instantaneamente reconhecível, tornando-se uma espécie de “metonímia” (NEGUS,</w:t>
      </w:r>
      <w:r w:rsidR="00822914">
        <w:rPr>
          <w:rFonts w:eastAsia="Times New Roman" w:cs="Times New Roman"/>
          <w:iCs/>
          <w:szCs w:val="24"/>
          <w:lang w:eastAsia="pt-BR"/>
        </w:rPr>
        <w:t xml:space="preserve"> 1992,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 p. 72) da sua carreira, estilo e estética: uma marca registada.</w:t>
      </w:r>
    </w:p>
    <w:p w14:paraId="1C0B0968" w14:textId="2B02C3C2" w:rsidR="00D159EA" w:rsidRPr="000314AC" w:rsidRDefault="00E21868" w:rsidP="004E692F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0314AC">
        <w:rPr>
          <w:rFonts w:eastAsia="Times New Roman" w:cs="Times New Roman"/>
          <w:iCs/>
          <w:szCs w:val="24"/>
          <w:lang w:eastAsia="pt-BR"/>
        </w:rPr>
        <w:t>A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 autenticidade é uma construção ideológica; um sistema de signos que funciona de forma assistemática num contexto cultural específico e, portanto, toda autenticidade é uma ilusão, uma “fabricação”. A </w:t>
      </w:r>
      <w:r w:rsidR="004E692F" w:rsidRPr="000314AC">
        <w:rPr>
          <w:rFonts w:eastAsia="Times New Roman" w:cs="Times New Roman"/>
          <w:i/>
          <w:szCs w:val="24"/>
          <w:lang w:eastAsia="pt-BR"/>
        </w:rPr>
        <w:t>star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 é um signo móvel e mercantilizado que incorpora um conjunto de valores (LOY</w:t>
      </w:r>
      <w:r w:rsidR="00223EDB">
        <w:rPr>
          <w:rFonts w:eastAsia="Times New Roman" w:cs="Times New Roman"/>
          <w:iCs/>
          <w:szCs w:val="24"/>
          <w:lang w:eastAsia="pt-BR"/>
        </w:rPr>
        <w:t>, RICKWOOD, BENNETT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, 2017) que procuram </w:t>
      </w:r>
      <w:r w:rsidR="00C5381D" w:rsidRPr="000314AC">
        <w:rPr>
          <w:rFonts w:eastAsia="Times New Roman" w:cs="Times New Roman"/>
          <w:iCs/>
          <w:szCs w:val="24"/>
          <w:lang w:eastAsia="pt-BR"/>
        </w:rPr>
        <w:t>seduzir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 seu público, que projeta nele expectativas, conectando-se com a sua personalidade e forjando, uma relação </w:t>
      </w:r>
      <w:r w:rsidR="00D6323D" w:rsidRPr="000314AC">
        <w:rPr>
          <w:rFonts w:eastAsia="Times New Roman" w:cs="Times New Roman"/>
          <w:iCs/>
          <w:szCs w:val="24"/>
          <w:lang w:eastAsia="pt-BR"/>
        </w:rPr>
        <w:t>fortemente</w:t>
      </w:r>
      <w:r w:rsidR="00E30270" w:rsidRPr="000314AC">
        <w:rPr>
          <w:rFonts w:eastAsia="Times New Roman" w:cs="Times New Roman"/>
          <w:iCs/>
          <w:szCs w:val="24"/>
          <w:lang w:eastAsia="pt-BR"/>
        </w:rPr>
        <w:t xml:space="preserve"> 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emocional (DYER, </w:t>
      </w:r>
      <w:r w:rsidR="00D91F34">
        <w:rPr>
          <w:rFonts w:eastAsia="Times New Roman" w:cs="Times New Roman"/>
          <w:iCs/>
          <w:szCs w:val="24"/>
          <w:lang w:eastAsia="pt-BR"/>
        </w:rPr>
        <w:t>2004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). Cada artista também faz parte de um gênero musical, que por sua vez está ligado a signos, experiências de vida, condições sociais e culturais </w:t>
      </w:r>
      <w:r w:rsidR="00D6323D" w:rsidRPr="000314AC">
        <w:rPr>
          <w:rFonts w:eastAsia="Times New Roman" w:cs="Times New Roman"/>
          <w:iCs/>
          <w:szCs w:val="24"/>
          <w:lang w:eastAsia="pt-BR"/>
        </w:rPr>
        <w:t>peculiares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 que transmitem </w:t>
      </w:r>
      <w:r w:rsidR="00D6323D">
        <w:rPr>
          <w:rFonts w:eastAsia="Times New Roman" w:cs="Times New Roman"/>
          <w:iCs/>
          <w:szCs w:val="24"/>
          <w:lang w:eastAsia="pt-BR"/>
        </w:rPr>
        <w:t>particulares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 significados. Uma </w:t>
      </w:r>
      <w:r w:rsidR="00B841A0" w:rsidRPr="000314AC">
        <w:rPr>
          <w:rFonts w:eastAsia="Times New Roman" w:cs="Times New Roman"/>
          <w:iCs/>
          <w:szCs w:val="24"/>
          <w:lang w:eastAsia="pt-BR"/>
        </w:rPr>
        <w:t xml:space="preserve">star 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exprime </w:t>
      </w:r>
      <w:r w:rsidR="00B841A0" w:rsidRPr="000314AC">
        <w:rPr>
          <w:rFonts w:eastAsia="Times New Roman" w:cs="Times New Roman"/>
          <w:iCs/>
          <w:szCs w:val="24"/>
          <w:lang w:eastAsia="pt-BR"/>
        </w:rPr>
        <w:t>uma ética através d</w:t>
      </w:r>
      <w:r w:rsidR="00820DC2" w:rsidRPr="000314AC">
        <w:rPr>
          <w:rFonts w:eastAsia="Times New Roman" w:cs="Times New Roman"/>
          <w:iCs/>
          <w:szCs w:val="24"/>
          <w:lang w:eastAsia="pt-BR"/>
        </w:rPr>
        <w:t xml:space="preserve">e 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um </w:t>
      </w:r>
      <w:r w:rsidR="004E692F" w:rsidRPr="000314AC">
        <w:rPr>
          <w:rFonts w:eastAsia="Times New Roman" w:cs="Times New Roman"/>
          <w:i/>
          <w:szCs w:val="24"/>
          <w:lang w:eastAsia="pt-BR"/>
        </w:rPr>
        <w:t xml:space="preserve">total star </w:t>
      </w:r>
      <w:proofErr w:type="spellStart"/>
      <w:r w:rsidR="004E692F" w:rsidRPr="000314AC">
        <w:rPr>
          <w:rFonts w:eastAsia="Times New Roman" w:cs="Times New Roman"/>
          <w:i/>
          <w:szCs w:val="24"/>
          <w:lang w:eastAsia="pt-BR"/>
        </w:rPr>
        <w:t>text</w:t>
      </w:r>
      <w:proofErr w:type="spellEnd"/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 (DYER, </w:t>
      </w:r>
      <w:r w:rsidR="00D91F34">
        <w:rPr>
          <w:rFonts w:eastAsia="Times New Roman" w:cs="Times New Roman"/>
          <w:iCs/>
          <w:szCs w:val="24"/>
          <w:lang w:eastAsia="pt-BR"/>
        </w:rPr>
        <w:t>2004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), que é composto pelas </w:t>
      </w:r>
      <w:r w:rsidR="004E692F" w:rsidRPr="00D6323D">
        <w:rPr>
          <w:rFonts w:eastAsia="Times New Roman" w:cs="Times New Roman"/>
          <w:i/>
          <w:szCs w:val="24"/>
          <w:lang w:eastAsia="pt-BR"/>
        </w:rPr>
        <w:t>performances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, poses e palavras que a </w:t>
      </w:r>
      <w:r w:rsidR="00D6323D" w:rsidRPr="00D6323D">
        <w:rPr>
          <w:rFonts w:eastAsia="Times New Roman" w:cs="Times New Roman"/>
          <w:i/>
          <w:szCs w:val="24"/>
          <w:lang w:eastAsia="pt-BR"/>
        </w:rPr>
        <w:t>star</w:t>
      </w:r>
      <w:r w:rsidR="004E692F" w:rsidRPr="000314AC">
        <w:rPr>
          <w:rFonts w:eastAsia="Times New Roman" w:cs="Times New Roman"/>
          <w:iCs/>
          <w:szCs w:val="24"/>
          <w:lang w:eastAsia="pt-BR"/>
        </w:rPr>
        <w:t xml:space="preserve"> dá como tal</w:t>
      </w:r>
      <w:r w:rsidR="00820DC2" w:rsidRPr="000314AC">
        <w:rPr>
          <w:rFonts w:eastAsia="Times New Roman" w:cs="Times New Roman"/>
          <w:iCs/>
          <w:szCs w:val="24"/>
          <w:lang w:eastAsia="pt-BR"/>
        </w:rPr>
        <w:t>.</w:t>
      </w:r>
    </w:p>
    <w:p w14:paraId="653D0B0A" w14:textId="2CE659AD" w:rsidR="004E692F" w:rsidRPr="000314AC" w:rsidRDefault="004E692F" w:rsidP="004E692F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0314AC">
        <w:rPr>
          <w:rFonts w:eastAsia="Times New Roman" w:cs="Times New Roman"/>
          <w:iCs/>
          <w:szCs w:val="24"/>
          <w:lang w:eastAsia="pt-BR"/>
        </w:rPr>
        <w:t xml:space="preserve">Esse texto é sempre controlado, é uma </w:t>
      </w:r>
      <w:r w:rsidR="00EB7407" w:rsidRPr="000314AC">
        <w:rPr>
          <w:rFonts w:eastAsia="Times New Roman" w:cs="Times New Roman"/>
          <w:i/>
          <w:szCs w:val="24"/>
          <w:lang w:eastAsia="pt-BR"/>
        </w:rPr>
        <w:t xml:space="preserve">brand </w:t>
      </w:r>
      <w:proofErr w:type="spellStart"/>
      <w:r w:rsidR="00EB7407" w:rsidRPr="000314AC">
        <w:rPr>
          <w:rFonts w:eastAsia="Times New Roman" w:cs="Times New Roman"/>
          <w:i/>
          <w:szCs w:val="24"/>
          <w:lang w:eastAsia="pt-BR"/>
        </w:rPr>
        <w:t>image</w:t>
      </w:r>
      <w:proofErr w:type="spellEnd"/>
      <w:r w:rsidRPr="000314AC">
        <w:rPr>
          <w:rFonts w:eastAsia="Times New Roman" w:cs="Times New Roman"/>
          <w:iCs/>
          <w:szCs w:val="24"/>
          <w:lang w:eastAsia="pt-BR"/>
        </w:rPr>
        <w:t xml:space="preserve"> (LIEB, 2018), um artifício que também carrega algo da pessoa real e por isso é tão convincente. O público, sentimentalmente comprometido com essa faceta, nem sempre aceita impensadamente o que a indústria oferece: precisa compartilhar mitos, lendas, expectativas e ideias com aquela estrela, pré-requisitos para a conexão. A indústria pode buscar a indução, mas isso não ocorre sem comunhão.</w:t>
      </w:r>
    </w:p>
    <w:p w14:paraId="538453F3" w14:textId="77777777" w:rsidR="001D40E3" w:rsidRPr="000314AC" w:rsidRDefault="00931525" w:rsidP="00931525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0314AC">
        <w:rPr>
          <w:rFonts w:eastAsia="Times New Roman" w:cs="Times New Roman"/>
          <w:iCs/>
          <w:szCs w:val="24"/>
          <w:lang w:eastAsia="pt-BR"/>
        </w:rPr>
        <w:t xml:space="preserve">O marketing básico do ídolo adolescente, refere, centra-se na diversão, no glamour e na energia, gerando uma </w:t>
      </w:r>
      <w:proofErr w:type="spellStart"/>
      <w:r w:rsidRPr="000314AC">
        <w:rPr>
          <w:rFonts w:eastAsia="Times New Roman" w:cs="Times New Roman"/>
          <w:iCs/>
          <w:szCs w:val="24"/>
          <w:lang w:eastAsia="pt-BR"/>
        </w:rPr>
        <w:t>auto-identificação</w:t>
      </w:r>
      <w:proofErr w:type="spellEnd"/>
      <w:r w:rsidRPr="000314AC">
        <w:rPr>
          <w:rFonts w:eastAsia="Times New Roman" w:cs="Times New Roman"/>
          <w:iCs/>
          <w:szCs w:val="24"/>
          <w:lang w:eastAsia="pt-BR"/>
        </w:rPr>
        <w:t xml:space="preserve"> imaginária a vários níveis e incentivando a fantasia de sentir-se “próximo” do ídolo, “proximidade” gerada a partir da familiaridade do simples e </w:t>
      </w:r>
      <w:r w:rsidR="001D40E3" w:rsidRPr="000314AC">
        <w:rPr>
          <w:rFonts w:eastAsia="Times New Roman" w:cs="Times New Roman"/>
          <w:iCs/>
          <w:szCs w:val="24"/>
          <w:lang w:eastAsia="pt-BR"/>
        </w:rPr>
        <w:t xml:space="preserve">eficazes 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experiências. </w:t>
      </w:r>
      <w:r w:rsidR="00B337FB" w:rsidRPr="000314AC">
        <w:rPr>
          <w:rFonts w:eastAsia="Times New Roman" w:cs="Times New Roman"/>
          <w:iCs/>
          <w:szCs w:val="24"/>
          <w:lang w:eastAsia="pt-BR"/>
        </w:rPr>
        <w:t>N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o processo de identificação com popstars adolescentes existe uma grande componente de autenticidade: a natureza espontânea, sincera e sentimental dos artistas </w:t>
      </w:r>
      <w:r w:rsidRPr="000314AC">
        <w:rPr>
          <w:rFonts w:eastAsia="Times New Roman" w:cs="Times New Roman"/>
          <w:iCs/>
          <w:szCs w:val="24"/>
          <w:lang w:eastAsia="pt-BR"/>
        </w:rPr>
        <w:lastRenderedPageBreak/>
        <w:t>que analisaremos está intimamente ligada às formas de vivenciar e viver a adolescência. Ou seja, estes artistas encarnam uma identificação imaginária, claro, mas que visa retratar a experiência etária do seu público da forma mais fiel possível.</w:t>
      </w:r>
    </w:p>
    <w:p w14:paraId="503C3669" w14:textId="6D2A519B" w:rsidR="00FA5F61" w:rsidRPr="000314AC" w:rsidRDefault="00931525" w:rsidP="009A79BF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0314AC">
        <w:rPr>
          <w:rFonts w:eastAsia="Times New Roman" w:cs="Times New Roman"/>
          <w:iCs/>
          <w:szCs w:val="24"/>
          <w:lang w:eastAsia="pt-BR"/>
        </w:rPr>
        <w:t xml:space="preserve">Isso, aliás, </w:t>
      </w:r>
      <w:r w:rsidR="000314AC">
        <w:rPr>
          <w:rFonts w:eastAsia="Times New Roman" w:cs="Times New Roman"/>
          <w:iCs/>
          <w:szCs w:val="24"/>
          <w:lang w:eastAsia="pt-BR"/>
        </w:rPr>
        <w:t>exprime-se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 nas letras das músicas dos primeiros discos de Christina Aguilera e Britney Spears: elas buscam se conectar com experiências sociais, culturais e pessoais da adolescência descrevendo repetida e insistentemente determinadas situações de vida</w:t>
      </w:r>
      <w:r w:rsidR="00643CBB">
        <w:rPr>
          <w:rFonts w:eastAsia="Times New Roman" w:cs="Times New Roman"/>
          <w:iCs/>
          <w:szCs w:val="24"/>
          <w:lang w:eastAsia="pt-BR"/>
        </w:rPr>
        <w:t xml:space="preserve"> (SOARES et al., 2021)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. A fantasia é também uma projeção, uma apropriação que simplesmente decorre da máquina de marketing e da sua intenção de alcançar identificação e fidelização. </w:t>
      </w:r>
      <w:r w:rsidR="00594FAA" w:rsidRPr="000314AC">
        <w:rPr>
          <w:rFonts w:eastAsia="Times New Roman" w:cs="Times New Roman"/>
          <w:iCs/>
          <w:szCs w:val="24"/>
          <w:lang w:eastAsia="pt-BR"/>
        </w:rPr>
        <w:t xml:space="preserve">Pesquisas de revistas, </w:t>
      </w:r>
      <w:r w:rsidRPr="000314AC">
        <w:rPr>
          <w:rFonts w:eastAsia="Times New Roman" w:cs="Times New Roman"/>
          <w:iCs/>
          <w:szCs w:val="24"/>
          <w:lang w:eastAsia="pt-BR"/>
        </w:rPr>
        <w:t xml:space="preserve">Perfis Demográficos, </w:t>
      </w:r>
      <w:r w:rsidRPr="000314AC">
        <w:rPr>
          <w:rFonts w:eastAsia="Times New Roman" w:cs="Times New Roman"/>
          <w:i/>
          <w:szCs w:val="24"/>
          <w:lang w:eastAsia="pt-BR"/>
        </w:rPr>
        <w:t xml:space="preserve">Focus </w:t>
      </w:r>
      <w:proofErr w:type="spellStart"/>
      <w:r w:rsidRPr="000314AC">
        <w:rPr>
          <w:rFonts w:eastAsia="Times New Roman" w:cs="Times New Roman"/>
          <w:i/>
          <w:szCs w:val="24"/>
          <w:lang w:eastAsia="pt-BR"/>
        </w:rPr>
        <w:t>Groups</w:t>
      </w:r>
      <w:proofErr w:type="spellEnd"/>
      <w:r w:rsidRPr="000314AC">
        <w:rPr>
          <w:rFonts w:eastAsia="Times New Roman" w:cs="Times New Roman"/>
          <w:iCs/>
          <w:szCs w:val="24"/>
          <w:lang w:eastAsia="pt-BR"/>
        </w:rPr>
        <w:t>, qualquer estratégia é válida quando se trata de explorar o sucesso de um álbum lançado recentemente, de um artista em processo de marketing ou de uma banda já de sucesso.</w:t>
      </w:r>
    </w:p>
    <w:p w14:paraId="60FF9E7F" w14:textId="77777777" w:rsidR="00853D13" w:rsidRPr="00BC48D3" w:rsidRDefault="00853D13" w:rsidP="00201759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7F15C40A" w14:textId="335292BC" w:rsidR="00BF27F8" w:rsidRPr="00BC48D3" w:rsidRDefault="005446E6" w:rsidP="00B52C48">
      <w:pPr>
        <w:pStyle w:val="Heading1"/>
        <w:rPr>
          <w:iCs/>
        </w:rPr>
      </w:pPr>
      <w:r w:rsidRPr="00BC48D3">
        <w:t xml:space="preserve">Conclusão: A gênese do </w:t>
      </w:r>
      <w:proofErr w:type="spellStart"/>
      <w:r w:rsidR="0013222C" w:rsidRPr="00BC48D3">
        <w:rPr>
          <w:i/>
          <w:iCs/>
        </w:rPr>
        <w:t>teen</w:t>
      </w:r>
      <w:proofErr w:type="spellEnd"/>
      <w:r w:rsidR="0013222C" w:rsidRPr="00BC48D3">
        <w:rPr>
          <w:i/>
          <w:iCs/>
        </w:rPr>
        <w:t xml:space="preserve"> pop</w:t>
      </w:r>
    </w:p>
    <w:p w14:paraId="370FA18C" w14:textId="77777777" w:rsidR="00BF27F8" w:rsidRPr="00BC48D3" w:rsidRDefault="00BF27F8" w:rsidP="00201759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</w:p>
    <w:p w14:paraId="1B2B8757" w14:textId="601B5B26" w:rsidR="002B0F66" w:rsidRPr="00BC48D3" w:rsidRDefault="009A79BF" w:rsidP="00201759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A </w:t>
      </w:r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desregulamentação generalizada dos meios de comunicação e da cultura, típica da Terceira </w:t>
      </w:r>
      <w:r w:rsidRPr="00BC48D3">
        <w:rPr>
          <w:rFonts w:eastAsia="Times New Roman" w:cs="Times New Roman"/>
          <w:iCs/>
          <w:szCs w:val="24"/>
          <w:lang w:eastAsia="pt-BR"/>
        </w:rPr>
        <w:t>Fase</w:t>
      </w:r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 (Van </w:t>
      </w:r>
      <w:proofErr w:type="spellStart"/>
      <w:r w:rsidR="00A84DCB" w:rsidRPr="00BC48D3">
        <w:rPr>
          <w:rFonts w:eastAsia="Times New Roman" w:cs="Times New Roman"/>
          <w:iCs/>
          <w:szCs w:val="24"/>
          <w:lang w:eastAsia="pt-BR"/>
        </w:rPr>
        <w:t>Cuilenburg</w:t>
      </w:r>
      <w:proofErr w:type="spellEnd"/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 e </w:t>
      </w:r>
      <w:proofErr w:type="spellStart"/>
      <w:r w:rsidR="00A84DCB" w:rsidRPr="00BC48D3">
        <w:rPr>
          <w:rFonts w:eastAsia="Times New Roman" w:cs="Times New Roman"/>
          <w:iCs/>
          <w:szCs w:val="24"/>
          <w:lang w:eastAsia="pt-BR"/>
        </w:rPr>
        <w:t>McQuail</w:t>
      </w:r>
      <w:proofErr w:type="spellEnd"/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, 2004), resultou num panorama económico particular na música internacional. Criou uma sinergia mediática substancial que permitiu a instalação da música pop em quase todas as áreas mediáticas do globo, impondo listas de músicas e artistas, oferecendo um catálogo extremamente pequeno e cuidadosamente curado. Toda a década de </w:t>
      </w:r>
      <w:r w:rsidR="002B0F66" w:rsidRPr="00BC48D3">
        <w:rPr>
          <w:rFonts w:eastAsia="Times New Roman" w:cs="Times New Roman"/>
          <w:iCs/>
          <w:szCs w:val="24"/>
          <w:lang w:eastAsia="pt-BR"/>
        </w:rPr>
        <w:t>1990</w:t>
      </w:r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 foi definida a partir de uma sólida estratégia de divulgação cultural de produtos altamente americanizados (</w:t>
      </w:r>
      <w:r w:rsidR="00776C7D">
        <w:rPr>
          <w:rFonts w:eastAsia="Times New Roman" w:cs="Times New Roman"/>
          <w:iCs/>
          <w:szCs w:val="24"/>
          <w:lang w:eastAsia="pt-BR"/>
        </w:rPr>
        <w:t>MARTEL</w:t>
      </w:r>
      <w:r w:rsidR="00A84DCB" w:rsidRPr="00BC48D3">
        <w:rPr>
          <w:rFonts w:eastAsia="Times New Roman" w:cs="Times New Roman"/>
          <w:iCs/>
          <w:szCs w:val="24"/>
          <w:lang w:eastAsia="pt-BR"/>
        </w:rPr>
        <w:t>, 201</w:t>
      </w:r>
      <w:r w:rsidR="00776C7D">
        <w:rPr>
          <w:rFonts w:eastAsia="Times New Roman" w:cs="Times New Roman"/>
          <w:iCs/>
          <w:szCs w:val="24"/>
          <w:lang w:eastAsia="pt-BR"/>
        </w:rPr>
        <w:t>4</w:t>
      </w:r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), o que provocou uma verdadeira onda de hegemonia cultural: apesar de a globalização propor uma circulação indiscriminada, expansiva e multidirecional, a cultura tornou-se cada vez mais uniforme. É neste contexto que surgem inúmeras </w:t>
      </w:r>
      <w:r w:rsidR="00A84DCB" w:rsidRPr="00BC48D3">
        <w:rPr>
          <w:rFonts w:eastAsia="Times New Roman" w:cs="Times New Roman"/>
          <w:i/>
          <w:szCs w:val="24"/>
          <w:lang w:eastAsia="pt-BR"/>
        </w:rPr>
        <w:t>boy</w:t>
      </w:r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EC28DD" w:rsidRPr="00BC48D3">
        <w:rPr>
          <w:rFonts w:eastAsia="Times New Roman" w:cs="Times New Roman"/>
          <w:iCs/>
          <w:szCs w:val="24"/>
          <w:lang w:eastAsia="pt-BR"/>
        </w:rPr>
        <w:t>e</w:t>
      </w:r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 </w:t>
      </w:r>
      <w:r w:rsidR="00A84DCB" w:rsidRPr="00BC48D3">
        <w:rPr>
          <w:rFonts w:eastAsia="Times New Roman" w:cs="Times New Roman"/>
          <w:i/>
          <w:szCs w:val="24"/>
          <w:lang w:eastAsia="pt-BR"/>
        </w:rPr>
        <w:t>girl bands</w:t>
      </w:r>
      <w:r w:rsidR="00A84DCB" w:rsidRPr="00BC48D3">
        <w:rPr>
          <w:rFonts w:eastAsia="Times New Roman" w:cs="Times New Roman"/>
          <w:iCs/>
          <w:szCs w:val="24"/>
          <w:lang w:eastAsia="pt-BR"/>
        </w:rPr>
        <w:t xml:space="preserve"> na Europa e nos Estados Unidos dirigidas ao mercado internacional e construídas para atrair segmentos da população jovem através de produtos interessantes e apelativos: canções, vestuário e meios audiovisuais.</w:t>
      </w:r>
    </w:p>
    <w:p w14:paraId="5FE0F3A3" w14:textId="480B59E2" w:rsidR="00BF27F8" w:rsidRPr="00BC48D3" w:rsidRDefault="00A84DCB" w:rsidP="00201759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>A expressividade musical e o conteúdo lírico das canções serviram a uma geração de crianças e adolescentes como referência para sua transição para a juventude, por meio de representações relevantes de amor, amizade, lazer e outras atividades cotidianas</w:t>
      </w:r>
      <w:r w:rsidR="00872EC5">
        <w:rPr>
          <w:rFonts w:eastAsia="Times New Roman" w:cs="Times New Roman"/>
          <w:iCs/>
          <w:szCs w:val="24"/>
          <w:lang w:eastAsia="pt-BR"/>
        </w:rPr>
        <w:t xml:space="preserve"> (VANNINI, MYERS, 2002)</w:t>
      </w:r>
      <w:r w:rsidRPr="00BC48D3">
        <w:rPr>
          <w:rFonts w:eastAsia="Times New Roman" w:cs="Times New Roman"/>
          <w:iCs/>
          <w:szCs w:val="24"/>
          <w:lang w:eastAsia="pt-BR"/>
        </w:rPr>
        <w:t>. A partir de 1999, os grupos e solistas que surgiriam tinham a garantia de circulação internacional e sucesso económico.</w:t>
      </w:r>
      <w:r w:rsidR="002B0F66" w:rsidRPr="00BC48D3">
        <w:rPr>
          <w:rFonts w:eastAsia="Times New Roman" w:cs="Times New Roman"/>
          <w:iCs/>
          <w:szCs w:val="24"/>
          <w:lang w:eastAsia="pt-BR"/>
        </w:rPr>
        <w:t xml:space="preserve"> Portanto, o</w:t>
      </w:r>
      <w:r w:rsidRPr="00BC48D3">
        <w:rPr>
          <w:rFonts w:eastAsia="Times New Roman" w:cs="Times New Roman"/>
          <w:iCs/>
          <w:szCs w:val="24"/>
          <w:lang w:eastAsia="pt-BR"/>
        </w:rPr>
        <w:t xml:space="preserve"> sucesso explosivo destes artistas durante o novo milénio não é estranho.</w:t>
      </w:r>
    </w:p>
    <w:p w14:paraId="2E0CF3EF" w14:textId="65979052" w:rsidR="00BF27F8" w:rsidRPr="00BC48D3" w:rsidRDefault="00696F78" w:rsidP="00201759">
      <w:pPr>
        <w:ind w:firstLine="709"/>
        <w:jc w:val="both"/>
        <w:rPr>
          <w:rFonts w:eastAsia="Times New Roman" w:cs="Times New Roman"/>
          <w:iCs/>
          <w:szCs w:val="24"/>
          <w:lang w:eastAsia="pt-BR"/>
        </w:rPr>
      </w:pPr>
      <w:r w:rsidRPr="00BC48D3">
        <w:rPr>
          <w:rFonts w:eastAsia="Times New Roman" w:cs="Times New Roman"/>
          <w:iCs/>
          <w:szCs w:val="24"/>
          <w:lang w:eastAsia="pt-BR"/>
        </w:rPr>
        <w:t xml:space="preserve">Todos esses artistas conseguiram desafiar ao adotar uma marca artística significativa, identificável e cuidadosamente construída, que fez uso de diversas adoções de identidade (no caso de Christina Aguilera, latina e afro). A progressiva sexualização das estrelas, iniciada na </w:t>
      </w:r>
      <w:r w:rsidRPr="00BC48D3">
        <w:rPr>
          <w:rFonts w:eastAsia="Times New Roman" w:cs="Times New Roman"/>
          <w:iCs/>
          <w:szCs w:val="24"/>
          <w:lang w:eastAsia="pt-BR"/>
        </w:rPr>
        <w:lastRenderedPageBreak/>
        <w:t>maioridade</w:t>
      </w:r>
      <w:r w:rsidR="00111118" w:rsidRPr="00BC48D3">
        <w:rPr>
          <w:rFonts w:eastAsia="Times New Roman" w:cs="Times New Roman"/>
          <w:iCs/>
          <w:szCs w:val="24"/>
          <w:lang w:eastAsia="pt-BR"/>
        </w:rPr>
        <w:t xml:space="preserve"> delas</w:t>
      </w:r>
      <w:r w:rsidRPr="00BC48D3">
        <w:rPr>
          <w:rFonts w:eastAsia="Times New Roman" w:cs="Times New Roman"/>
          <w:iCs/>
          <w:szCs w:val="24"/>
          <w:lang w:eastAsia="pt-BR"/>
        </w:rPr>
        <w:t>, tornou-se o principal compromisso visual e audiovisual, e envolveu novos temas líricos e novos estilos musicais</w:t>
      </w:r>
      <w:r w:rsidR="00111118" w:rsidRPr="00BC48D3">
        <w:rPr>
          <w:rFonts w:eastAsia="Times New Roman" w:cs="Times New Roman"/>
          <w:iCs/>
          <w:szCs w:val="24"/>
          <w:lang w:eastAsia="pt-BR"/>
        </w:rPr>
        <w:t xml:space="preserve">. </w:t>
      </w:r>
      <w:r w:rsidRPr="00BC48D3">
        <w:rPr>
          <w:rFonts w:eastAsia="Times New Roman" w:cs="Times New Roman"/>
          <w:iCs/>
          <w:szCs w:val="24"/>
          <w:lang w:eastAsia="pt-BR"/>
        </w:rPr>
        <w:t>Todos estes produtos, dirigidos a um público imaginado de adolescentes e pré-adolescentes, não eram essencialmente novos na forma como eram concebidos, desenvolvidos ou divulgados</w:t>
      </w:r>
      <w:r w:rsidR="00521405" w:rsidRPr="00BC48D3">
        <w:rPr>
          <w:rFonts w:eastAsia="Times New Roman" w:cs="Times New Roman"/>
          <w:iCs/>
          <w:szCs w:val="24"/>
          <w:lang w:eastAsia="pt-BR"/>
        </w:rPr>
        <w:t>. Mas acabaram sendo, com todas as características conjunturais já citadas, as únicas referências juvenis do feminino, do jovial, divertido e primeiro amor; pelo menos as únicas referências mediáticas de jovens e crianças dos anos 90.</w:t>
      </w:r>
    </w:p>
    <w:p w14:paraId="3B3FDE61" w14:textId="77777777" w:rsidR="00025519" w:rsidRDefault="00025519" w:rsidP="00397A13">
      <w:pPr>
        <w:rPr>
          <w:rFonts w:eastAsia="Times New Roman" w:cs="Times New Roman"/>
          <w:iCs/>
          <w:szCs w:val="24"/>
          <w:lang w:eastAsia="pt-BR"/>
        </w:rPr>
      </w:pPr>
    </w:p>
    <w:p w14:paraId="540819E0" w14:textId="77777777" w:rsidR="00025519" w:rsidRPr="004614E1" w:rsidRDefault="00025519" w:rsidP="00B52C48">
      <w:pPr>
        <w:pStyle w:val="Heading1"/>
        <w:rPr>
          <w:lang w:val="en-US"/>
        </w:rPr>
      </w:pPr>
      <w:proofErr w:type="spellStart"/>
      <w:r w:rsidRPr="004614E1">
        <w:rPr>
          <w:lang w:val="en-US"/>
        </w:rPr>
        <w:t>Referências</w:t>
      </w:r>
      <w:proofErr w:type="spellEnd"/>
    </w:p>
    <w:p w14:paraId="51F11F40" w14:textId="77777777" w:rsidR="00025519" w:rsidRPr="004614E1" w:rsidRDefault="00025519" w:rsidP="00397A13">
      <w:pPr>
        <w:rPr>
          <w:rFonts w:eastAsia="Times New Roman" w:cs="Times New Roman"/>
          <w:iCs/>
          <w:szCs w:val="24"/>
          <w:lang w:val="en-US" w:eastAsia="pt-BR"/>
        </w:rPr>
      </w:pPr>
    </w:p>
    <w:p w14:paraId="6B5641B2" w14:textId="1EA36301" w:rsidR="004614E1" w:rsidRPr="003809C8" w:rsidRDefault="00CA7341" w:rsidP="00DD687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sz w:val="22"/>
          <w:lang w:val="es-AR"/>
        </w:rPr>
      </w:pPr>
      <w:r w:rsidRPr="00CA7341">
        <w:rPr>
          <w:rFonts w:cs="Times New Roman"/>
          <w:sz w:val="22"/>
          <w:lang w:val="en-US"/>
        </w:rPr>
        <w:t>AGUIAR</w:t>
      </w:r>
      <w:r w:rsidR="004614E1" w:rsidRPr="00DD6875">
        <w:rPr>
          <w:rFonts w:cs="Times New Roman"/>
          <w:sz w:val="22"/>
          <w:lang w:val="en-US"/>
        </w:rPr>
        <w:t>, Francisco</w:t>
      </w:r>
      <w:r>
        <w:rPr>
          <w:rFonts w:cs="Times New Roman"/>
          <w:sz w:val="22"/>
          <w:lang w:val="en-US"/>
        </w:rPr>
        <w:t>;</w:t>
      </w:r>
      <w:r w:rsidR="004614E1" w:rsidRPr="00DD6875">
        <w:rPr>
          <w:rFonts w:cs="Times New Roman"/>
          <w:sz w:val="22"/>
          <w:lang w:val="en-US"/>
        </w:rPr>
        <w:t xml:space="preserve"> </w:t>
      </w:r>
      <w:r w:rsidRPr="00CA7341">
        <w:rPr>
          <w:rFonts w:cs="Times New Roman"/>
          <w:sz w:val="22"/>
          <w:lang w:val="en-US"/>
        </w:rPr>
        <w:t>WALDFOGEL</w:t>
      </w:r>
      <w:r w:rsidR="004614E1" w:rsidRPr="00DD6875">
        <w:rPr>
          <w:rFonts w:cs="Times New Roman"/>
          <w:sz w:val="22"/>
          <w:lang w:val="en-US"/>
        </w:rPr>
        <w:t>, Joel</w:t>
      </w:r>
      <w:r w:rsidR="00CF2F94">
        <w:rPr>
          <w:rFonts w:cs="Times New Roman"/>
          <w:sz w:val="22"/>
          <w:lang w:val="en-US"/>
        </w:rPr>
        <w:t>,</w:t>
      </w:r>
      <w:r w:rsidR="004614E1" w:rsidRPr="00DD6875">
        <w:rPr>
          <w:rFonts w:cs="Times New Roman"/>
          <w:sz w:val="22"/>
          <w:lang w:val="en-US"/>
        </w:rPr>
        <w:t xml:space="preserve"> “Even the losers get lucky sometimes</w:t>
      </w:r>
      <w:r w:rsidR="00BC2704">
        <w:rPr>
          <w:rFonts w:cs="Times New Roman"/>
          <w:sz w:val="22"/>
          <w:lang w:val="en-US"/>
        </w:rPr>
        <w:t xml:space="preserve">: </w:t>
      </w:r>
      <w:r w:rsidR="00BC2704" w:rsidRPr="00BC2704">
        <w:rPr>
          <w:rFonts w:cs="Times New Roman"/>
          <w:sz w:val="22"/>
          <w:lang w:val="en-US"/>
        </w:rPr>
        <w:t>New products and the evolution of music quality since Napster</w:t>
      </w:r>
      <w:r w:rsidR="004614E1" w:rsidRPr="00DD6875">
        <w:rPr>
          <w:rFonts w:cs="Times New Roman"/>
          <w:sz w:val="22"/>
          <w:lang w:val="en-US"/>
        </w:rPr>
        <w:t>”</w:t>
      </w:r>
      <w:r w:rsidR="007B7AE0">
        <w:rPr>
          <w:rFonts w:cs="Times New Roman"/>
          <w:sz w:val="22"/>
          <w:lang w:val="en-US"/>
        </w:rPr>
        <w:t xml:space="preserve">. </w:t>
      </w:r>
      <w:proofErr w:type="spellStart"/>
      <w:r w:rsidR="004614E1" w:rsidRPr="003809C8">
        <w:rPr>
          <w:rFonts w:cs="Times New Roman"/>
          <w:i/>
          <w:iCs/>
          <w:sz w:val="22"/>
          <w:lang w:val="es-AR"/>
        </w:rPr>
        <w:t>Information</w:t>
      </w:r>
      <w:proofErr w:type="spellEnd"/>
      <w:r w:rsidR="004614E1" w:rsidRPr="003809C8">
        <w:rPr>
          <w:rFonts w:cs="Times New Roman"/>
          <w:i/>
          <w:iCs/>
          <w:sz w:val="22"/>
          <w:lang w:val="es-AR"/>
        </w:rPr>
        <w:t xml:space="preserve"> </w:t>
      </w:r>
      <w:proofErr w:type="spellStart"/>
      <w:r w:rsidR="004614E1" w:rsidRPr="003809C8">
        <w:rPr>
          <w:rFonts w:cs="Times New Roman"/>
          <w:i/>
          <w:iCs/>
          <w:sz w:val="22"/>
          <w:lang w:val="es-AR"/>
        </w:rPr>
        <w:t>Economics</w:t>
      </w:r>
      <w:proofErr w:type="spellEnd"/>
      <w:r w:rsidR="004614E1" w:rsidRPr="003809C8">
        <w:rPr>
          <w:rFonts w:cs="Times New Roman"/>
          <w:i/>
          <w:iCs/>
          <w:sz w:val="22"/>
          <w:lang w:val="es-AR"/>
        </w:rPr>
        <w:t xml:space="preserve"> and </w:t>
      </w:r>
      <w:proofErr w:type="spellStart"/>
      <w:r w:rsidR="004614E1" w:rsidRPr="003809C8">
        <w:rPr>
          <w:rFonts w:cs="Times New Roman"/>
          <w:i/>
          <w:iCs/>
          <w:sz w:val="22"/>
          <w:lang w:val="es-AR"/>
        </w:rPr>
        <w:t>Policy</w:t>
      </w:r>
      <w:proofErr w:type="spellEnd"/>
      <w:r w:rsidR="00824BFC" w:rsidRPr="003809C8">
        <w:rPr>
          <w:rFonts w:cs="Times New Roman"/>
          <w:sz w:val="22"/>
          <w:lang w:val="es-AR"/>
        </w:rPr>
        <w:t>, v.</w:t>
      </w:r>
      <w:r w:rsidR="004614E1" w:rsidRPr="003809C8">
        <w:rPr>
          <w:rFonts w:cs="Times New Roman"/>
          <w:sz w:val="22"/>
          <w:lang w:val="es-AR"/>
        </w:rPr>
        <w:t xml:space="preserve"> 34</w:t>
      </w:r>
      <w:r w:rsidR="00AA66A9" w:rsidRPr="003809C8">
        <w:rPr>
          <w:rFonts w:cs="Times New Roman"/>
          <w:sz w:val="22"/>
          <w:lang w:val="es-AR"/>
        </w:rPr>
        <w:t>, n. C</w:t>
      </w:r>
      <w:r w:rsidR="004614E1" w:rsidRPr="003809C8">
        <w:rPr>
          <w:rFonts w:cs="Times New Roman"/>
          <w:i/>
          <w:iCs/>
          <w:sz w:val="22"/>
          <w:lang w:val="es-AR"/>
        </w:rPr>
        <w:t xml:space="preserve">, </w:t>
      </w:r>
      <w:r w:rsidR="004614E1" w:rsidRPr="003809C8">
        <w:rPr>
          <w:rFonts w:cs="Times New Roman"/>
          <w:sz w:val="22"/>
          <w:lang w:val="es-AR"/>
        </w:rPr>
        <w:t>p. 1–15</w:t>
      </w:r>
      <w:r w:rsidR="003809C8" w:rsidRPr="003809C8">
        <w:rPr>
          <w:rFonts w:cs="Times New Roman"/>
          <w:sz w:val="22"/>
          <w:lang w:val="es-AR"/>
        </w:rPr>
        <w:t>,</w:t>
      </w:r>
      <w:r w:rsidR="003809C8">
        <w:rPr>
          <w:rFonts w:cs="Times New Roman"/>
          <w:sz w:val="22"/>
          <w:lang w:val="es-AR"/>
        </w:rPr>
        <w:t xml:space="preserve"> 2016.</w:t>
      </w:r>
    </w:p>
    <w:p w14:paraId="6723460B" w14:textId="274609DB" w:rsidR="004614E1" w:rsidRPr="006D46DB" w:rsidRDefault="00CA7341" w:rsidP="00DD6875">
      <w:pPr>
        <w:spacing w:line="240" w:lineRule="auto"/>
        <w:ind w:left="567" w:hanging="567"/>
        <w:jc w:val="both"/>
        <w:rPr>
          <w:rFonts w:cs="Times New Roman"/>
          <w:sz w:val="22"/>
          <w:lang w:val="en-US"/>
        </w:rPr>
      </w:pPr>
      <w:r w:rsidRPr="00CA7341">
        <w:rPr>
          <w:rFonts w:cs="Times New Roman"/>
          <w:sz w:val="22"/>
          <w:lang w:val="es-AR"/>
        </w:rPr>
        <w:t>ALBORNOZ</w:t>
      </w:r>
      <w:r w:rsidR="004614E1" w:rsidRPr="00DD6875">
        <w:rPr>
          <w:rFonts w:cs="Times New Roman"/>
          <w:sz w:val="22"/>
          <w:lang w:val="es-AR"/>
        </w:rPr>
        <w:t>, Luis</w:t>
      </w:r>
      <w:r w:rsidR="003809C8">
        <w:rPr>
          <w:rFonts w:cs="Times New Roman"/>
          <w:sz w:val="22"/>
          <w:lang w:val="es-AR"/>
        </w:rPr>
        <w:t xml:space="preserve">. </w:t>
      </w:r>
      <w:r w:rsidR="004614E1" w:rsidRPr="00DD6875">
        <w:rPr>
          <w:rFonts w:cs="Times New Roman"/>
          <w:sz w:val="22"/>
          <w:lang w:val="es-AR"/>
        </w:rPr>
        <w:t>“La industria de la música: un escenario en plena transformación”</w:t>
      </w:r>
      <w:r w:rsidR="00B80274">
        <w:rPr>
          <w:rFonts w:cs="Times New Roman"/>
          <w:sz w:val="22"/>
          <w:lang w:val="es-AR"/>
        </w:rPr>
        <w:t xml:space="preserve">. </w:t>
      </w:r>
      <w:r w:rsidR="00B80274" w:rsidRPr="00B80274">
        <w:rPr>
          <w:rFonts w:cs="Times New Roman"/>
          <w:i/>
          <w:iCs/>
          <w:sz w:val="22"/>
          <w:lang w:val="es-AR"/>
        </w:rPr>
        <w:t>In</w:t>
      </w:r>
      <w:r w:rsidR="00B80274">
        <w:rPr>
          <w:rFonts w:cs="Times New Roman"/>
          <w:sz w:val="22"/>
          <w:lang w:val="es-AR"/>
        </w:rPr>
        <w:t>:</w:t>
      </w:r>
      <w:r w:rsidR="004614E1" w:rsidRPr="00DD6875">
        <w:rPr>
          <w:rFonts w:cs="Times New Roman"/>
          <w:sz w:val="22"/>
          <w:lang w:val="es-AR"/>
        </w:rPr>
        <w:t xml:space="preserve"> </w:t>
      </w:r>
      <w:r w:rsidR="00B80274" w:rsidRPr="00DD6875">
        <w:rPr>
          <w:rFonts w:cs="Times New Roman"/>
          <w:sz w:val="22"/>
          <w:lang w:val="es-AR"/>
        </w:rPr>
        <w:t>BUSTAMANTE</w:t>
      </w:r>
      <w:r w:rsidR="004614E1" w:rsidRPr="00DD6875">
        <w:rPr>
          <w:rFonts w:cs="Times New Roman"/>
          <w:sz w:val="22"/>
          <w:lang w:val="es-AR"/>
        </w:rPr>
        <w:t>, Enrique</w:t>
      </w:r>
      <w:r w:rsidR="00444C1F">
        <w:rPr>
          <w:rFonts w:cs="Times New Roman"/>
          <w:sz w:val="22"/>
          <w:lang w:val="es-AR"/>
        </w:rPr>
        <w:t xml:space="preserve">. </w:t>
      </w:r>
      <w:r w:rsidR="004614E1" w:rsidRPr="006D46DB">
        <w:rPr>
          <w:rFonts w:cs="Times New Roman"/>
          <w:i/>
          <w:iCs/>
          <w:sz w:val="22"/>
          <w:lang w:val="en-US"/>
        </w:rPr>
        <w:t xml:space="preserve">Las </w:t>
      </w:r>
      <w:proofErr w:type="spellStart"/>
      <w:r w:rsidR="004614E1" w:rsidRPr="006D46DB">
        <w:rPr>
          <w:rFonts w:cs="Times New Roman"/>
          <w:i/>
          <w:iCs/>
          <w:sz w:val="22"/>
          <w:lang w:val="en-US"/>
        </w:rPr>
        <w:t>industrias</w:t>
      </w:r>
      <w:proofErr w:type="spellEnd"/>
      <w:r w:rsidR="004614E1" w:rsidRPr="006D46DB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="004614E1" w:rsidRPr="006D46DB">
        <w:rPr>
          <w:rFonts w:cs="Times New Roman"/>
          <w:i/>
          <w:iCs/>
          <w:sz w:val="22"/>
          <w:lang w:val="en-US"/>
        </w:rPr>
        <w:t>culturales</w:t>
      </w:r>
      <w:proofErr w:type="spellEnd"/>
      <w:r w:rsidR="004614E1" w:rsidRPr="006D46DB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="004614E1" w:rsidRPr="006D46DB">
        <w:rPr>
          <w:rFonts w:cs="Times New Roman"/>
          <w:i/>
          <w:iCs/>
          <w:sz w:val="22"/>
          <w:lang w:val="en-US"/>
        </w:rPr>
        <w:t>audiovisuales</w:t>
      </w:r>
      <w:proofErr w:type="spellEnd"/>
      <w:r w:rsidR="004614E1" w:rsidRPr="006D46DB">
        <w:rPr>
          <w:rFonts w:cs="Times New Roman"/>
          <w:i/>
          <w:iCs/>
          <w:sz w:val="22"/>
          <w:lang w:val="en-US"/>
        </w:rPr>
        <w:t xml:space="preserve"> e Internet</w:t>
      </w:r>
      <w:r w:rsidR="00444C1F" w:rsidRPr="006D46DB">
        <w:rPr>
          <w:rFonts w:cs="Times New Roman"/>
          <w:sz w:val="22"/>
          <w:lang w:val="en-US"/>
        </w:rPr>
        <w:t xml:space="preserve">. </w:t>
      </w:r>
      <w:r w:rsidR="004614E1" w:rsidRPr="006D46DB">
        <w:rPr>
          <w:rFonts w:cs="Times New Roman"/>
          <w:sz w:val="22"/>
          <w:lang w:val="en-US"/>
        </w:rPr>
        <w:t>Tenerife: La Laguna</w:t>
      </w:r>
      <w:r w:rsidR="003809C8" w:rsidRPr="006D46DB">
        <w:rPr>
          <w:rFonts w:cs="Times New Roman"/>
          <w:sz w:val="22"/>
          <w:lang w:val="en-US"/>
        </w:rPr>
        <w:t xml:space="preserve">, </w:t>
      </w:r>
      <w:r w:rsidR="003809C8" w:rsidRPr="006D46DB">
        <w:rPr>
          <w:rFonts w:cs="Times New Roman"/>
          <w:sz w:val="22"/>
          <w:lang w:val="en-US"/>
        </w:rPr>
        <w:t>2011</w:t>
      </w:r>
      <w:r w:rsidR="0083137F" w:rsidRPr="006D46DB">
        <w:rPr>
          <w:rFonts w:cs="Times New Roman"/>
          <w:sz w:val="22"/>
          <w:lang w:val="en-US"/>
        </w:rPr>
        <w:t>.</w:t>
      </w:r>
    </w:p>
    <w:p w14:paraId="558C8BBA" w14:textId="5DAA549A" w:rsidR="00D63B81" w:rsidRPr="00D63B81" w:rsidRDefault="00CA7341" w:rsidP="00D63B81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b/>
          <w:bCs/>
          <w:sz w:val="22"/>
          <w:lang w:val="en-US"/>
        </w:rPr>
      </w:pPr>
      <w:r w:rsidRPr="00CA7341">
        <w:rPr>
          <w:rFonts w:cs="Times New Roman"/>
          <w:sz w:val="22"/>
          <w:lang w:val="en-US"/>
        </w:rPr>
        <w:t>ARDITI</w:t>
      </w:r>
      <w:r w:rsidR="00D63B81" w:rsidRPr="0083137F">
        <w:rPr>
          <w:rFonts w:cs="Times New Roman"/>
          <w:sz w:val="22"/>
          <w:lang w:val="en-US"/>
        </w:rPr>
        <w:t>, David, “iTunes: Breaking barriers and building walls”</w:t>
      </w:r>
      <w:r w:rsidR="006D46DB">
        <w:rPr>
          <w:rFonts w:cs="Times New Roman"/>
          <w:sz w:val="22"/>
          <w:lang w:val="en-US"/>
        </w:rPr>
        <w:t>.</w:t>
      </w:r>
      <w:r w:rsidR="00D63B81" w:rsidRPr="0083137F">
        <w:rPr>
          <w:rFonts w:cs="Times New Roman"/>
          <w:sz w:val="22"/>
          <w:lang w:val="en-US"/>
        </w:rPr>
        <w:t xml:space="preserve"> </w:t>
      </w:r>
      <w:r w:rsidR="00D63B81" w:rsidRPr="0083137F">
        <w:rPr>
          <w:rFonts w:cs="Times New Roman"/>
          <w:i/>
          <w:iCs/>
          <w:sz w:val="22"/>
          <w:lang w:val="en-US"/>
        </w:rPr>
        <w:t>Popular Music and Society</w:t>
      </w:r>
      <w:r w:rsidR="00D63B81" w:rsidRPr="0083137F">
        <w:rPr>
          <w:rFonts w:cs="Times New Roman"/>
          <w:sz w:val="22"/>
          <w:lang w:val="en-US"/>
        </w:rPr>
        <w:t xml:space="preserve">, </w:t>
      </w:r>
      <w:r w:rsidR="000266ED">
        <w:rPr>
          <w:rFonts w:cs="Times New Roman"/>
          <w:sz w:val="22"/>
          <w:lang w:val="en-US"/>
        </w:rPr>
        <w:t>v.</w:t>
      </w:r>
      <w:r w:rsidR="00D63B81" w:rsidRPr="0083137F">
        <w:rPr>
          <w:rFonts w:cs="Times New Roman"/>
          <w:sz w:val="22"/>
          <w:lang w:val="en-US"/>
        </w:rPr>
        <w:t xml:space="preserve"> 37, </w:t>
      </w:r>
      <w:r w:rsidR="000266ED">
        <w:rPr>
          <w:rFonts w:cs="Times New Roman"/>
          <w:sz w:val="22"/>
          <w:lang w:val="en-US"/>
        </w:rPr>
        <w:t>n.</w:t>
      </w:r>
      <w:r w:rsidR="00D63B81" w:rsidRPr="0083137F">
        <w:rPr>
          <w:rFonts w:cs="Times New Roman"/>
          <w:sz w:val="22"/>
          <w:lang w:val="en-US"/>
        </w:rPr>
        <w:t xml:space="preserve"> 4, p. 408-424, </w:t>
      </w:r>
      <w:r w:rsidR="000266ED" w:rsidRPr="0083137F">
        <w:rPr>
          <w:rFonts w:cs="Times New Roman"/>
          <w:sz w:val="22"/>
          <w:lang w:val="en-US"/>
        </w:rPr>
        <w:t>Abi</w:t>
      </w:r>
      <w:r w:rsidR="000266ED">
        <w:rPr>
          <w:rFonts w:cs="Times New Roman"/>
          <w:sz w:val="22"/>
          <w:lang w:val="en-US"/>
        </w:rPr>
        <w:t>n</w:t>
      </w:r>
      <w:r w:rsidR="000266ED" w:rsidRPr="0083137F">
        <w:rPr>
          <w:rFonts w:cs="Times New Roman"/>
          <w:sz w:val="22"/>
          <w:lang w:val="en-US"/>
        </w:rPr>
        <w:t>gdon</w:t>
      </w:r>
      <w:r w:rsidR="000266ED">
        <w:rPr>
          <w:rFonts w:cs="Times New Roman"/>
          <w:sz w:val="22"/>
          <w:lang w:val="en-US"/>
        </w:rPr>
        <w:t xml:space="preserve">: </w:t>
      </w:r>
      <w:r w:rsidR="00D63B81" w:rsidRPr="0083137F">
        <w:rPr>
          <w:rFonts w:cs="Times New Roman"/>
          <w:sz w:val="22"/>
          <w:lang w:val="en-US"/>
        </w:rPr>
        <w:t>Routledge</w:t>
      </w:r>
      <w:r w:rsidR="00041338">
        <w:rPr>
          <w:rFonts w:cs="Times New Roman"/>
          <w:sz w:val="22"/>
          <w:lang w:val="en-US"/>
        </w:rPr>
        <w:t>,</w:t>
      </w:r>
      <w:r w:rsidR="006D46DB" w:rsidRPr="006D46DB">
        <w:rPr>
          <w:rFonts w:cs="Times New Roman"/>
          <w:sz w:val="22"/>
          <w:lang w:val="en-US"/>
        </w:rPr>
        <w:t xml:space="preserve"> </w:t>
      </w:r>
      <w:r w:rsidR="006D46DB" w:rsidRPr="0083137F">
        <w:rPr>
          <w:rFonts w:cs="Times New Roman"/>
          <w:sz w:val="22"/>
          <w:lang w:val="en-US"/>
        </w:rPr>
        <w:t>2014</w:t>
      </w:r>
      <w:r w:rsidR="006D46DB">
        <w:rPr>
          <w:rFonts w:cs="Times New Roman"/>
          <w:sz w:val="22"/>
          <w:lang w:val="en-US"/>
        </w:rPr>
        <w:t>.</w:t>
      </w:r>
    </w:p>
    <w:p w14:paraId="4F4301EA" w14:textId="1BFA8042" w:rsidR="004614E1" w:rsidRPr="000F4A44" w:rsidRDefault="00CA7341" w:rsidP="00DD687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sz w:val="22"/>
          <w:lang w:val="es-AR"/>
        </w:rPr>
      </w:pPr>
      <w:r w:rsidRPr="00CA7341">
        <w:rPr>
          <w:rFonts w:cs="Times New Roman"/>
          <w:sz w:val="22"/>
          <w:lang w:val="en-US"/>
        </w:rPr>
        <w:t>BANKS</w:t>
      </w:r>
      <w:r w:rsidR="004614E1" w:rsidRPr="00DD6875">
        <w:rPr>
          <w:rFonts w:cs="Times New Roman"/>
          <w:sz w:val="22"/>
          <w:lang w:val="en-US"/>
        </w:rPr>
        <w:t xml:space="preserve">, Jack, “Music Video Cartel: A survey of anti-competitive practices by </w:t>
      </w:r>
      <w:proofErr w:type="spellStart"/>
      <w:r w:rsidR="004614E1" w:rsidRPr="00DD6875">
        <w:rPr>
          <w:rFonts w:cs="Times New Roman"/>
          <w:sz w:val="22"/>
          <w:lang w:val="en-US"/>
        </w:rPr>
        <w:t>Mtv</w:t>
      </w:r>
      <w:proofErr w:type="spellEnd"/>
      <w:r w:rsidR="004614E1" w:rsidRPr="00DD6875">
        <w:rPr>
          <w:rFonts w:cs="Times New Roman"/>
          <w:sz w:val="22"/>
          <w:lang w:val="en-US"/>
        </w:rPr>
        <w:t xml:space="preserve"> and Major Record Companies”</w:t>
      </w:r>
      <w:r w:rsidR="000F4A44">
        <w:rPr>
          <w:rFonts w:cs="Times New Roman"/>
          <w:sz w:val="22"/>
          <w:lang w:val="en-US"/>
        </w:rPr>
        <w:t xml:space="preserve">. </w:t>
      </w:r>
      <w:r w:rsidR="004614E1" w:rsidRPr="000F4A44">
        <w:rPr>
          <w:rFonts w:cs="Times New Roman"/>
          <w:i/>
          <w:iCs/>
          <w:sz w:val="22"/>
          <w:lang w:val="es-AR"/>
        </w:rPr>
        <w:t xml:space="preserve">Popular Music and </w:t>
      </w:r>
      <w:proofErr w:type="spellStart"/>
      <w:r w:rsidR="004614E1" w:rsidRPr="000F4A44">
        <w:rPr>
          <w:rFonts w:cs="Times New Roman"/>
          <w:i/>
          <w:iCs/>
          <w:sz w:val="22"/>
          <w:lang w:val="es-AR"/>
        </w:rPr>
        <w:t>Society</w:t>
      </w:r>
      <w:proofErr w:type="spellEnd"/>
      <w:r w:rsidR="004614E1" w:rsidRPr="000F4A44">
        <w:rPr>
          <w:rFonts w:cs="Times New Roman"/>
          <w:sz w:val="22"/>
          <w:lang w:val="es-AR"/>
        </w:rPr>
        <w:t xml:space="preserve">, </w:t>
      </w:r>
      <w:r w:rsidR="000F4A44" w:rsidRPr="000F4A44">
        <w:rPr>
          <w:rFonts w:cs="Times New Roman"/>
          <w:sz w:val="22"/>
          <w:lang w:val="es-AR"/>
        </w:rPr>
        <w:t>v.</w:t>
      </w:r>
      <w:r w:rsidR="004614E1" w:rsidRPr="000F4A44">
        <w:rPr>
          <w:rFonts w:cs="Times New Roman"/>
          <w:sz w:val="22"/>
          <w:lang w:val="es-AR"/>
        </w:rPr>
        <w:t xml:space="preserve"> 20, </w:t>
      </w:r>
      <w:r w:rsidR="000F4A44" w:rsidRPr="000F4A44">
        <w:rPr>
          <w:rFonts w:cs="Times New Roman"/>
          <w:sz w:val="22"/>
          <w:lang w:val="es-AR"/>
        </w:rPr>
        <w:t>n.</w:t>
      </w:r>
      <w:r w:rsidR="004614E1" w:rsidRPr="000F4A44">
        <w:rPr>
          <w:rFonts w:cs="Times New Roman"/>
          <w:sz w:val="22"/>
          <w:lang w:val="es-AR"/>
        </w:rPr>
        <w:t xml:space="preserve"> 2, </w:t>
      </w:r>
      <w:r w:rsidR="000F4A44" w:rsidRPr="000F4A44">
        <w:rPr>
          <w:rFonts w:cs="Times New Roman"/>
          <w:sz w:val="22"/>
          <w:lang w:val="es-AR"/>
        </w:rPr>
        <w:t>Abingdon: Routledge</w:t>
      </w:r>
      <w:r w:rsidR="004614E1" w:rsidRPr="000F4A44">
        <w:rPr>
          <w:rFonts w:cs="Times New Roman"/>
          <w:sz w:val="22"/>
          <w:lang w:val="es-AR"/>
        </w:rPr>
        <w:t>. ISSN: 1740-1712</w:t>
      </w:r>
      <w:r w:rsidR="000F4A44" w:rsidRPr="000F4A44">
        <w:rPr>
          <w:rFonts w:cs="Times New Roman"/>
          <w:sz w:val="22"/>
          <w:lang w:val="es-AR"/>
        </w:rPr>
        <w:t xml:space="preserve">, </w:t>
      </w:r>
      <w:r w:rsidR="000F4A44" w:rsidRPr="000F4A44">
        <w:rPr>
          <w:rFonts w:cs="Times New Roman"/>
          <w:sz w:val="22"/>
          <w:lang w:val="es-AR"/>
        </w:rPr>
        <w:t>1996</w:t>
      </w:r>
      <w:r w:rsidR="000F4A44" w:rsidRPr="000F4A44">
        <w:rPr>
          <w:rFonts w:cs="Times New Roman"/>
          <w:sz w:val="22"/>
          <w:lang w:val="es-AR"/>
        </w:rPr>
        <w:t>.</w:t>
      </w:r>
    </w:p>
    <w:p w14:paraId="2F91071F" w14:textId="45777DD9" w:rsidR="004614E1" w:rsidRPr="00DD6875" w:rsidRDefault="00CA7341" w:rsidP="00DD6875">
      <w:pPr>
        <w:spacing w:line="240" w:lineRule="auto"/>
        <w:ind w:left="567" w:hanging="567"/>
        <w:jc w:val="both"/>
        <w:rPr>
          <w:rFonts w:cs="Times New Roman"/>
          <w:sz w:val="22"/>
          <w:lang w:val="en-US"/>
        </w:rPr>
      </w:pPr>
      <w:r w:rsidRPr="00CA7341">
        <w:rPr>
          <w:rFonts w:cs="Times New Roman"/>
          <w:sz w:val="22"/>
          <w:lang w:val="en-US"/>
        </w:rPr>
        <w:t>DYER</w:t>
      </w:r>
      <w:r w:rsidR="004614E1" w:rsidRPr="00DD6875">
        <w:rPr>
          <w:rFonts w:cs="Times New Roman"/>
          <w:sz w:val="22"/>
          <w:lang w:val="en-US"/>
        </w:rPr>
        <w:t>, Richard</w:t>
      </w:r>
      <w:r w:rsidR="000F4A44">
        <w:rPr>
          <w:rFonts w:cs="Times New Roman"/>
          <w:sz w:val="22"/>
          <w:lang w:val="en-US"/>
        </w:rPr>
        <w:t xml:space="preserve">. </w:t>
      </w:r>
      <w:r w:rsidR="004614E1" w:rsidRPr="00DD6875">
        <w:rPr>
          <w:rFonts w:cs="Times New Roman"/>
          <w:i/>
          <w:iCs/>
          <w:sz w:val="22"/>
          <w:lang w:val="en-US"/>
        </w:rPr>
        <w:t>Heavenly Bodies, Film Stars and Society</w:t>
      </w:r>
      <w:r w:rsidR="004614E1" w:rsidRPr="00DD6875">
        <w:rPr>
          <w:rFonts w:cs="Times New Roman"/>
          <w:sz w:val="22"/>
          <w:lang w:val="en-US"/>
        </w:rPr>
        <w:t xml:space="preserve">, </w:t>
      </w:r>
      <w:proofErr w:type="spellStart"/>
      <w:r w:rsidR="004614E1" w:rsidRPr="00DD6875">
        <w:rPr>
          <w:rFonts w:cs="Times New Roman"/>
          <w:sz w:val="22"/>
          <w:lang w:val="en-US"/>
        </w:rPr>
        <w:t>Londres</w:t>
      </w:r>
      <w:proofErr w:type="spellEnd"/>
      <w:r w:rsidR="004614E1" w:rsidRPr="00DD6875">
        <w:rPr>
          <w:rFonts w:cs="Times New Roman"/>
          <w:sz w:val="22"/>
          <w:lang w:val="en-US"/>
        </w:rPr>
        <w:t>: Routledge</w:t>
      </w:r>
      <w:r w:rsidR="00D91F34">
        <w:rPr>
          <w:rFonts w:cs="Times New Roman"/>
          <w:sz w:val="22"/>
          <w:lang w:val="en-US"/>
        </w:rPr>
        <w:t xml:space="preserve">, </w:t>
      </w:r>
      <w:r w:rsidR="000F4A44" w:rsidRPr="00DD6875">
        <w:rPr>
          <w:rFonts w:cs="Times New Roman"/>
          <w:sz w:val="22"/>
          <w:lang w:val="en-US"/>
        </w:rPr>
        <w:t>2004</w:t>
      </w:r>
      <w:r w:rsidR="00D91F34">
        <w:rPr>
          <w:rFonts w:cs="Times New Roman"/>
          <w:sz w:val="22"/>
          <w:lang w:val="en-US"/>
        </w:rPr>
        <w:t>.</w:t>
      </w:r>
    </w:p>
    <w:p w14:paraId="0730115A" w14:textId="6E7B2FC9" w:rsidR="003203E6" w:rsidRPr="000F4A44" w:rsidRDefault="00CA7341" w:rsidP="00D0129E">
      <w:pPr>
        <w:spacing w:line="240" w:lineRule="auto"/>
        <w:ind w:left="567" w:hanging="567"/>
        <w:jc w:val="both"/>
        <w:rPr>
          <w:rFonts w:cs="Times New Roman"/>
          <w:sz w:val="22"/>
          <w:lang w:val="en-US"/>
        </w:rPr>
      </w:pPr>
      <w:r w:rsidRPr="00CA7341">
        <w:rPr>
          <w:rFonts w:cs="Times New Roman"/>
          <w:sz w:val="22"/>
          <w:lang w:val="en-US"/>
        </w:rPr>
        <w:t>JANSSENS</w:t>
      </w:r>
      <w:r w:rsidR="0000677D" w:rsidRPr="000F4A44">
        <w:rPr>
          <w:rFonts w:cs="Times New Roman"/>
          <w:sz w:val="22"/>
          <w:lang w:val="en-US"/>
        </w:rPr>
        <w:t>, Jelle</w:t>
      </w:r>
      <w:r w:rsidR="00D91F34">
        <w:rPr>
          <w:rFonts w:cs="Times New Roman"/>
          <w:sz w:val="22"/>
          <w:lang w:val="en-US"/>
        </w:rPr>
        <w:t>;</w:t>
      </w:r>
      <w:r w:rsidR="0000677D" w:rsidRPr="000F4A44">
        <w:rPr>
          <w:rFonts w:cs="Times New Roman"/>
          <w:sz w:val="22"/>
          <w:lang w:val="en-US"/>
        </w:rPr>
        <w:t xml:space="preserve"> </w:t>
      </w:r>
      <w:r w:rsidR="00D91F34" w:rsidRPr="000F4A44">
        <w:rPr>
          <w:rFonts w:cs="Times New Roman"/>
          <w:sz w:val="22"/>
          <w:lang w:val="en-US"/>
        </w:rPr>
        <w:t xml:space="preserve">VANDAELE </w:t>
      </w:r>
      <w:r w:rsidR="0000677D" w:rsidRPr="000F4A44">
        <w:rPr>
          <w:rFonts w:cs="Times New Roman"/>
          <w:sz w:val="22"/>
          <w:lang w:val="en-US"/>
        </w:rPr>
        <w:t>Stijn</w:t>
      </w:r>
      <w:r w:rsidR="00D91F34">
        <w:rPr>
          <w:rFonts w:cs="Times New Roman"/>
          <w:sz w:val="22"/>
          <w:lang w:val="en-US"/>
        </w:rPr>
        <w:t>;</w:t>
      </w:r>
      <w:r w:rsidR="0000677D" w:rsidRPr="000F4A44">
        <w:rPr>
          <w:rFonts w:cs="Times New Roman"/>
          <w:sz w:val="22"/>
          <w:lang w:val="en-US"/>
        </w:rPr>
        <w:t xml:space="preserve"> </w:t>
      </w:r>
      <w:r w:rsidR="00D91F34" w:rsidRPr="000F4A44">
        <w:rPr>
          <w:rFonts w:cs="Times New Roman"/>
          <w:sz w:val="22"/>
          <w:lang w:val="en-US"/>
        </w:rPr>
        <w:t>VANDER BEKEN</w:t>
      </w:r>
      <w:r w:rsidR="00D91F34">
        <w:rPr>
          <w:rFonts w:cs="Times New Roman"/>
          <w:sz w:val="22"/>
          <w:lang w:val="en-US"/>
        </w:rPr>
        <w:t>,</w:t>
      </w:r>
      <w:r w:rsidR="00D91F34" w:rsidRPr="000F4A44">
        <w:rPr>
          <w:rFonts w:cs="Times New Roman"/>
          <w:sz w:val="22"/>
          <w:lang w:val="en-US"/>
        </w:rPr>
        <w:t xml:space="preserve"> </w:t>
      </w:r>
      <w:r w:rsidR="00D91F34" w:rsidRPr="000F4A44">
        <w:rPr>
          <w:rFonts w:cs="Times New Roman"/>
          <w:sz w:val="22"/>
          <w:lang w:val="en-US"/>
        </w:rPr>
        <w:t>Tom</w:t>
      </w:r>
      <w:r w:rsidR="00D91F34">
        <w:rPr>
          <w:rFonts w:cs="Times New Roman"/>
          <w:sz w:val="22"/>
          <w:lang w:val="en-US"/>
        </w:rPr>
        <w:t>.</w:t>
      </w:r>
      <w:r w:rsidR="0000677D" w:rsidRPr="000F4A44">
        <w:rPr>
          <w:rFonts w:cs="Times New Roman"/>
          <w:sz w:val="22"/>
          <w:lang w:val="en-US"/>
        </w:rPr>
        <w:t xml:space="preserve"> </w:t>
      </w:r>
      <w:r w:rsidR="00D91F34">
        <w:rPr>
          <w:rFonts w:cs="Times New Roman"/>
          <w:sz w:val="22"/>
          <w:lang w:val="en-US"/>
        </w:rPr>
        <w:t>“</w:t>
      </w:r>
      <w:r w:rsidR="003203E6" w:rsidRPr="000F4A44">
        <w:rPr>
          <w:rFonts w:cs="Times New Roman"/>
          <w:sz w:val="22"/>
          <w:lang w:val="en-US"/>
        </w:rPr>
        <w:t>The Music Industry on (the) Line? Surviving Music Piracy in a Digital Era</w:t>
      </w:r>
      <w:r w:rsidR="00D91F34">
        <w:rPr>
          <w:rFonts w:cs="Times New Roman"/>
          <w:sz w:val="22"/>
          <w:lang w:val="en-US"/>
        </w:rPr>
        <w:t xml:space="preserve">”. </w:t>
      </w:r>
      <w:r w:rsidR="00D0129E" w:rsidRPr="00D91F34">
        <w:rPr>
          <w:rFonts w:cs="Times New Roman"/>
          <w:i/>
          <w:iCs/>
          <w:sz w:val="22"/>
          <w:lang w:val="en-US"/>
        </w:rPr>
        <w:t>European Journal of Crime, Criminal Law and Criminal Justice</w:t>
      </w:r>
      <w:r w:rsidR="00D91F34">
        <w:rPr>
          <w:rFonts w:cs="Times New Roman"/>
          <w:sz w:val="22"/>
          <w:lang w:val="en-US"/>
        </w:rPr>
        <w:t xml:space="preserve">, </w:t>
      </w:r>
      <w:r w:rsidR="00613236">
        <w:rPr>
          <w:rFonts w:cs="Times New Roman"/>
          <w:sz w:val="22"/>
          <w:lang w:val="en-US"/>
        </w:rPr>
        <w:t>n.</w:t>
      </w:r>
      <w:r w:rsidR="00D0129E" w:rsidRPr="000F4A44">
        <w:rPr>
          <w:rFonts w:cs="Times New Roman"/>
          <w:sz w:val="22"/>
          <w:lang w:val="en-US"/>
        </w:rPr>
        <w:t>17</w:t>
      </w:r>
      <w:r w:rsidR="00613236">
        <w:rPr>
          <w:rFonts w:cs="Times New Roman"/>
          <w:sz w:val="22"/>
          <w:lang w:val="en-US"/>
        </w:rPr>
        <w:t xml:space="preserve">, </w:t>
      </w:r>
      <w:r w:rsidR="00D0129E" w:rsidRPr="000F4A44">
        <w:rPr>
          <w:rFonts w:cs="Times New Roman"/>
          <w:sz w:val="22"/>
          <w:lang w:val="en-US"/>
        </w:rPr>
        <w:t>2009</w:t>
      </w:r>
      <w:r w:rsidR="00613236">
        <w:rPr>
          <w:rFonts w:cs="Times New Roman"/>
          <w:sz w:val="22"/>
          <w:lang w:val="en-US"/>
        </w:rPr>
        <w:t>.</w:t>
      </w:r>
    </w:p>
    <w:p w14:paraId="69CB0B4C" w14:textId="2AD25AE1" w:rsidR="004614E1" w:rsidRPr="00DD6875" w:rsidRDefault="00CA7341" w:rsidP="00DD6875">
      <w:pPr>
        <w:spacing w:line="240" w:lineRule="auto"/>
        <w:ind w:left="567" w:hanging="567"/>
        <w:jc w:val="both"/>
        <w:rPr>
          <w:rFonts w:cs="Times New Roman"/>
          <w:sz w:val="22"/>
          <w:lang w:val="es-AR"/>
        </w:rPr>
      </w:pPr>
      <w:r w:rsidRPr="00CA7341">
        <w:rPr>
          <w:rFonts w:cs="Times New Roman"/>
          <w:sz w:val="22"/>
          <w:lang w:val="es-AR"/>
        </w:rPr>
        <w:t>LABATE</w:t>
      </w:r>
      <w:r w:rsidR="004614E1" w:rsidRPr="00756F1B">
        <w:rPr>
          <w:rFonts w:cs="Times New Roman"/>
          <w:sz w:val="22"/>
          <w:lang w:val="es-AR"/>
        </w:rPr>
        <w:t>, C</w:t>
      </w:r>
      <w:r w:rsidR="00751804">
        <w:rPr>
          <w:rFonts w:cs="Times New Roman"/>
          <w:sz w:val="22"/>
          <w:lang w:val="es-AR"/>
        </w:rPr>
        <w:t>ecilia</w:t>
      </w:r>
      <w:r w:rsidR="004614E1" w:rsidRPr="00756F1B">
        <w:rPr>
          <w:rFonts w:cs="Times New Roman"/>
          <w:sz w:val="22"/>
          <w:lang w:val="es-AR"/>
        </w:rPr>
        <w:t xml:space="preserve"> </w:t>
      </w:r>
      <w:r w:rsidR="00613236" w:rsidRPr="00C81E5F">
        <w:rPr>
          <w:rFonts w:cs="Times New Roman"/>
          <w:i/>
          <w:iCs/>
          <w:sz w:val="22"/>
          <w:lang w:val="es-AR"/>
        </w:rPr>
        <w:t>et al.</w:t>
      </w:r>
      <w:r w:rsidR="004614E1" w:rsidRPr="00756F1B">
        <w:rPr>
          <w:rFonts w:cs="Times New Roman"/>
          <w:sz w:val="22"/>
          <w:lang w:val="es-AR"/>
        </w:rPr>
        <w:t xml:space="preserve"> “Abordajes sobre el concepto de ‘concentración’”. </w:t>
      </w:r>
      <w:r w:rsidR="004614E1" w:rsidRPr="00DD6875">
        <w:rPr>
          <w:rFonts w:cs="Times New Roman"/>
          <w:sz w:val="22"/>
          <w:lang w:val="es-AR"/>
        </w:rPr>
        <w:t xml:space="preserve">En </w:t>
      </w:r>
      <w:r w:rsidR="00751804" w:rsidRPr="00751804">
        <w:rPr>
          <w:rFonts w:cs="Times New Roman"/>
          <w:sz w:val="22"/>
          <w:lang w:val="es-AR"/>
        </w:rPr>
        <w:t>MASTRINI</w:t>
      </w:r>
      <w:r w:rsidR="004614E1" w:rsidRPr="00DD6875">
        <w:rPr>
          <w:rFonts w:cs="Times New Roman"/>
          <w:sz w:val="22"/>
          <w:lang w:val="es-AR"/>
        </w:rPr>
        <w:t xml:space="preserve">, Guillermo </w:t>
      </w:r>
      <w:r w:rsidR="00751804" w:rsidRPr="00751804">
        <w:rPr>
          <w:rFonts w:cs="Times New Roman"/>
          <w:i/>
          <w:iCs/>
          <w:sz w:val="22"/>
          <w:lang w:val="es-AR"/>
        </w:rPr>
        <w:t>et al</w:t>
      </w:r>
      <w:r w:rsidR="00751804">
        <w:rPr>
          <w:rFonts w:cs="Times New Roman"/>
          <w:sz w:val="22"/>
          <w:lang w:val="es-AR"/>
        </w:rPr>
        <w:t>.:</w:t>
      </w:r>
      <w:r w:rsidR="004614E1" w:rsidRPr="00DD6875">
        <w:rPr>
          <w:rFonts w:cs="Times New Roman"/>
          <w:sz w:val="22"/>
          <w:lang w:val="es-AR"/>
        </w:rPr>
        <w:t xml:space="preserve"> </w:t>
      </w:r>
      <w:r w:rsidR="004614E1" w:rsidRPr="00DD6875">
        <w:rPr>
          <w:rFonts w:cs="Times New Roman"/>
          <w:i/>
          <w:iCs/>
          <w:sz w:val="22"/>
          <w:lang w:val="es-AR"/>
        </w:rPr>
        <w:t>Las políticas de comunicación en el Siglo XXI. Nuevos y viejos desafíos</w:t>
      </w:r>
      <w:r w:rsidR="004614E1" w:rsidRPr="00DD6875">
        <w:rPr>
          <w:rFonts w:cs="Times New Roman"/>
          <w:sz w:val="22"/>
          <w:lang w:val="es-AR"/>
        </w:rPr>
        <w:t>, Buenos Aires: La Crujía</w:t>
      </w:r>
      <w:r w:rsidR="00751804">
        <w:rPr>
          <w:rFonts w:cs="Times New Roman"/>
          <w:sz w:val="22"/>
          <w:lang w:val="es-AR"/>
        </w:rPr>
        <w:t>, 2013.</w:t>
      </w:r>
    </w:p>
    <w:p w14:paraId="2D7D570D" w14:textId="0FB99589" w:rsidR="004614E1" w:rsidRPr="00751804" w:rsidRDefault="00CA7341" w:rsidP="00DD6875">
      <w:pPr>
        <w:spacing w:line="240" w:lineRule="auto"/>
        <w:ind w:left="567" w:hanging="567"/>
        <w:jc w:val="both"/>
        <w:rPr>
          <w:i/>
          <w:smallCaps/>
          <w:spacing w:val="5"/>
          <w:sz w:val="22"/>
          <w:lang w:val="en-US"/>
        </w:rPr>
      </w:pPr>
      <w:r w:rsidRPr="00751804">
        <w:rPr>
          <w:sz w:val="22"/>
          <w:lang w:val="en-US"/>
        </w:rPr>
        <w:t>LEVANDE</w:t>
      </w:r>
      <w:r w:rsidR="004614E1" w:rsidRPr="00751804">
        <w:rPr>
          <w:sz w:val="22"/>
          <w:lang w:val="en-US"/>
        </w:rPr>
        <w:t>, Meredith</w:t>
      </w:r>
      <w:r w:rsidR="002E4402">
        <w:rPr>
          <w:sz w:val="22"/>
          <w:lang w:val="en-US"/>
        </w:rPr>
        <w:t>.</w:t>
      </w:r>
      <w:r w:rsidR="004614E1" w:rsidRPr="00751804">
        <w:rPr>
          <w:sz w:val="22"/>
          <w:lang w:val="en-US"/>
        </w:rPr>
        <w:t xml:space="preserve"> “Women, Pop Music, and Pornography”</w:t>
      </w:r>
      <w:r w:rsidR="00A75A5C">
        <w:rPr>
          <w:sz w:val="22"/>
          <w:lang w:val="en-US"/>
        </w:rPr>
        <w:t xml:space="preserve">. </w:t>
      </w:r>
      <w:r w:rsidR="004614E1" w:rsidRPr="00751804">
        <w:rPr>
          <w:i/>
          <w:iCs/>
          <w:sz w:val="22"/>
          <w:lang w:val="en-US"/>
        </w:rPr>
        <w:t>Meridians</w:t>
      </w:r>
      <w:r w:rsidR="00F036BE" w:rsidRPr="00F036BE">
        <w:rPr>
          <w:i/>
          <w:iCs/>
          <w:sz w:val="22"/>
          <w:lang w:val="en-US"/>
        </w:rPr>
        <w:t>: feminism, race, transnationalism</w:t>
      </w:r>
      <w:r w:rsidR="004614E1" w:rsidRPr="00751804">
        <w:rPr>
          <w:sz w:val="22"/>
          <w:lang w:val="en-US"/>
        </w:rPr>
        <w:t>,</w:t>
      </w:r>
      <w:r w:rsidR="00A75A5C">
        <w:rPr>
          <w:sz w:val="22"/>
          <w:lang w:val="en-US"/>
        </w:rPr>
        <w:t xml:space="preserve"> </w:t>
      </w:r>
      <w:r w:rsidR="002E4402">
        <w:rPr>
          <w:sz w:val="22"/>
          <w:lang w:val="en-US"/>
        </w:rPr>
        <w:t>v</w:t>
      </w:r>
      <w:r w:rsidR="004614E1" w:rsidRPr="00751804">
        <w:rPr>
          <w:sz w:val="22"/>
          <w:lang w:val="en-US"/>
        </w:rPr>
        <w:t xml:space="preserve">. 8, </w:t>
      </w:r>
      <w:r w:rsidR="002E4402">
        <w:rPr>
          <w:sz w:val="22"/>
          <w:lang w:val="en-US"/>
        </w:rPr>
        <w:t>n</w:t>
      </w:r>
      <w:r w:rsidR="004614E1" w:rsidRPr="00751804">
        <w:rPr>
          <w:sz w:val="22"/>
          <w:lang w:val="en-US"/>
        </w:rPr>
        <w:t>. 1, p. 293-321</w:t>
      </w:r>
      <w:r w:rsidR="00751804" w:rsidRPr="00751804">
        <w:rPr>
          <w:sz w:val="22"/>
          <w:lang w:val="en-US"/>
        </w:rPr>
        <w:t>,</w:t>
      </w:r>
      <w:r w:rsidR="00751804">
        <w:rPr>
          <w:sz w:val="22"/>
          <w:lang w:val="en-US"/>
        </w:rPr>
        <w:t xml:space="preserve"> </w:t>
      </w:r>
      <w:r w:rsidR="00751804" w:rsidRPr="00CA7341">
        <w:rPr>
          <w:sz w:val="22"/>
          <w:lang w:val="en-US"/>
        </w:rPr>
        <w:t>2008</w:t>
      </w:r>
      <w:r w:rsidR="00F036BE">
        <w:rPr>
          <w:sz w:val="22"/>
          <w:lang w:val="en-US"/>
        </w:rPr>
        <w:t>.</w:t>
      </w:r>
    </w:p>
    <w:p w14:paraId="3C814B8A" w14:textId="566B25FE" w:rsidR="004614E1" w:rsidRPr="00DD6875" w:rsidRDefault="00CA7341" w:rsidP="00DD6875">
      <w:pPr>
        <w:spacing w:line="240" w:lineRule="auto"/>
        <w:ind w:left="567" w:hanging="567"/>
        <w:jc w:val="both"/>
        <w:rPr>
          <w:rFonts w:cs="Times New Roman"/>
          <w:sz w:val="22"/>
          <w:lang w:val="en-US"/>
        </w:rPr>
      </w:pPr>
      <w:r w:rsidRPr="00CA7341">
        <w:rPr>
          <w:rFonts w:cs="Times New Roman"/>
          <w:sz w:val="22"/>
          <w:lang w:val="en-US"/>
        </w:rPr>
        <w:t>LOY</w:t>
      </w:r>
      <w:r w:rsidR="004614E1" w:rsidRPr="00DD6875">
        <w:rPr>
          <w:rFonts w:cs="Times New Roman"/>
          <w:sz w:val="22"/>
          <w:lang w:val="en-US"/>
        </w:rPr>
        <w:t>, Stephen</w:t>
      </w:r>
      <w:r w:rsidR="00223EDB">
        <w:rPr>
          <w:rFonts w:cs="Times New Roman"/>
          <w:sz w:val="22"/>
          <w:lang w:val="en-US"/>
        </w:rPr>
        <w:t xml:space="preserve">; </w:t>
      </w:r>
      <w:r w:rsidR="00223EDB" w:rsidRPr="00223EDB">
        <w:rPr>
          <w:rFonts w:cs="Times New Roman"/>
          <w:sz w:val="22"/>
          <w:lang w:val="en-US"/>
        </w:rPr>
        <w:t>RICKWOOD</w:t>
      </w:r>
      <w:r w:rsidR="004614E1" w:rsidRPr="00223EDB">
        <w:rPr>
          <w:rFonts w:cs="Times New Roman"/>
          <w:sz w:val="22"/>
          <w:lang w:val="en-US"/>
        </w:rPr>
        <w:t>, Juli</w:t>
      </w:r>
      <w:r w:rsidR="00223EDB">
        <w:rPr>
          <w:rFonts w:cs="Times New Roman"/>
          <w:sz w:val="22"/>
          <w:lang w:val="en-US"/>
        </w:rPr>
        <w:t>e;</w:t>
      </w:r>
      <w:r w:rsidR="004614E1" w:rsidRPr="00223EDB">
        <w:rPr>
          <w:rFonts w:cs="Times New Roman"/>
          <w:sz w:val="22"/>
          <w:lang w:val="en-US"/>
        </w:rPr>
        <w:t xml:space="preserve"> </w:t>
      </w:r>
      <w:r w:rsidR="00223EDB" w:rsidRPr="00223EDB">
        <w:rPr>
          <w:rFonts w:cs="Times New Roman"/>
          <w:sz w:val="22"/>
          <w:lang w:val="en-US"/>
        </w:rPr>
        <w:t>BENNETT</w:t>
      </w:r>
      <w:r w:rsidR="004614E1" w:rsidRPr="00223EDB">
        <w:rPr>
          <w:rFonts w:cs="Times New Roman"/>
          <w:sz w:val="22"/>
          <w:lang w:val="en-US"/>
        </w:rPr>
        <w:t xml:space="preserve">, </w:t>
      </w:r>
      <w:r w:rsidR="00223EDB" w:rsidRPr="00223EDB">
        <w:rPr>
          <w:rFonts w:cs="Times New Roman"/>
          <w:sz w:val="22"/>
          <w:lang w:val="en-US"/>
        </w:rPr>
        <w:t>Sam</w:t>
      </w:r>
      <w:r w:rsidR="00223EDB">
        <w:rPr>
          <w:rFonts w:cs="Times New Roman"/>
          <w:sz w:val="22"/>
          <w:lang w:val="en-US"/>
        </w:rPr>
        <w:t>.</w:t>
      </w:r>
      <w:r w:rsidR="00223EDB" w:rsidRPr="00DD6875">
        <w:rPr>
          <w:rFonts w:cs="Times New Roman"/>
          <w:sz w:val="22"/>
          <w:lang w:val="en-US"/>
        </w:rPr>
        <w:t xml:space="preserve"> “Popular</w:t>
      </w:r>
      <w:r w:rsidR="004614E1" w:rsidRPr="00DD6875">
        <w:rPr>
          <w:rFonts w:cs="Times New Roman"/>
          <w:sz w:val="22"/>
          <w:lang w:val="en-US"/>
        </w:rPr>
        <w:t xml:space="preserve"> Music, Stars and Stardom: Definitions, discourses, interpretations”</w:t>
      </w:r>
      <w:r w:rsidR="00223EDB">
        <w:rPr>
          <w:rFonts w:cs="Times New Roman"/>
          <w:sz w:val="22"/>
          <w:lang w:val="en-US"/>
        </w:rPr>
        <w:t xml:space="preserve">. </w:t>
      </w:r>
      <w:r w:rsidR="004614E1" w:rsidRPr="00DD6875">
        <w:rPr>
          <w:rFonts w:cs="Times New Roman"/>
          <w:i/>
          <w:iCs/>
          <w:sz w:val="22"/>
          <w:lang w:val="en-US"/>
        </w:rPr>
        <w:t>Popular Music, Stars and Stardom</w:t>
      </w:r>
      <w:r w:rsidR="004614E1" w:rsidRPr="00DD6875">
        <w:rPr>
          <w:rFonts w:cs="Times New Roman"/>
          <w:sz w:val="22"/>
          <w:lang w:val="en-US"/>
        </w:rPr>
        <w:t>, Canberra: ANU Press</w:t>
      </w:r>
      <w:r w:rsidR="00223EDB">
        <w:rPr>
          <w:rFonts w:cs="Times New Roman"/>
          <w:sz w:val="22"/>
          <w:lang w:val="en-US"/>
        </w:rPr>
        <w:t>, 2018.</w:t>
      </w:r>
    </w:p>
    <w:p w14:paraId="473BC15A" w14:textId="567DA75B" w:rsidR="004614E1" w:rsidRPr="007E5D15" w:rsidRDefault="00CA7341" w:rsidP="00DD6875">
      <w:pPr>
        <w:spacing w:line="240" w:lineRule="auto"/>
        <w:ind w:left="567" w:hanging="567"/>
        <w:jc w:val="both"/>
        <w:rPr>
          <w:rFonts w:eastAsia="Times New Roman" w:cs="Times New Roman"/>
          <w:sz w:val="22"/>
          <w:lang w:val="en-US"/>
        </w:rPr>
      </w:pPr>
      <w:r w:rsidRPr="007E5D15">
        <w:rPr>
          <w:rFonts w:eastAsia="Times New Roman" w:cs="Times New Roman"/>
          <w:sz w:val="22"/>
          <w:lang w:val="es-AR"/>
        </w:rPr>
        <w:t>MARTEL</w:t>
      </w:r>
      <w:r w:rsidR="004614E1" w:rsidRPr="007E5D15">
        <w:rPr>
          <w:rFonts w:eastAsia="Times New Roman" w:cs="Times New Roman"/>
          <w:sz w:val="22"/>
          <w:lang w:val="es-AR"/>
        </w:rPr>
        <w:t>, Frederic</w:t>
      </w:r>
      <w:r w:rsidR="00776C7D" w:rsidRPr="007E5D15">
        <w:rPr>
          <w:rFonts w:eastAsia="Times New Roman" w:cs="Times New Roman"/>
          <w:sz w:val="22"/>
          <w:lang w:val="es-AR"/>
        </w:rPr>
        <w:t>.</w:t>
      </w:r>
      <w:r w:rsidR="007E5D15" w:rsidRPr="007E5D15">
        <w:rPr>
          <w:rFonts w:eastAsia="Times New Roman" w:cs="Times New Roman"/>
          <w:sz w:val="22"/>
          <w:lang w:val="es-AR"/>
        </w:rPr>
        <w:t xml:space="preserve"> </w:t>
      </w:r>
      <w:r w:rsidR="004614E1" w:rsidRPr="007E5D15">
        <w:rPr>
          <w:rFonts w:eastAsia="Times New Roman" w:cs="Times New Roman"/>
          <w:sz w:val="22"/>
          <w:lang w:val="es-AR"/>
        </w:rPr>
        <w:t xml:space="preserve">“Conclusión. </w:t>
      </w:r>
      <w:r w:rsidR="004614E1" w:rsidRPr="00DD6875">
        <w:rPr>
          <w:rFonts w:eastAsia="Times New Roman" w:cs="Times New Roman"/>
          <w:sz w:val="22"/>
          <w:lang w:val="es-AR"/>
        </w:rPr>
        <w:t>Una nueva geopolítica de la cultura y la información en la era digital”</w:t>
      </w:r>
      <w:r w:rsidR="007E5D15">
        <w:rPr>
          <w:rFonts w:eastAsia="Times New Roman" w:cs="Times New Roman"/>
          <w:sz w:val="22"/>
          <w:lang w:val="es-AR"/>
        </w:rPr>
        <w:t>.</w:t>
      </w:r>
      <w:r w:rsidR="004614E1" w:rsidRPr="00DD6875">
        <w:rPr>
          <w:rFonts w:eastAsia="Times New Roman" w:cs="Times New Roman"/>
          <w:sz w:val="22"/>
          <w:lang w:val="es-AR"/>
        </w:rPr>
        <w:t xml:space="preserve"> </w:t>
      </w:r>
      <w:r w:rsidR="004614E1" w:rsidRPr="00DD6875">
        <w:rPr>
          <w:rFonts w:eastAsia="Times New Roman" w:cs="Times New Roman"/>
          <w:i/>
          <w:iCs/>
          <w:sz w:val="22"/>
          <w:lang w:val="es-AR"/>
        </w:rPr>
        <w:t>Cultura mainstream, cómo nacen los fenómenos de masas</w:t>
      </w:r>
      <w:r w:rsidR="004614E1" w:rsidRPr="00DD6875">
        <w:rPr>
          <w:rFonts w:eastAsia="Times New Roman" w:cs="Times New Roman"/>
          <w:sz w:val="22"/>
          <w:lang w:val="es-AR"/>
        </w:rPr>
        <w:t xml:space="preserve">. </w:t>
      </w:r>
      <w:r w:rsidR="004614E1" w:rsidRPr="007E5D15">
        <w:rPr>
          <w:rFonts w:eastAsia="Times New Roman" w:cs="Times New Roman"/>
          <w:sz w:val="22"/>
          <w:lang w:val="en-US"/>
        </w:rPr>
        <w:t>Buenos Aires: Taurus</w:t>
      </w:r>
      <w:r w:rsidR="007E5D15" w:rsidRPr="007E5D15">
        <w:rPr>
          <w:rFonts w:eastAsia="Times New Roman" w:cs="Times New Roman"/>
          <w:sz w:val="22"/>
          <w:lang w:val="en-US"/>
        </w:rPr>
        <w:t xml:space="preserve">, </w:t>
      </w:r>
      <w:r w:rsidR="007E5D15" w:rsidRPr="007E5D15">
        <w:rPr>
          <w:rFonts w:eastAsia="Times New Roman" w:cs="Times New Roman"/>
          <w:sz w:val="22"/>
          <w:lang w:val="en-US"/>
        </w:rPr>
        <w:t>2014</w:t>
      </w:r>
      <w:r w:rsidR="007E5D15" w:rsidRPr="007E5D15">
        <w:rPr>
          <w:rFonts w:eastAsia="Times New Roman" w:cs="Times New Roman"/>
          <w:sz w:val="22"/>
          <w:lang w:val="en-US"/>
        </w:rPr>
        <w:t>.</w:t>
      </w:r>
    </w:p>
    <w:p w14:paraId="5A7579D4" w14:textId="2B5683D9" w:rsidR="004614E1" w:rsidRPr="007E5D15" w:rsidRDefault="00CA7341" w:rsidP="00D6323D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sz w:val="22"/>
          <w:lang w:val="en-US"/>
        </w:rPr>
      </w:pPr>
      <w:r w:rsidRPr="007E5D15">
        <w:rPr>
          <w:rFonts w:cs="Times New Roman"/>
          <w:sz w:val="22"/>
          <w:lang w:val="en-US"/>
        </w:rPr>
        <w:t>MONTORO</w:t>
      </w:r>
      <w:r w:rsidR="004614E1" w:rsidRPr="007E5D15">
        <w:rPr>
          <w:rFonts w:cs="Times New Roman"/>
          <w:sz w:val="22"/>
          <w:lang w:val="en-US"/>
        </w:rPr>
        <w:t>-</w:t>
      </w:r>
      <w:r w:rsidRPr="007E5D15">
        <w:rPr>
          <w:rFonts w:cs="Times New Roman"/>
          <w:sz w:val="22"/>
          <w:lang w:val="en-US"/>
        </w:rPr>
        <w:t>PONS</w:t>
      </w:r>
      <w:r w:rsidR="004614E1" w:rsidRPr="007E5D15">
        <w:rPr>
          <w:rFonts w:cs="Times New Roman"/>
          <w:sz w:val="22"/>
          <w:lang w:val="en-US"/>
        </w:rPr>
        <w:t xml:space="preserve">, Juan D. </w:t>
      </w:r>
      <w:r w:rsidRPr="007E5D15">
        <w:rPr>
          <w:rFonts w:cs="Times New Roman"/>
          <w:sz w:val="22"/>
          <w:lang w:val="en-US"/>
        </w:rPr>
        <w:t>Y CUADRADO-GARCÍA</w:t>
      </w:r>
      <w:r w:rsidR="004614E1" w:rsidRPr="007E5D15">
        <w:rPr>
          <w:rFonts w:cs="Times New Roman"/>
          <w:sz w:val="22"/>
          <w:lang w:val="en-US"/>
        </w:rPr>
        <w:t>, Manuel (2017), “’Let’s make lots of money’: the determinants of performance in the recorded music sector”</w:t>
      </w:r>
      <w:r w:rsidR="007E5D15" w:rsidRPr="007E5D15">
        <w:rPr>
          <w:rFonts w:cs="Times New Roman"/>
          <w:sz w:val="22"/>
          <w:lang w:val="en-US"/>
        </w:rPr>
        <w:t>.</w:t>
      </w:r>
      <w:r w:rsidR="007E5D15">
        <w:rPr>
          <w:rFonts w:cs="Times New Roman"/>
          <w:sz w:val="22"/>
          <w:lang w:val="en-US"/>
        </w:rPr>
        <w:t xml:space="preserve"> </w:t>
      </w:r>
      <w:r w:rsidR="004614E1" w:rsidRPr="007E5D15">
        <w:rPr>
          <w:rFonts w:cs="Times New Roman"/>
          <w:i/>
          <w:iCs/>
          <w:sz w:val="22"/>
          <w:lang w:val="en-US"/>
        </w:rPr>
        <w:t>Journal of Cultural Economics</w:t>
      </w:r>
      <w:r w:rsidR="004614E1" w:rsidRPr="007E5D15">
        <w:rPr>
          <w:rFonts w:cs="Times New Roman"/>
          <w:sz w:val="22"/>
          <w:lang w:val="en-US"/>
        </w:rPr>
        <w:t xml:space="preserve">, </w:t>
      </w:r>
      <w:r w:rsidR="007E5D15">
        <w:rPr>
          <w:rFonts w:cs="Times New Roman"/>
          <w:sz w:val="22"/>
          <w:lang w:val="en-US"/>
        </w:rPr>
        <w:t>n.</w:t>
      </w:r>
      <w:r w:rsidR="004614E1" w:rsidRPr="007E5D15">
        <w:rPr>
          <w:rFonts w:cs="Times New Roman"/>
          <w:sz w:val="22"/>
          <w:lang w:val="en-US"/>
        </w:rPr>
        <w:t xml:space="preserve"> 42, p. 287–307</w:t>
      </w:r>
      <w:r w:rsidR="007E5D15">
        <w:rPr>
          <w:rFonts w:cs="Times New Roman"/>
          <w:sz w:val="22"/>
          <w:lang w:val="en-US"/>
        </w:rPr>
        <w:t>.</w:t>
      </w:r>
    </w:p>
    <w:p w14:paraId="67CF9593" w14:textId="42462921" w:rsidR="004614E1" w:rsidRPr="00DD6875" w:rsidRDefault="00CA7341" w:rsidP="00D6323D">
      <w:pPr>
        <w:spacing w:line="240" w:lineRule="auto"/>
        <w:ind w:left="567" w:hanging="567"/>
        <w:jc w:val="both"/>
        <w:rPr>
          <w:rFonts w:cs="Times New Roman"/>
          <w:sz w:val="22"/>
          <w:lang w:val="en-US"/>
        </w:rPr>
      </w:pPr>
      <w:r w:rsidRPr="00CA7341">
        <w:rPr>
          <w:rFonts w:cs="Times New Roman"/>
          <w:sz w:val="22"/>
          <w:lang w:val="en-US"/>
        </w:rPr>
        <w:t>MOSCO</w:t>
      </w:r>
      <w:r w:rsidR="004614E1" w:rsidRPr="00DD6875">
        <w:rPr>
          <w:rFonts w:cs="Times New Roman"/>
          <w:sz w:val="22"/>
          <w:lang w:val="en-US"/>
        </w:rPr>
        <w:t xml:space="preserve">, Vincent (1996), </w:t>
      </w:r>
      <w:r w:rsidR="004614E1" w:rsidRPr="00DD6875">
        <w:rPr>
          <w:rFonts w:cs="Times New Roman"/>
          <w:i/>
          <w:iCs/>
          <w:sz w:val="22"/>
          <w:u w:color="000000"/>
          <w:lang w:val="en-US"/>
        </w:rPr>
        <w:t>The political economy of communication</w:t>
      </w:r>
      <w:r w:rsidR="004614E1" w:rsidRPr="00DD6875">
        <w:rPr>
          <w:rFonts w:cs="Times New Roman"/>
          <w:sz w:val="22"/>
          <w:lang w:val="en-US"/>
        </w:rPr>
        <w:t xml:space="preserve">, </w:t>
      </w:r>
      <w:proofErr w:type="spellStart"/>
      <w:r w:rsidR="004614E1" w:rsidRPr="00DD6875">
        <w:rPr>
          <w:rFonts w:cs="Times New Roman"/>
          <w:sz w:val="22"/>
          <w:lang w:val="en-US"/>
        </w:rPr>
        <w:t>Londres</w:t>
      </w:r>
      <w:proofErr w:type="spellEnd"/>
      <w:r w:rsidR="004614E1" w:rsidRPr="00DD6875">
        <w:rPr>
          <w:rFonts w:cs="Times New Roman"/>
          <w:sz w:val="22"/>
          <w:lang w:val="en-US"/>
        </w:rPr>
        <w:t xml:space="preserve">: Sage. </w:t>
      </w:r>
    </w:p>
    <w:p w14:paraId="21AA2742" w14:textId="4DC7B490" w:rsidR="004614E1" w:rsidRPr="00DD6875" w:rsidRDefault="00CA7341" w:rsidP="00D6323D">
      <w:pPr>
        <w:spacing w:line="240" w:lineRule="auto"/>
        <w:ind w:left="567" w:hanging="567"/>
        <w:jc w:val="both"/>
        <w:rPr>
          <w:rFonts w:cs="Times New Roman"/>
          <w:sz w:val="22"/>
          <w:lang w:val="en-US"/>
        </w:rPr>
      </w:pPr>
      <w:r w:rsidRPr="00CA7341">
        <w:rPr>
          <w:rFonts w:cs="Times New Roman"/>
          <w:sz w:val="22"/>
          <w:lang w:val="en-US"/>
        </w:rPr>
        <w:t>NEGUS</w:t>
      </w:r>
      <w:r w:rsidR="004614E1" w:rsidRPr="00DD6875">
        <w:rPr>
          <w:rFonts w:cs="Times New Roman"/>
          <w:b/>
          <w:bCs/>
          <w:sz w:val="22"/>
          <w:lang w:val="en-US"/>
        </w:rPr>
        <w:t xml:space="preserve">, </w:t>
      </w:r>
      <w:r w:rsidR="004614E1" w:rsidRPr="00DD6875">
        <w:rPr>
          <w:rFonts w:cs="Times New Roman"/>
          <w:sz w:val="22"/>
          <w:lang w:val="en-US"/>
        </w:rPr>
        <w:t>Keith (199</w:t>
      </w:r>
      <w:r w:rsidR="007644F4">
        <w:rPr>
          <w:rFonts w:cs="Times New Roman"/>
          <w:sz w:val="22"/>
          <w:lang w:val="en-US"/>
        </w:rPr>
        <w:t>2</w:t>
      </w:r>
      <w:r w:rsidR="004614E1" w:rsidRPr="00DD6875">
        <w:rPr>
          <w:rFonts w:cs="Times New Roman"/>
          <w:sz w:val="22"/>
          <w:lang w:val="en-US"/>
        </w:rPr>
        <w:t xml:space="preserve">), </w:t>
      </w:r>
      <w:r w:rsidR="004614E1" w:rsidRPr="00DD6875">
        <w:rPr>
          <w:rFonts w:cs="Times New Roman"/>
          <w:i/>
          <w:iCs/>
          <w:sz w:val="22"/>
          <w:lang w:val="en-US"/>
        </w:rPr>
        <w:t>Producing Pop: Culture and Conflict in the Popular Music Industry</w:t>
      </w:r>
      <w:r w:rsidR="004614E1" w:rsidRPr="00DD6875">
        <w:rPr>
          <w:rFonts w:cs="Times New Roman"/>
          <w:sz w:val="22"/>
          <w:lang w:val="en-US"/>
        </w:rPr>
        <w:t xml:space="preserve">, </w:t>
      </w:r>
      <w:proofErr w:type="spellStart"/>
      <w:r w:rsidR="004614E1" w:rsidRPr="00DD6875">
        <w:rPr>
          <w:rFonts w:cs="Times New Roman"/>
          <w:sz w:val="22"/>
          <w:lang w:val="en-US"/>
        </w:rPr>
        <w:t>Londres</w:t>
      </w:r>
      <w:proofErr w:type="spellEnd"/>
      <w:r w:rsidR="004614E1" w:rsidRPr="00DD6875">
        <w:rPr>
          <w:rFonts w:cs="Times New Roman"/>
          <w:sz w:val="22"/>
          <w:lang w:val="en-US"/>
        </w:rPr>
        <w:t xml:space="preserve">: </w:t>
      </w:r>
      <w:r w:rsidR="00D6323D">
        <w:rPr>
          <w:rFonts w:cs="Times New Roman"/>
          <w:sz w:val="22"/>
          <w:lang w:val="en-US"/>
        </w:rPr>
        <w:t>Arnold.</w:t>
      </w:r>
    </w:p>
    <w:p w14:paraId="17B0D650" w14:textId="508F183C" w:rsidR="004614E1" w:rsidRPr="00DD6875" w:rsidRDefault="00CA7341" w:rsidP="00D6323D">
      <w:pPr>
        <w:spacing w:line="240" w:lineRule="auto"/>
        <w:ind w:left="567" w:hanging="567"/>
        <w:jc w:val="both"/>
        <w:rPr>
          <w:sz w:val="22"/>
        </w:rPr>
      </w:pPr>
      <w:r w:rsidRPr="00CA7341">
        <w:rPr>
          <w:sz w:val="22"/>
        </w:rPr>
        <w:t>SOARES</w:t>
      </w:r>
      <w:r w:rsidR="004614E1" w:rsidRPr="00DD6875">
        <w:rPr>
          <w:sz w:val="22"/>
        </w:rPr>
        <w:t>, Thiago</w:t>
      </w:r>
      <w:r>
        <w:rPr>
          <w:sz w:val="22"/>
        </w:rPr>
        <w:t xml:space="preserve">; </w:t>
      </w:r>
      <w:r w:rsidR="00D6323D">
        <w:rPr>
          <w:sz w:val="22"/>
        </w:rPr>
        <w:t xml:space="preserve">LINS </w:t>
      </w:r>
      <w:r w:rsidR="004614E1" w:rsidRPr="00DD6875">
        <w:rPr>
          <w:sz w:val="22"/>
        </w:rPr>
        <w:t>Mariana</w:t>
      </w:r>
      <w:r w:rsidRPr="00D6323D">
        <w:rPr>
          <w:sz w:val="22"/>
        </w:rPr>
        <w:t>;</w:t>
      </w:r>
      <w:r w:rsidR="00D6323D">
        <w:rPr>
          <w:sz w:val="22"/>
        </w:rPr>
        <w:t xml:space="preserve"> MANGABEIRA, </w:t>
      </w:r>
      <w:r w:rsidR="004614E1" w:rsidRPr="00D6323D">
        <w:rPr>
          <w:sz w:val="22"/>
        </w:rPr>
        <w:t>Alan</w:t>
      </w:r>
      <w:r w:rsidR="00D6323D">
        <w:rPr>
          <w:sz w:val="22"/>
        </w:rPr>
        <w:t xml:space="preserve">. </w:t>
      </w:r>
      <w:r w:rsidR="004614E1" w:rsidRPr="00DD6875">
        <w:rPr>
          <w:i/>
          <w:iCs/>
          <w:sz w:val="22"/>
        </w:rPr>
        <w:t>Divas Pop, O corpo-som das cantoras na cultura midiática</w:t>
      </w:r>
      <w:r w:rsidR="004614E1" w:rsidRPr="00DD6875">
        <w:rPr>
          <w:sz w:val="22"/>
        </w:rPr>
        <w:t xml:space="preserve">, Belo Horizonte: </w:t>
      </w:r>
      <w:proofErr w:type="spellStart"/>
      <w:r w:rsidR="00997188">
        <w:rPr>
          <w:sz w:val="22"/>
        </w:rPr>
        <w:t>Fafich</w:t>
      </w:r>
      <w:proofErr w:type="spellEnd"/>
      <w:r w:rsidR="00997188">
        <w:rPr>
          <w:sz w:val="22"/>
        </w:rPr>
        <w:t>/Selo</w:t>
      </w:r>
      <w:r w:rsidR="00D6323D">
        <w:rPr>
          <w:sz w:val="22"/>
        </w:rPr>
        <w:t xml:space="preserve">, </w:t>
      </w:r>
      <w:r w:rsidR="00D6323D" w:rsidRPr="00DD6875">
        <w:rPr>
          <w:sz w:val="22"/>
        </w:rPr>
        <w:t>2021</w:t>
      </w:r>
      <w:r w:rsidR="00D6323D">
        <w:rPr>
          <w:sz w:val="22"/>
        </w:rPr>
        <w:t>.</w:t>
      </w:r>
      <w:r w:rsidR="006B18BA">
        <w:rPr>
          <w:sz w:val="22"/>
        </w:rPr>
        <w:t xml:space="preserve"> Disponível em: </w:t>
      </w:r>
      <w:hyperlink r:id="rId9" w:history="1">
        <w:r w:rsidR="006B18BA" w:rsidRPr="00570058">
          <w:rPr>
            <w:rStyle w:val="Hyperlink"/>
            <w:sz w:val="22"/>
          </w:rPr>
          <w:t>https://seloppgcomufmg.com.br/publicacao/divas-pop/</w:t>
        </w:r>
      </w:hyperlink>
      <w:r w:rsidR="006B18BA">
        <w:rPr>
          <w:sz w:val="22"/>
        </w:rPr>
        <w:t xml:space="preserve"> . </w:t>
      </w:r>
      <w:proofErr w:type="spellStart"/>
      <w:r w:rsidR="006B18BA">
        <w:rPr>
          <w:sz w:val="22"/>
        </w:rPr>
        <w:t>Acceso</w:t>
      </w:r>
      <w:proofErr w:type="spellEnd"/>
      <w:r w:rsidR="006B18BA">
        <w:rPr>
          <w:sz w:val="22"/>
        </w:rPr>
        <w:t xml:space="preserve"> em: 17 set. 2024.</w:t>
      </w:r>
    </w:p>
    <w:p w14:paraId="2F8A9570" w14:textId="2FC84A85" w:rsidR="007C2BED" w:rsidRPr="007C2BED" w:rsidRDefault="00CA7341" w:rsidP="00D6323D">
      <w:pPr>
        <w:spacing w:line="240" w:lineRule="auto"/>
        <w:ind w:left="567" w:hanging="567"/>
        <w:rPr>
          <w:rFonts w:cs="Times New Roman"/>
          <w:sz w:val="22"/>
          <w:szCs w:val="20"/>
          <w:lang w:val="en-US"/>
        </w:rPr>
      </w:pPr>
      <w:r w:rsidRPr="00CA7341">
        <w:rPr>
          <w:rFonts w:cs="Times New Roman"/>
          <w:sz w:val="22"/>
          <w:szCs w:val="20"/>
          <w:lang w:val="en-US"/>
        </w:rPr>
        <w:t>SHUKER</w:t>
      </w:r>
      <w:r w:rsidR="007C2BED" w:rsidRPr="007C2BED">
        <w:rPr>
          <w:rFonts w:cs="Times New Roman"/>
          <w:sz w:val="22"/>
          <w:szCs w:val="20"/>
          <w:lang w:val="en-US"/>
        </w:rPr>
        <w:t xml:space="preserve">, Roy (2005), </w:t>
      </w:r>
      <w:r w:rsidR="007C2BED" w:rsidRPr="007C2BED">
        <w:rPr>
          <w:rFonts w:cs="Times New Roman"/>
          <w:i/>
          <w:sz w:val="22"/>
          <w:szCs w:val="20"/>
          <w:lang w:val="en-US"/>
        </w:rPr>
        <w:t>Popular music: the key concepts</w:t>
      </w:r>
      <w:r w:rsidR="007C2BED" w:rsidRPr="007C2BED">
        <w:rPr>
          <w:rFonts w:cs="Times New Roman"/>
          <w:sz w:val="22"/>
          <w:szCs w:val="20"/>
          <w:lang w:val="en-US"/>
        </w:rPr>
        <w:t>, Nueva York: Routledge, 344 pp.</w:t>
      </w:r>
    </w:p>
    <w:p w14:paraId="761A6B8A" w14:textId="1F20CAA8" w:rsidR="004614E1" w:rsidRPr="00872EC5" w:rsidRDefault="00CA7341" w:rsidP="00D6323D">
      <w:pPr>
        <w:spacing w:line="240" w:lineRule="auto"/>
        <w:ind w:left="567" w:hanging="567"/>
        <w:jc w:val="both"/>
        <w:rPr>
          <w:rStyle w:val="Hyperlink"/>
          <w:rFonts w:cs="Times New Roman"/>
          <w:sz w:val="22"/>
          <w:lang w:val="en-US"/>
        </w:rPr>
      </w:pPr>
      <w:r w:rsidRPr="00CA7341">
        <w:rPr>
          <w:rFonts w:cs="Times New Roman"/>
          <w:sz w:val="22"/>
          <w:lang w:val="en-US"/>
        </w:rPr>
        <w:lastRenderedPageBreak/>
        <w:t>VANNINI</w:t>
      </w:r>
      <w:r w:rsidR="004614E1" w:rsidRPr="00DD6875">
        <w:rPr>
          <w:rFonts w:cs="Times New Roman"/>
          <w:sz w:val="22"/>
          <w:lang w:val="en-US"/>
        </w:rPr>
        <w:t>, Phillip</w:t>
      </w:r>
      <w:r w:rsidR="006B18BA">
        <w:rPr>
          <w:rFonts w:cs="Times New Roman"/>
          <w:sz w:val="22"/>
          <w:lang w:val="en-US"/>
        </w:rPr>
        <w:t xml:space="preserve">; </w:t>
      </w:r>
      <w:r w:rsidRPr="00CA7341">
        <w:rPr>
          <w:rFonts w:cs="Times New Roman"/>
          <w:sz w:val="22"/>
          <w:lang w:val="en-US"/>
        </w:rPr>
        <w:t>MYERS</w:t>
      </w:r>
      <w:r w:rsidR="004614E1" w:rsidRPr="00DD6875">
        <w:rPr>
          <w:rFonts w:cs="Times New Roman"/>
          <w:sz w:val="22"/>
          <w:lang w:val="en-US"/>
        </w:rPr>
        <w:t>, Scott</w:t>
      </w:r>
      <w:r w:rsidR="00872EC5">
        <w:rPr>
          <w:rFonts w:cs="Times New Roman"/>
          <w:sz w:val="22"/>
          <w:lang w:val="en-US"/>
        </w:rPr>
        <w:t>.</w:t>
      </w:r>
      <w:r w:rsidR="004614E1" w:rsidRPr="00DD6875">
        <w:rPr>
          <w:rFonts w:cs="Times New Roman"/>
          <w:i/>
          <w:iCs/>
          <w:sz w:val="22"/>
          <w:lang w:val="en-US"/>
        </w:rPr>
        <w:t xml:space="preserve"> Crazy About You: Reflections on the Meanings of Contemporary Teen Pop Music, Electronic Journal of Sociology</w:t>
      </w:r>
      <w:r w:rsidR="00872EC5">
        <w:rPr>
          <w:rFonts w:cs="Times New Roman"/>
          <w:sz w:val="22"/>
          <w:lang w:val="en-US"/>
        </w:rPr>
        <w:t xml:space="preserve">, </w:t>
      </w:r>
      <w:r w:rsidR="00872EC5" w:rsidRPr="00DD6875">
        <w:rPr>
          <w:rFonts w:cs="Times New Roman"/>
          <w:sz w:val="22"/>
          <w:lang w:val="en-US"/>
        </w:rPr>
        <w:t>2002</w:t>
      </w:r>
      <w:r w:rsidR="00872EC5">
        <w:rPr>
          <w:rFonts w:cs="Times New Roman"/>
          <w:sz w:val="22"/>
          <w:lang w:val="en-US"/>
        </w:rPr>
        <w:t xml:space="preserve">. </w:t>
      </w:r>
      <w:r w:rsidR="00885DC6" w:rsidRPr="00872EC5">
        <w:rPr>
          <w:rFonts w:cs="Times New Roman"/>
          <w:sz w:val="22"/>
        </w:rPr>
        <w:t xml:space="preserve">Disponível em: </w:t>
      </w:r>
      <w:hyperlink r:id="rId10" w:history="1">
        <w:r w:rsidR="00E15D7B" w:rsidRPr="00872EC5">
          <w:rPr>
            <w:rStyle w:val="Hyperlink"/>
            <w:rFonts w:cs="Times New Roman"/>
            <w:sz w:val="22"/>
          </w:rPr>
          <w:t>https://sociology.lightningpath.org/ejs-archives/vol006.002/vannini_myers.html</w:t>
        </w:r>
      </w:hyperlink>
      <w:r w:rsidR="00E15D7B" w:rsidRPr="00872EC5">
        <w:t xml:space="preserve">. </w:t>
      </w:r>
      <w:proofErr w:type="spellStart"/>
      <w:r w:rsidR="00E15D7B" w:rsidRPr="00872EC5">
        <w:rPr>
          <w:sz w:val="22"/>
          <w:szCs w:val="20"/>
          <w:lang w:val="en-US"/>
        </w:rPr>
        <w:t>Acceso</w:t>
      </w:r>
      <w:proofErr w:type="spellEnd"/>
      <w:r w:rsidR="00E15D7B" w:rsidRPr="00872EC5">
        <w:rPr>
          <w:sz w:val="22"/>
          <w:szCs w:val="20"/>
          <w:lang w:val="en-US"/>
        </w:rPr>
        <w:t xml:space="preserve"> </w:t>
      </w:r>
      <w:proofErr w:type="spellStart"/>
      <w:r w:rsidR="00E15D7B" w:rsidRPr="00872EC5">
        <w:rPr>
          <w:sz w:val="22"/>
          <w:szCs w:val="20"/>
          <w:lang w:val="en-US"/>
        </w:rPr>
        <w:t>em</w:t>
      </w:r>
      <w:proofErr w:type="spellEnd"/>
      <w:r w:rsidR="00E15D7B" w:rsidRPr="00872EC5">
        <w:rPr>
          <w:sz w:val="22"/>
          <w:szCs w:val="20"/>
          <w:lang w:val="en-US"/>
        </w:rPr>
        <w:t>: 17 set. 2024</w:t>
      </w:r>
      <w:r w:rsidR="006B18BA" w:rsidRPr="00872EC5">
        <w:rPr>
          <w:sz w:val="22"/>
          <w:szCs w:val="20"/>
          <w:lang w:val="en-US"/>
        </w:rPr>
        <w:t>.</w:t>
      </w:r>
    </w:p>
    <w:p w14:paraId="6E9C7AFA" w14:textId="23FA5001" w:rsidR="004614E1" w:rsidRPr="00C84E48" w:rsidRDefault="00CA7341" w:rsidP="00D6323D">
      <w:pPr>
        <w:spacing w:line="240" w:lineRule="auto"/>
        <w:ind w:left="567" w:hanging="567"/>
        <w:jc w:val="both"/>
        <w:rPr>
          <w:rFonts w:cs="Times New Roman"/>
          <w:sz w:val="22"/>
        </w:rPr>
      </w:pPr>
      <w:r w:rsidRPr="00CA7341">
        <w:rPr>
          <w:rFonts w:cs="Times New Roman"/>
          <w:sz w:val="22"/>
          <w:lang w:val="en-US"/>
        </w:rPr>
        <w:t>WONG</w:t>
      </w:r>
      <w:r w:rsidRPr="00DD6875">
        <w:rPr>
          <w:rFonts w:cs="Times New Roman"/>
          <w:sz w:val="22"/>
          <w:lang w:val="en-US"/>
        </w:rPr>
        <w:t xml:space="preserve"> </w:t>
      </w:r>
      <w:r w:rsidR="004614E1" w:rsidRPr="00DD6875">
        <w:rPr>
          <w:rFonts w:cs="Times New Roman"/>
          <w:sz w:val="22"/>
          <w:lang w:val="en-US"/>
        </w:rPr>
        <w:t>Chi Chung, Elvin</w:t>
      </w:r>
      <w:r w:rsidR="00872EC5">
        <w:rPr>
          <w:rFonts w:cs="Times New Roman"/>
          <w:sz w:val="22"/>
          <w:lang w:val="en-US"/>
        </w:rPr>
        <w:t xml:space="preserve">. </w:t>
      </w:r>
      <w:r w:rsidR="004614E1" w:rsidRPr="00DD6875">
        <w:rPr>
          <w:rFonts w:cs="Times New Roman"/>
          <w:i/>
          <w:sz w:val="22"/>
          <w:lang w:val="en-US"/>
        </w:rPr>
        <w:t>The working of pop music culture in the age of digital reproduction</w:t>
      </w:r>
      <w:r w:rsidR="00171B66">
        <w:rPr>
          <w:rFonts w:cs="Times New Roman"/>
          <w:sz w:val="22"/>
          <w:lang w:val="en-US"/>
        </w:rPr>
        <w:t xml:space="preserve">. </w:t>
      </w:r>
      <w:r w:rsidR="00171B66" w:rsidRPr="00C84E48">
        <w:rPr>
          <w:rFonts w:cs="Times New Roman"/>
          <w:sz w:val="22"/>
        </w:rPr>
        <w:t>201</w:t>
      </w:r>
      <w:r w:rsidR="00E8663F" w:rsidRPr="00C84E48">
        <w:rPr>
          <w:rFonts w:cs="Times New Roman"/>
          <w:sz w:val="22"/>
        </w:rPr>
        <w:t>0</w:t>
      </w:r>
      <w:r w:rsidR="00171B66" w:rsidRPr="00C84E48">
        <w:rPr>
          <w:rFonts w:cs="Times New Roman"/>
          <w:sz w:val="22"/>
        </w:rPr>
        <w:t xml:space="preserve">. </w:t>
      </w:r>
      <w:r w:rsidR="00BD6B0C" w:rsidRPr="00C84E48">
        <w:rPr>
          <w:rFonts w:cs="Times New Roman"/>
          <w:sz w:val="22"/>
        </w:rPr>
        <w:t>Tese d</w:t>
      </w:r>
      <w:r w:rsidR="00AF44E4" w:rsidRPr="00C84E48">
        <w:rPr>
          <w:rFonts w:cs="Times New Roman"/>
          <w:sz w:val="22"/>
        </w:rPr>
        <w:t xml:space="preserve">outoral (Doutorado em </w:t>
      </w:r>
      <w:proofErr w:type="spellStart"/>
      <w:r w:rsidR="00AF44E4" w:rsidRPr="00C84E48">
        <w:rPr>
          <w:rFonts w:cs="Times New Roman"/>
          <w:sz w:val="22"/>
        </w:rPr>
        <w:t>Filosofía</w:t>
      </w:r>
      <w:proofErr w:type="spellEnd"/>
      <w:r w:rsidR="00AF44E4" w:rsidRPr="00C84E48">
        <w:rPr>
          <w:rFonts w:cs="Times New Roman"/>
          <w:sz w:val="22"/>
        </w:rPr>
        <w:t>)</w:t>
      </w:r>
      <w:r w:rsidR="00362C4B" w:rsidRPr="00C84E48">
        <w:rPr>
          <w:rFonts w:cs="Times New Roman"/>
          <w:sz w:val="22"/>
        </w:rPr>
        <w:t>. Universidade de</w:t>
      </w:r>
      <w:r w:rsidR="00BD6B0C" w:rsidRPr="00C84E48">
        <w:rPr>
          <w:rFonts w:cs="Times New Roman"/>
          <w:sz w:val="22"/>
        </w:rPr>
        <w:t xml:space="preserve"> </w:t>
      </w:r>
      <w:r w:rsidR="004614E1" w:rsidRPr="00C84E48">
        <w:rPr>
          <w:rFonts w:cs="Times New Roman"/>
          <w:sz w:val="22"/>
        </w:rPr>
        <w:t>Hong Kong</w:t>
      </w:r>
      <w:r w:rsidR="00362C4B" w:rsidRPr="00C84E48">
        <w:rPr>
          <w:rFonts w:cs="Times New Roman"/>
          <w:sz w:val="22"/>
        </w:rPr>
        <w:t>-</w:t>
      </w:r>
      <w:r w:rsidR="004614E1" w:rsidRPr="00C84E48">
        <w:rPr>
          <w:rFonts w:cs="Times New Roman"/>
          <w:sz w:val="22"/>
        </w:rPr>
        <w:t>HKBU, 400 pp</w:t>
      </w:r>
      <w:r w:rsidR="00C84E48">
        <w:rPr>
          <w:rFonts w:cs="Times New Roman"/>
          <w:sz w:val="22"/>
        </w:rPr>
        <w:t>, 2010.</w:t>
      </w:r>
    </w:p>
    <w:p w14:paraId="5FB52B68" w14:textId="26ED759A" w:rsidR="000F4A44" w:rsidRPr="00D6323D" w:rsidRDefault="000F4A44" w:rsidP="000F4A44">
      <w:pPr>
        <w:spacing w:line="240" w:lineRule="auto"/>
        <w:ind w:left="567" w:hanging="567"/>
        <w:jc w:val="both"/>
        <w:rPr>
          <w:rFonts w:cs="Times New Roman"/>
          <w:sz w:val="22"/>
          <w:lang w:val="es-AR"/>
        </w:rPr>
      </w:pPr>
      <w:r w:rsidRPr="00D6323D">
        <w:rPr>
          <w:rFonts w:cs="Times New Roman"/>
          <w:sz w:val="22"/>
          <w:lang w:val="en-US"/>
        </w:rPr>
        <w:t>VAN CUILENBURG</w:t>
      </w:r>
      <w:r w:rsidRPr="00D6323D">
        <w:rPr>
          <w:rFonts w:cs="Times New Roman"/>
          <w:b/>
          <w:bCs/>
          <w:sz w:val="22"/>
          <w:lang w:val="en-US"/>
        </w:rPr>
        <w:t xml:space="preserve">, </w:t>
      </w:r>
      <w:r w:rsidRPr="00D6323D">
        <w:rPr>
          <w:rFonts w:cs="Times New Roman"/>
          <w:sz w:val="22"/>
          <w:lang w:val="en-US"/>
        </w:rPr>
        <w:t>Jan</w:t>
      </w:r>
      <w:r w:rsidR="006B18BA">
        <w:rPr>
          <w:rFonts w:cs="Times New Roman"/>
          <w:sz w:val="22"/>
          <w:lang w:val="en-US"/>
        </w:rPr>
        <w:t xml:space="preserve">; </w:t>
      </w:r>
      <w:r w:rsidRPr="00D6323D">
        <w:rPr>
          <w:rFonts w:cs="Times New Roman"/>
          <w:sz w:val="22"/>
          <w:lang w:val="en-US"/>
        </w:rPr>
        <w:t>Denis MCQUAIL</w:t>
      </w:r>
      <w:r w:rsidR="00D6323D">
        <w:rPr>
          <w:rFonts w:cs="Times New Roman"/>
          <w:sz w:val="22"/>
          <w:lang w:val="en-US"/>
        </w:rPr>
        <w:t>.</w:t>
      </w:r>
      <w:r w:rsidRPr="00D6323D">
        <w:rPr>
          <w:rFonts w:cs="Times New Roman"/>
          <w:sz w:val="22"/>
          <w:lang w:val="en-US"/>
        </w:rPr>
        <w:t xml:space="preserve"> “Media policy paradigm shifts”</w:t>
      </w:r>
      <w:r w:rsidR="00D6323D">
        <w:rPr>
          <w:rFonts w:cs="Times New Roman"/>
          <w:sz w:val="22"/>
          <w:lang w:val="en-US"/>
        </w:rPr>
        <w:t xml:space="preserve">. </w:t>
      </w:r>
      <w:r w:rsidRPr="00D6323D">
        <w:rPr>
          <w:rFonts w:cs="Times New Roman"/>
          <w:i/>
          <w:iCs/>
          <w:sz w:val="22"/>
          <w:lang w:val="en-US"/>
        </w:rPr>
        <w:t>European Journal of Communication</w:t>
      </w:r>
      <w:r w:rsidRPr="00D6323D">
        <w:rPr>
          <w:rFonts w:cs="Times New Roman"/>
          <w:sz w:val="22"/>
          <w:lang w:val="en-US"/>
        </w:rPr>
        <w:t xml:space="preserve">, </w:t>
      </w:r>
      <w:r w:rsidR="00D6323D">
        <w:rPr>
          <w:rFonts w:cs="Times New Roman"/>
          <w:sz w:val="22"/>
          <w:lang w:val="en-US"/>
        </w:rPr>
        <w:t>v.</w:t>
      </w:r>
      <w:r w:rsidRPr="00D6323D">
        <w:rPr>
          <w:rFonts w:cs="Times New Roman"/>
          <w:sz w:val="22"/>
          <w:lang w:val="en-US"/>
        </w:rPr>
        <w:t xml:space="preserve"> 18. </w:t>
      </w:r>
      <w:r w:rsidR="00D6323D" w:rsidRPr="00D6323D">
        <w:rPr>
          <w:rFonts w:cs="Times New Roman"/>
          <w:sz w:val="22"/>
          <w:lang w:val="es-AR"/>
        </w:rPr>
        <w:t>N.</w:t>
      </w:r>
      <w:r w:rsidRPr="00D6323D">
        <w:rPr>
          <w:rFonts w:cs="Times New Roman"/>
          <w:sz w:val="22"/>
          <w:lang w:val="es-AR"/>
        </w:rPr>
        <w:t xml:space="preserve"> 2, Londres: Sage, </w:t>
      </w:r>
      <w:proofErr w:type="spellStart"/>
      <w:r w:rsidRPr="00D6323D">
        <w:rPr>
          <w:rFonts w:cs="Times New Roman"/>
          <w:sz w:val="22"/>
          <w:lang w:val="es-AR"/>
        </w:rPr>
        <w:t>pp</w:t>
      </w:r>
      <w:proofErr w:type="spellEnd"/>
      <w:r w:rsidRPr="00D6323D">
        <w:rPr>
          <w:rFonts w:cs="Times New Roman"/>
          <w:sz w:val="22"/>
          <w:lang w:val="es-AR"/>
        </w:rPr>
        <w:t xml:space="preserve"> 181-207</w:t>
      </w:r>
      <w:r w:rsidR="00D6323D" w:rsidRPr="00D6323D">
        <w:rPr>
          <w:rFonts w:cs="Times New Roman"/>
          <w:sz w:val="22"/>
          <w:lang w:val="es-AR"/>
        </w:rPr>
        <w:t xml:space="preserve">, </w:t>
      </w:r>
      <w:r w:rsidR="00D6323D" w:rsidRPr="00D6323D">
        <w:rPr>
          <w:rFonts w:cs="Times New Roman"/>
          <w:sz w:val="22"/>
          <w:lang w:val="es-AR"/>
        </w:rPr>
        <w:t>2003</w:t>
      </w:r>
      <w:r w:rsidR="00D6323D" w:rsidRPr="00D6323D">
        <w:rPr>
          <w:rFonts w:cs="Times New Roman"/>
          <w:sz w:val="22"/>
          <w:lang w:val="es-AR"/>
        </w:rPr>
        <w:t>.</w:t>
      </w:r>
    </w:p>
    <w:p w14:paraId="59482149" w14:textId="44D87C61" w:rsidR="00025519" w:rsidRPr="008C465A" w:rsidRDefault="00CA7341" w:rsidP="008C465A">
      <w:pPr>
        <w:spacing w:line="240" w:lineRule="auto"/>
        <w:ind w:left="567" w:hanging="567"/>
        <w:jc w:val="both"/>
        <w:rPr>
          <w:rFonts w:cs="Times New Roman"/>
          <w:sz w:val="22"/>
          <w:lang w:val="es-AR"/>
        </w:rPr>
      </w:pPr>
      <w:r w:rsidRPr="00CA7341">
        <w:rPr>
          <w:rFonts w:cs="Times New Roman"/>
          <w:sz w:val="22"/>
          <w:lang w:val="es-AR"/>
        </w:rPr>
        <w:t>ZALLO</w:t>
      </w:r>
      <w:r w:rsidR="004614E1" w:rsidRPr="00DD6875">
        <w:rPr>
          <w:rFonts w:cs="Times New Roman"/>
          <w:sz w:val="22"/>
          <w:lang w:val="es-AR"/>
        </w:rPr>
        <w:t>, Ramón</w:t>
      </w:r>
      <w:r w:rsidR="00D6323D">
        <w:rPr>
          <w:rFonts w:cs="Times New Roman"/>
          <w:sz w:val="22"/>
          <w:lang w:val="es-AR"/>
        </w:rPr>
        <w:t>.</w:t>
      </w:r>
      <w:r w:rsidR="004614E1" w:rsidRPr="00DD6875">
        <w:rPr>
          <w:rFonts w:cs="Times New Roman"/>
          <w:sz w:val="22"/>
          <w:lang w:val="es-AR"/>
        </w:rPr>
        <w:t xml:space="preserve"> </w:t>
      </w:r>
      <w:r w:rsidR="004614E1" w:rsidRPr="00DD6875">
        <w:rPr>
          <w:rFonts w:cs="Times New Roman"/>
          <w:i/>
          <w:iCs/>
          <w:sz w:val="22"/>
          <w:u w:color="000000"/>
          <w:lang w:val="es-AR"/>
        </w:rPr>
        <w:t>Economía de la comunicación y la cultura</w:t>
      </w:r>
      <w:r w:rsidR="004614E1" w:rsidRPr="00DD6875">
        <w:rPr>
          <w:rFonts w:cs="Times New Roman"/>
          <w:sz w:val="22"/>
          <w:lang w:val="es-AR"/>
        </w:rPr>
        <w:t>, Madrid: Akal</w:t>
      </w:r>
      <w:r w:rsidR="00D6323D">
        <w:rPr>
          <w:rFonts w:cs="Times New Roman"/>
          <w:sz w:val="22"/>
          <w:lang w:val="es-AR"/>
        </w:rPr>
        <w:t xml:space="preserve">, </w:t>
      </w:r>
      <w:r w:rsidR="00D6323D" w:rsidRPr="00DD6875">
        <w:rPr>
          <w:rFonts w:cs="Times New Roman"/>
          <w:sz w:val="22"/>
          <w:lang w:val="es-AR"/>
        </w:rPr>
        <w:t>1988</w:t>
      </w:r>
    </w:p>
    <w:sectPr w:rsidR="00025519" w:rsidRPr="008C465A" w:rsidSect="00992C55">
      <w:headerReference w:type="default" r:id="rId11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5B61" w14:textId="77777777" w:rsidR="00C80D7F" w:rsidRPr="00BC48D3" w:rsidRDefault="00C80D7F" w:rsidP="00093BD9">
      <w:pPr>
        <w:spacing w:line="240" w:lineRule="auto"/>
      </w:pPr>
      <w:r w:rsidRPr="00BC48D3">
        <w:separator/>
      </w:r>
    </w:p>
  </w:endnote>
  <w:endnote w:type="continuationSeparator" w:id="0">
    <w:p w14:paraId="7D6F675E" w14:textId="77777777" w:rsidR="00C80D7F" w:rsidRPr="00BC48D3" w:rsidRDefault="00C80D7F" w:rsidP="00093BD9">
      <w:pPr>
        <w:spacing w:line="240" w:lineRule="auto"/>
      </w:pPr>
      <w:r w:rsidRPr="00BC48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F80D" w14:textId="77777777" w:rsidR="00C80D7F" w:rsidRPr="00BC48D3" w:rsidRDefault="00C80D7F" w:rsidP="00093BD9">
      <w:pPr>
        <w:spacing w:line="240" w:lineRule="auto"/>
      </w:pPr>
      <w:r w:rsidRPr="00BC48D3">
        <w:separator/>
      </w:r>
    </w:p>
  </w:footnote>
  <w:footnote w:type="continuationSeparator" w:id="0">
    <w:p w14:paraId="40D7999A" w14:textId="77777777" w:rsidR="00C80D7F" w:rsidRPr="00BC48D3" w:rsidRDefault="00C80D7F" w:rsidP="00093BD9">
      <w:pPr>
        <w:spacing w:line="240" w:lineRule="auto"/>
      </w:pPr>
      <w:r w:rsidRPr="00BC48D3">
        <w:continuationSeparator/>
      </w:r>
    </w:p>
  </w:footnote>
  <w:footnote w:id="1">
    <w:p w14:paraId="5D6B657E" w14:textId="092620A5" w:rsidR="00514AEA" w:rsidRPr="00756F1B" w:rsidRDefault="00514AEA" w:rsidP="00514AEA">
      <w:pPr>
        <w:pStyle w:val="FootnoteText"/>
        <w:rPr>
          <w:lang w:val="es-AR"/>
        </w:rPr>
      </w:pPr>
      <w:r w:rsidRPr="00BC48D3">
        <w:rPr>
          <w:rStyle w:val="FootnoteReference"/>
        </w:rPr>
        <w:footnoteRef/>
      </w:r>
      <w:r w:rsidRPr="00756F1B">
        <w:rPr>
          <w:lang w:val="es-AR"/>
        </w:rPr>
        <w:t xml:space="preserve"> </w:t>
      </w:r>
      <w:r w:rsidR="00DC2BF1" w:rsidRPr="00756F1B">
        <w:rPr>
          <w:lang w:val="es-AR"/>
        </w:rPr>
        <w:t xml:space="preserve">Doctorado en Ciencias Sociales - Facultad de Ciencias Sociales (UBA) – </w:t>
      </w:r>
      <w:r w:rsidR="008C0608" w:rsidRPr="00756F1B">
        <w:rPr>
          <w:lang w:val="es-AR"/>
        </w:rPr>
        <w:t>Bolsista</w:t>
      </w:r>
      <w:r w:rsidR="00DC2BF1" w:rsidRPr="00756F1B">
        <w:rPr>
          <w:lang w:val="es-AR"/>
        </w:rPr>
        <w:t xml:space="preserve"> doctoral UBACyT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1E56" w14:textId="2ECECADF" w:rsidR="00093BD9" w:rsidRPr="00BC48D3" w:rsidRDefault="000E17BC" w:rsidP="00410341">
    <w:pPr>
      <w:pStyle w:val="Header"/>
      <w:ind w:left="-1701" w:right="140"/>
    </w:pPr>
    <w:r w:rsidRPr="00BC48D3">
      <w:rPr>
        <w:noProof/>
      </w:rPr>
      <w:drawing>
        <wp:inline distT="0" distB="0" distL="0" distR="0" wp14:anchorId="537043C7" wp14:editId="262C2898">
          <wp:extent cx="7563487" cy="1104899"/>
          <wp:effectExtent l="0" t="0" r="0" b="63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7" cy="110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627EE"/>
    <w:multiLevelType w:val="hybridMultilevel"/>
    <w:tmpl w:val="0D54C9D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B024E2"/>
    <w:multiLevelType w:val="hybridMultilevel"/>
    <w:tmpl w:val="C7988956"/>
    <w:lvl w:ilvl="0" w:tplc="49C6C95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25D030D"/>
    <w:multiLevelType w:val="hybridMultilevel"/>
    <w:tmpl w:val="540CDC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FC53C9"/>
    <w:multiLevelType w:val="hybridMultilevel"/>
    <w:tmpl w:val="2E804B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2952">
    <w:abstractNumId w:val="5"/>
  </w:num>
  <w:num w:numId="2" w16cid:durableId="1616255611">
    <w:abstractNumId w:val="0"/>
  </w:num>
  <w:num w:numId="3" w16cid:durableId="889726043">
    <w:abstractNumId w:val="4"/>
  </w:num>
  <w:num w:numId="4" w16cid:durableId="237137724">
    <w:abstractNumId w:val="2"/>
  </w:num>
  <w:num w:numId="5" w16cid:durableId="127549229">
    <w:abstractNumId w:val="3"/>
  </w:num>
  <w:num w:numId="6" w16cid:durableId="128184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D9"/>
    <w:rsid w:val="0000677D"/>
    <w:rsid w:val="00006801"/>
    <w:rsid w:val="00006D44"/>
    <w:rsid w:val="00024D73"/>
    <w:rsid w:val="00025519"/>
    <w:rsid w:val="000266ED"/>
    <w:rsid w:val="000314AC"/>
    <w:rsid w:val="00041338"/>
    <w:rsid w:val="000444C9"/>
    <w:rsid w:val="000466FE"/>
    <w:rsid w:val="00050F01"/>
    <w:rsid w:val="000672DB"/>
    <w:rsid w:val="00093BD9"/>
    <w:rsid w:val="00096017"/>
    <w:rsid w:val="000A2E54"/>
    <w:rsid w:val="000A45F3"/>
    <w:rsid w:val="000C1FE4"/>
    <w:rsid w:val="000C5A14"/>
    <w:rsid w:val="000E17BC"/>
    <w:rsid w:val="000E26AF"/>
    <w:rsid w:val="000F4A44"/>
    <w:rsid w:val="000F7AD4"/>
    <w:rsid w:val="00101AC8"/>
    <w:rsid w:val="00111118"/>
    <w:rsid w:val="00120C0E"/>
    <w:rsid w:val="0012107B"/>
    <w:rsid w:val="0013222C"/>
    <w:rsid w:val="00140C04"/>
    <w:rsid w:val="001431C6"/>
    <w:rsid w:val="00144118"/>
    <w:rsid w:val="001452DF"/>
    <w:rsid w:val="00152A36"/>
    <w:rsid w:val="00156D46"/>
    <w:rsid w:val="00170A3E"/>
    <w:rsid w:val="00171B66"/>
    <w:rsid w:val="00182B52"/>
    <w:rsid w:val="00196851"/>
    <w:rsid w:val="001A6C6A"/>
    <w:rsid w:val="001C017F"/>
    <w:rsid w:val="001D40E3"/>
    <w:rsid w:val="001D7AE8"/>
    <w:rsid w:val="00201759"/>
    <w:rsid w:val="00202D48"/>
    <w:rsid w:val="00205E0C"/>
    <w:rsid w:val="00213705"/>
    <w:rsid w:val="00223EDB"/>
    <w:rsid w:val="0024339F"/>
    <w:rsid w:val="00243B79"/>
    <w:rsid w:val="0025308E"/>
    <w:rsid w:val="00282939"/>
    <w:rsid w:val="002931AC"/>
    <w:rsid w:val="002B0F66"/>
    <w:rsid w:val="002B3F3B"/>
    <w:rsid w:val="002E4402"/>
    <w:rsid w:val="003203E6"/>
    <w:rsid w:val="003364B5"/>
    <w:rsid w:val="00352E2F"/>
    <w:rsid w:val="00362C4B"/>
    <w:rsid w:val="003809C8"/>
    <w:rsid w:val="00397A13"/>
    <w:rsid w:val="003A1699"/>
    <w:rsid w:val="003A3164"/>
    <w:rsid w:val="003A5B57"/>
    <w:rsid w:val="003A7B32"/>
    <w:rsid w:val="003B7381"/>
    <w:rsid w:val="003C123A"/>
    <w:rsid w:val="003C2431"/>
    <w:rsid w:val="003D58E4"/>
    <w:rsid w:val="003D72CE"/>
    <w:rsid w:val="003E4AB4"/>
    <w:rsid w:val="004067E2"/>
    <w:rsid w:val="00410341"/>
    <w:rsid w:val="00430FDC"/>
    <w:rsid w:val="00434A22"/>
    <w:rsid w:val="00444C1F"/>
    <w:rsid w:val="0045193B"/>
    <w:rsid w:val="00455A06"/>
    <w:rsid w:val="004614E1"/>
    <w:rsid w:val="00462FDB"/>
    <w:rsid w:val="00470A73"/>
    <w:rsid w:val="004724FA"/>
    <w:rsid w:val="00494338"/>
    <w:rsid w:val="004B1DD4"/>
    <w:rsid w:val="004C46CD"/>
    <w:rsid w:val="004E560F"/>
    <w:rsid w:val="004E692F"/>
    <w:rsid w:val="004E7E26"/>
    <w:rsid w:val="00503E8B"/>
    <w:rsid w:val="00514AEA"/>
    <w:rsid w:val="00521405"/>
    <w:rsid w:val="0052607E"/>
    <w:rsid w:val="00535477"/>
    <w:rsid w:val="005443B4"/>
    <w:rsid w:val="005446E6"/>
    <w:rsid w:val="00545400"/>
    <w:rsid w:val="00584289"/>
    <w:rsid w:val="00594FAA"/>
    <w:rsid w:val="005A4125"/>
    <w:rsid w:val="005D42BF"/>
    <w:rsid w:val="005E2E32"/>
    <w:rsid w:val="005E6566"/>
    <w:rsid w:val="005F5034"/>
    <w:rsid w:val="00612CF9"/>
    <w:rsid w:val="00613236"/>
    <w:rsid w:val="00616F0A"/>
    <w:rsid w:val="006275EE"/>
    <w:rsid w:val="00627948"/>
    <w:rsid w:val="00634EF6"/>
    <w:rsid w:val="00642390"/>
    <w:rsid w:val="00643CBB"/>
    <w:rsid w:val="00651D1F"/>
    <w:rsid w:val="00682EA4"/>
    <w:rsid w:val="00696F78"/>
    <w:rsid w:val="006B18BA"/>
    <w:rsid w:val="006B3F78"/>
    <w:rsid w:val="006B5217"/>
    <w:rsid w:val="006B6242"/>
    <w:rsid w:val="006B637C"/>
    <w:rsid w:val="006B6D04"/>
    <w:rsid w:val="006D46DB"/>
    <w:rsid w:val="006D5B0A"/>
    <w:rsid w:val="006E78C2"/>
    <w:rsid w:val="00715A23"/>
    <w:rsid w:val="00730DD1"/>
    <w:rsid w:val="00731B48"/>
    <w:rsid w:val="00735D73"/>
    <w:rsid w:val="00736623"/>
    <w:rsid w:val="00743A96"/>
    <w:rsid w:val="00750165"/>
    <w:rsid w:val="007512B5"/>
    <w:rsid w:val="00751804"/>
    <w:rsid w:val="007552D7"/>
    <w:rsid w:val="00756F1B"/>
    <w:rsid w:val="007644F4"/>
    <w:rsid w:val="00776C7D"/>
    <w:rsid w:val="00785A53"/>
    <w:rsid w:val="00793441"/>
    <w:rsid w:val="007B0365"/>
    <w:rsid w:val="007B7AE0"/>
    <w:rsid w:val="007C0BA5"/>
    <w:rsid w:val="007C2BED"/>
    <w:rsid w:val="007C3362"/>
    <w:rsid w:val="007E2C57"/>
    <w:rsid w:val="007E30AD"/>
    <w:rsid w:val="007E5D15"/>
    <w:rsid w:val="0080603D"/>
    <w:rsid w:val="00820D77"/>
    <w:rsid w:val="00820DC2"/>
    <w:rsid w:val="00821C5E"/>
    <w:rsid w:val="00822914"/>
    <w:rsid w:val="00822DA9"/>
    <w:rsid w:val="00824BFC"/>
    <w:rsid w:val="0083137F"/>
    <w:rsid w:val="0084248A"/>
    <w:rsid w:val="00853D13"/>
    <w:rsid w:val="008546F7"/>
    <w:rsid w:val="00872EC5"/>
    <w:rsid w:val="00880BF6"/>
    <w:rsid w:val="00882F1C"/>
    <w:rsid w:val="00885DC6"/>
    <w:rsid w:val="00894D8F"/>
    <w:rsid w:val="008B567A"/>
    <w:rsid w:val="008B623C"/>
    <w:rsid w:val="008B79D3"/>
    <w:rsid w:val="008C0608"/>
    <w:rsid w:val="008C11DD"/>
    <w:rsid w:val="008C465A"/>
    <w:rsid w:val="008F0C5C"/>
    <w:rsid w:val="008F1A50"/>
    <w:rsid w:val="008F346E"/>
    <w:rsid w:val="008F6AA4"/>
    <w:rsid w:val="00901FAE"/>
    <w:rsid w:val="00931525"/>
    <w:rsid w:val="0094122B"/>
    <w:rsid w:val="00960683"/>
    <w:rsid w:val="009623E4"/>
    <w:rsid w:val="00980D8D"/>
    <w:rsid w:val="0098340F"/>
    <w:rsid w:val="00992161"/>
    <w:rsid w:val="00992C55"/>
    <w:rsid w:val="00997188"/>
    <w:rsid w:val="00997BB2"/>
    <w:rsid w:val="009A2D24"/>
    <w:rsid w:val="009A79BF"/>
    <w:rsid w:val="009C431E"/>
    <w:rsid w:val="009C6490"/>
    <w:rsid w:val="00A004C2"/>
    <w:rsid w:val="00A01222"/>
    <w:rsid w:val="00A0745F"/>
    <w:rsid w:val="00A33970"/>
    <w:rsid w:val="00A47744"/>
    <w:rsid w:val="00A52DD9"/>
    <w:rsid w:val="00A7001D"/>
    <w:rsid w:val="00A727B4"/>
    <w:rsid w:val="00A75A5C"/>
    <w:rsid w:val="00A840BF"/>
    <w:rsid w:val="00A84DCB"/>
    <w:rsid w:val="00A9271A"/>
    <w:rsid w:val="00A92C59"/>
    <w:rsid w:val="00A9518B"/>
    <w:rsid w:val="00AA66A9"/>
    <w:rsid w:val="00AC3219"/>
    <w:rsid w:val="00AD78F1"/>
    <w:rsid w:val="00AD7E83"/>
    <w:rsid w:val="00AF44E4"/>
    <w:rsid w:val="00AF4C42"/>
    <w:rsid w:val="00B01090"/>
    <w:rsid w:val="00B337FB"/>
    <w:rsid w:val="00B46277"/>
    <w:rsid w:val="00B528AB"/>
    <w:rsid w:val="00B52C48"/>
    <w:rsid w:val="00B53640"/>
    <w:rsid w:val="00B543ED"/>
    <w:rsid w:val="00B65579"/>
    <w:rsid w:val="00B72227"/>
    <w:rsid w:val="00B80274"/>
    <w:rsid w:val="00B841A0"/>
    <w:rsid w:val="00B929A7"/>
    <w:rsid w:val="00BA002C"/>
    <w:rsid w:val="00BA46F1"/>
    <w:rsid w:val="00BB11F1"/>
    <w:rsid w:val="00BC2704"/>
    <w:rsid w:val="00BC48D3"/>
    <w:rsid w:val="00BC69EC"/>
    <w:rsid w:val="00BD6690"/>
    <w:rsid w:val="00BD6B0C"/>
    <w:rsid w:val="00BE1B86"/>
    <w:rsid w:val="00BE5FCD"/>
    <w:rsid w:val="00BF27F8"/>
    <w:rsid w:val="00BF2FDB"/>
    <w:rsid w:val="00BF37E2"/>
    <w:rsid w:val="00C326E6"/>
    <w:rsid w:val="00C5122A"/>
    <w:rsid w:val="00C51AE1"/>
    <w:rsid w:val="00C51CF5"/>
    <w:rsid w:val="00C5381D"/>
    <w:rsid w:val="00C723CA"/>
    <w:rsid w:val="00C80D7F"/>
    <w:rsid w:val="00C81E5F"/>
    <w:rsid w:val="00C84E48"/>
    <w:rsid w:val="00C93C8C"/>
    <w:rsid w:val="00CA7341"/>
    <w:rsid w:val="00CB70E1"/>
    <w:rsid w:val="00CF2F94"/>
    <w:rsid w:val="00D0129E"/>
    <w:rsid w:val="00D15746"/>
    <w:rsid w:val="00D159EA"/>
    <w:rsid w:val="00D15B1E"/>
    <w:rsid w:val="00D16395"/>
    <w:rsid w:val="00D16C9F"/>
    <w:rsid w:val="00D448B5"/>
    <w:rsid w:val="00D555D0"/>
    <w:rsid w:val="00D579F2"/>
    <w:rsid w:val="00D6323D"/>
    <w:rsid w:val="00D63B81"/>
    <w:rsid w:val="00D63F8A"/>
    <w:rsid w:val="00D6660A"/>
    <w:rsid w:val="00D70BC9"/>
    <w:rsid w:val="00D714AE"/>
    <w:rsid w:val="00D84CEA"/>
    <w:rsid w:val="00D87F15"/>
    <w:rsid w:val="00D91F34"/>
    <w:rsid w:val="00D9491F"/>
    <w:rsid w:val="00DA2A09"/>
    <w:rsid w:val="00DA54D3"/>
    <w:rsid w:val="00DB3A26"/>
    <w:rsid w:val="00DC2BF1"/>
    <w:rsid w:val="00DD0129"/>
    <w:rsid w:val="00DD2220"/>
    <w:rsid w:val="00DD23C2"/>
    <w:rsid w:val="00DD2AF3"/>
    <w:rsid w:val="00DD3F7D"/>
    <w:rsid w:val="00DD6875"/>
    <w:rsid w:val="00E06F31"/>
    <w:rsid w:val="00E10D7E"/>
    <w:rsid w:val="00E15D7B"/>
    <w:rsid w:val="00E16F9D"/>
    <w:rsid w:val="00E21868"/>
    <w:rsid w:val="00E30270"/>
    <w:rsid w:val="00E36F3A"/>
    <w:rsid w:val="00E42E86"/>
    <w:rsid w:val="00E44497"/>
    <w:rsid w:val="00E4649A"/>
    <w:rsid w:val="00E567B1"/>
    <w:rsid w:val="00E62526"/>
    <w:rsid w:val="00E62BC3"/>
    <w:rsid w:val="00E8109D"/>
    <w:rsid w:val="00E8663F"/>
    <w:rsid w:val="00E96B3C"/>
    <w:rsid w:val="00E97312"/>
    <w:rsid w:val="00EA7AD0"/>
    <w:rsid w:val="00EB47CF"/>
    <w:rsid w:val="00EB7407"/>
    <w:rsid w:val="00EC2534"/>
    <w:rsid w:val="00EC28DD"/>
    <w:rsid w:val="00ED4F4E"/>
    <w:rsid w:val="00EE7293"/>
    <w:rsid w:val="00F036BE"/>
    <w:rsid w:val="00F12F7E"/>
    <w:rsid w:val="00F374DC"/>
    <w:rsid w:val="00F4139F"/>
    <w:rsid w:val="00F57AD0"/>
    <w:rsid w:val="00F57B8F"/>
    <w:rsid w:val="00F606FB"/>
    <w:rsid w:val="00F61B8B"/>
    <w:rsid w:val="00F61D38"/>
    <w:rsid w:val="00F70181"/>
    <w:rsid w:val="00F70D0F"/>
    <w:rsid w:val="00F777DD"/>
    <w:rsid w:val="00F93D28"/>
    <w:rsid w:val="00F97C1C"/>
    <w:rsid w:val="00FA5F61"/>
    <w:rsid w:val="00FB251E"/>
    <w:rsid w:val="00FE448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D276D"/>
  <w15:chartTrackingRefBased/>
  <w15:docId w15:val="{A5AC2015-30DC-4E2D-925C-D09B4A3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7E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C48"/>
    <w:pPr>
      <w:keepNext/>
      <w:spacing w:line="240" w:lineRule="auto"/>
      <w:jc w:val="both"/>
      <w:outlineLvl w:val="0"/>
    </w:pPr>
    <w:rPr>
      <w:rFonts w:eastAsia="Times New Roman" w:cs="Times New Roman"/>
      <w:b/>
      <w:bCs/>
      <w:szCs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9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2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D9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D9"/>
  </w:style>
  <w:style w:type="paragraph" w:styleId="Footer">
    <w:name w:val="footer"/>
    <w:basedOn w:val="Normal"/>
    <w:link w:val="FooterChar"/>
    <w:uiPriority w:val="99"/>
    <w:unhideWhenUsed/>
    <w:rsid w:val="00093BD9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D9"/>
  </w:style>
  <w:style w:type="paragraph" w:styleId="FootnoteText">
    <w:name w:val="footnote text"/>
    <w:basedOn w:val="Normal"/>
    <w:link w:val="FootnoteTextChar"/>
    <w:semiHidden/>
    <w:rsid w:val="00514AEA"/>
    <w:pPr>
      <w:spacing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semiHidden/>
    <w:rsid w:val="00514AEA"/>
    <w:rPr>
      <w:vertAlign w:val="superscript"/>
    </w:rPr>
  </w:style>
  <w:style w:type="paragraph" w:customStyle="1" w:styleId="Citalarga">
    <w:name w:val="Cita larga"/>
    <w:basedOn w:val="Normal"/>
    <w:qFormat/>
    <w:rsid w:val="00731B48"/>
    <w:pPr>
      <w:spacing w:after="120" w:line="240" w:lineRule="auto"/>
      <w:ind w:left="1134" w:right="1134"/>
      <w:jc w:val="both"/>
    </w:pPr>
    <w:rPr>
      <w:rFonts w:eastAsia="Times New Roman" w:cs="Times New Roman"/>
      <w:iCs/>
      <w:sz w:val="22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B53640"/>
    <w:pPr>
      <w:ind w:left="720"/>
      <w:contextualSpacing/>
    </w:pPr>
  </w:style>
  <w:style w:type="paragraph" w:customStyle="1" w:styleId="Ttulonico">
    <w:name w:val="Título único"/>
    <w:basedOn w:val="Normal"/>
    <w:link w:val="TtulonicoChar"/>
    <w:qFormat/>
    <w:rsid w:val="00D6660A"/>
    <w:rPr>
      <w:rFonts w:eastAsia="Times New Roman" w:cs="Times New Roman"/>
      <w:b/>
      <w:bCs/>
      <w:iCs/>
      <w:szCs w:val="24"/>
      <w:lang w:eastAsia="pt-BR"/>
    </w:rPr>
  </w:style>
  <w:style w:type="character" w:customStyle="1" w:styleId="TtulonicoChar">
    <w:name w:val="Título único Char"/>
    <w:basedOn w:val="DefaultParagraphFont"/>
    <w:link w:val="Ttulonico"/>
    <w:rsid w:val="00D6660A"/>
    <w:rPr>
      <w:rFonts w:ascii="Times New Roman" w:eastAsia="Times New Roman" w:hAnsi="Times New Roman" w:cs="Times New Roman"/>
      <w:b/>
      <w:bCs/>
      <w:iCs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B52C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B929A7"/>
    <w:rPr>
      <w:rFonts w:asciiTheme="majorHAnsi" w:eastAsiaTheme="majorEastAsia" w:hAnsiTheme="majorHAnsi" w:cstheme="majorBidi"/>
      <w:color w:val="E200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4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39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39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339F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579F2"/>
    <w:pPr>
      <w:spacing w:after="0" w:line="240" w:lineRule="auto"/>
      <w:jc w:val="both"/>
    </w:pPr>
    <w:rPr>
      <w:rFonts w:eastAsiaTheme="minorEastAsia"/>
      <w:sz w:val="20"/>
      <w:szCs w:val="20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3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ciology.lightningpath.org/ejs-archives/vol006.002/vannini_my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loppgcomufmg.com.br/publicacao/divas-po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pectroooo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2F2F"/>
      </a:accent1>
      <a:accent2>
        <a:srgbClr val="F39E21"/>
      </a:accent2>
      <a:accent3>
        <a:srgbClr val="F6F616"/>
      </a:accent3>
      <a:accent4>
        <a:srgbClr val="05ED10"/>
      </a:accent4>
      <a:accent5>
        <a:srgbClr val="21CAFF"/>
      </a:accent5>
      <a:accent6>
        <a:srgbClr val="1806FE"/>
      </a:accent6>
      <a:hlink>
        <a:srgbClr val="BF07B2"/>
      </a:hlink>
      <a:folHlink>
        <a:srgbClr val="DD07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BFB9-2496-4DF6-BE08-16DE4CE0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4961</Words>
  <Characters>28281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GUIDO AGUSTÍN SAA</cp:lastModifiedBy>
  <cp:revision>2</cp:revision>
  <dcterms:created xsi:type="dcterms:W3CDTF">2024-09-17T16:21:00Z</dcterms:created>
  <dcterms:modified xsi:type="dcterms:W3CDTF">2024-09-17T16:21:00Z</dcterms:modified>
</cp:coreProperties>
</file>