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2F4D" w14:textId="756CA2C4" w:rsidR="008F17A6" w:rsidRPr="008F17A6" w:rsidRDefault="008F17A6" w:rsidP="008F17A6">
      <w:pPr>
        <w:spacing w:after="0" w:line="360" w:lineRule="auto"/>
        <w:ind w:left="0" w:firstLine="0"/>
        <w:jc w:val="center"/>
        <w:rPr>
          <w:rFonts w:eastAsia="Times New Roman" w:cs="Times New Roman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pt-BR"/>
          <w14:ligatures w14:val="none"/>
        </w:rPr>
        <w:t>ABORDAGEM CIRÚRGICA DA NEFROLITÍASE</w:t>
      </w:r>
    </w:p>
    <w:p w14:paraId="79C0BADA" w14:textId="303CC0DF" w:rsidR="008675AD" w:rsidRPr="008F17A6" w:rsidRDefault="008F17A6" w:rsidP="008F17A6">
      <w:pPr>
        <w:spacing w:line="360" w:lineRule="auto"/>
        <w:ind w:left="0" w:firstLine="0"/>
        <w:jc w:val="right"/>
        <w:rPr>
          <w:rFonts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/>
          <w:color w:val="000000"/>
          <w:kern w:val="0"/>
          <w:lang w:eastAsia="pt-BR"/>
          <w14:ligatures w14:val="none"/>
        </w:rPr>
        <w:t>Lucas Seiji Tutiya</w:t>
      </w:r>
      <w:r>
        <w:rPr>
          <w:rFonts w:eastAsia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eastAsia="Times New Roman" w:cs="Times New Roman"/>
          <w:color w:val="000000"/>
          <w:kern w:val="0"/>
          <w:lang w:eastAsia="pt-BR"/>
          <w14:ligatures w14:val="none"/>
        </w:rPr>
        <w:t>.</w:t>
      </w:r>
    </w:p>
    <w:p w14:paraId="0E6DFAB9" w14:textId="5378B9CF" w:rsidR="008F17A6" w:rsidRDefault="008F17A6" w:rsidP="008F17A6">
      <w:pPr>
        <w:spacing w:line="360" w:lineRule="auto"/>
        <w:ind w:left="0" w:firstLine="0"/>
        <w:jc w:val="right"/>
        <w:rPr>
          <w:rFonts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/>
          <w:color w:val="000000"/>
          <w:kern w:val="0"/>
          <w:lang w:eastAsia="pt-BR"/>
          <w14:ligatures w14:val="none"/>
        </w:rPr>
        <w:t>Universidade Federal de Mato Grosso.</w:t>
      </w:r>
    </w:p>
    <w:p w14:paraId="76F7A2C3" w14:textId="735C0876" w:rsidR="00885AA0" w:rsidRPr="008F17A6" w:rsidRDefault="00885AA0" w:rsidP="008F17A6">
      <w:pPr>
        <w:spacing w:line="360" w:lineRule="auto"/>
        <w:ind w:left="0" w:firstLine="0"/>
        <w:jc w:val="right"/>
        <w:rPr>
          <w:b/>
          <w:bCs/>
        </w:rPr>
      </w:pPr>
      <w:r>
        <w:rPr>
          <w:rFonts w:eastAsia="Times New Roman" w:cs="Times New Roman"/>
          <w:color w:val="000000"/>
          <w:kern w:val="0"/>
          <w:lang w:eastAsia="pt-BR"/>
          <w14:ligatures w14:val="none"/>
        </w:rPr>
        <w:t>(lucastutiya@gmail.com)</w:t>
      </w:r>
    </w:p>
    <w:p w14:paraId="2320ED84" w14:textId="4144B420" w:rsidR="008675AD" w:rsidRPr="008675AD" w:rsidRDefault="00AD0F2D" w:rsidP="008F17A6">
      <w:pPr>
        <w:spacing w:line="360" w:lineRule="auto"/>
        <w:ind w:left="0" w:firstLine="0"/>
      </w:pPr>
      <w:r w:rsidRPr="006F21DA">
        <w:rPr>
          <w:b/>
          <w:bCs/>
        </w:rPr>
        <w:t>Introdução:</w:t>
      </w:r>
      <w:r>
        <w:t xml:space="preserve"> </w:t>
      </w:r>
      <w:r w:rsidR="00FF08B1">
        <w:t>Os cálculos renais</w:t>
      </w:r>
      <w:r>
        <w:t xml:space="preserve"> pode</w:t>
      </w:r>
      <w:r w:rsidR="00C27C48">
        <w:t>m</w:t>
      </w:r>
      <w:r>
        <w:t xml:space="preserve"> se apresentar como uma condição aguda e dolorosa, classicamente</w:t>
      </w:r>
      <w:r w:rsidR="00FF08B1">
        <w:t xml:space="preserve"> com</w:t>
      </w:r>
      <w:r>
        <w:t xml:space="preserve"> dor lombar que irradia para a região anterior, flancos, fossa ilíaca, testículos e grandes lábios, dependendo </w:t>
      </w:r>
      <w:r w:rsidR="00FF08B1">
        <w:t>de sua</w:t>
      </w:r>
      <w:r>
        <w:t xml:space="preserve"> localização. O diagnóstico é feito </w:t>
      </w:r>
      <w:r w:rsidR="006F21DA">
        <w:t>pel</w:t>
      </w:r>
      <w:r w:rsidR="00FF08B1">
        <w:t xml:space="preserve">os dados </w:t>
      </w:r>
      <w:r w:rsidR="006F21DA">
        <w:t>clínic</w:t>
      </w:r>
      <w:r w:rsidR="00FF08B1">
        <w:t>os</w:t>
      </w:r>
      <w:r w:rsidR="006F21DA">
        <w:t xml:space="preserve"> do paciente, sendo comum a utilização de exames de imagem, principalmente ultrassonografia, radiografia abdominal e tomografia computadorizada. </w:t>
      </w:r>
      <w:r w:rsidR="006F21DA" w:rsidRPr="006F21DA">
        <w:rPr>
          <w:b/>
          <w:bCs/>
        </w:rPr>
        <w:t>Objetivo:</w:t>
      </w:r>
      <w:r w:rsidR="006F21DA">
        <w:t xml:space="preserve"> </w:t>
      </w:r>
      <w:r w:rsidR="003407CB">
        <w:t>Descrever o tratamento cirúrgico</w:t>
      </w:r>
      <w:r w:rsidR="00FF08B1">
        <w:t xml:space="preserve"> da litíase renal</w:t>
      </w:r>
      <w:r w:rsidR="003407CB">
        <w:t xml:space="preserve">, sua indicação e as principais técnicas utilizadas. </w:t>
      </w:r>
      <w:r w:rsidR="006F21DA" w:rsidRPr="006F21DA">
        <w:rPr>
          <w:b/>
          <w:bCs/>
        </w:rPr>
        <w:t>Metodologia:</w:t>
      </w:r>
      <w:r w:rsidR="006F21DA">
        <w:t xml:space="preserve"> Foi desenvolvida uma análise de publicações a partir de 2020 na plataforma US </w:t>
      </w:r>
      <w:proofErr w:type="spellStart"/>
      <w:r w:rsidR="006F21DA">
        <w:t>National</w:t>
      </w:r>
      <w:proofErr w:type="spellEnd"/>
      <w:r w:rsidR="006F21DA">
        <w:t xml:space="preserve"> Library </w:t>
      </w:r>
      <w:proofErr w:type="spellStart"/>
      <w:r w:rsidR="006F21DA">
        <w:t>of</w:t>
      </w:r>
      <w:proofErr w:type="spellEnd"/>
      <w:r w:rsidR="006F21DA">
        <w:t xml:space="preserve"> Medicine (</w:t>
      </w:r>
      <w:proofErr w:type="spellStart"/>
      <w:r w:rsidR="006F21DA">
        <w:t>PubMed</w:t>
      </w:r>
      <w:proofErr w:type="spellEnd"/>
      <w:r w:rsidR="006F21DA">
        <w:t xml:space="preserve">), utilizando os descritores: </w:t>
      </w:r>
      <w:proofErr w:type="spellStart"/>
      <w:r w:rsidR="006F21DA">
        <w:t>nefrolitíase</w:t>
      </w:r>
      <w:proofErr w:type="spellEnd"/>
      <w:r w:rsidR="006F21DA">
        <w:t>, abordagem cirúrgica, tratamento urológico</w:t>
      </w:r>
      <w:r w:rsidR="004832B9">
        <w:t xml:space="preserve">. </w:t>
      </w:r>
      <w:r w:rsidR="004832B9">
        <w:rPr>
          <w:b/>
          <w:bCs/>
        </w:rPr>
        <w:t xml:space="preserve">Resultados: </w:t>
      </w:r>
      <w:r w:rsidR="004832B9">
        <w:t xml:space="preserve">A abordagem da litíase renal pode ser feita pelo tratamento clínico ou cirúrgico. No tratamento clínico é realizada a analgesia, e a terapia medicamentosa expulsiva, que consiste na associação de AINE com bloqueador alfa-1 adrenérgico. </w:t>
      </w:r>
      <w:r w:rsidR="003407CB">
        <w:t xml:space="preserve">Quanto à abordagem cirúrgica, </w:t>
      </w:r>
      <w:r w:rsidR="003407CB" w:rsidRPr="003407CB">
        <w:t xml:space="preserve">destacam-se </w:t>
      </w:r>
      <w:r w:rsidR="00FF08B1">
        <w:t xml:space="preserve">a </w:t>
      </w:r>
      <w:r w:rsidR="003407CB" w:rsidRPr="003407CB">
        <w:t>litotripsia extracorpórea por ondas de choque (LE</w:t>
      </w:r>
      <w:r w:rsidR="003407CB">
        <w:t>CO</w:t>
      </w:r>
      <w:r w:rsidR="003407CB" w:rsidRPr="003407CB">
        <w:t xml:space="preserve">), </w:t>
      </w:r>
      <w:r w:rsidR="00EA03F3">
        <w:t xml:space="preserve">litotripsia por </w:t>
      </w:r>
      <w:proofErr w:type="spellStart"/>
      <w:r w:rsidR="003407CB" w:rsidRPr="003407CB">
        <w:t>ureterorrenoscopia</w:t>
      </w:r>
      <w:proofErr w:type="spellEnd"/>
      <w:r w:rsidR="003407CB" w:rsidRPr="003407CB">
        <w:t xml:space="preserve"> e nefrolitotomia percutânea (NLP)</w:t>
      </w:r>
      <w:r w:rsidR="00EA03F3">
        <w:t xml:space="preserve">. </w:t>
      </w:r>
      <w:r w:rsidR="00843D00" w:rsidRPr="00843D00">
        <w:t xml:space="preserve">As indicações para o tratamento cirúrgico da </w:t>
      </w:r>
      <w:proofErr w:type="spellStart"/>
      <w:r w:rsidR="00843D00" w:rsidRPr="00843D00">
        <w:t>nefrolitíase</w:t>
      </w:r>
      <w:proofErr w:type="spellEnd"/>
      <w:r w:rsidR="00843D00" w:rsidRPr="00843D00">
        <w:t xml:space="preserve"> incluem cálculos renais grandes</w:t>
      </w:r>
      <w:r w:rsidR="00843D00">
        <w:t xml:space="preserve">, em geral cálculos menores que 5 </w:t>
      </w:r>
      <w:r w:rsidR="008E51F0">
        <w:t>m</w:t>
      </w:r>
      <w:r w:rsidR="00843D00">
        <w:t>m respondem de modo satisfatório ao tratamento clínico</w:t>
      </w:r>
      <w:r w:rsidR="00281264">
        <w:t>, enquanto cálculos maiores que 10mm raramente são eliminados espontaneamente</w:t>
      </w:r>
      <w:r w:rsidR="00843D00">
        <w:t xml:space="preserve">. Além disso, </w:t>
      </w:r>
      <w:r w:rsidR="00C414AB">
        <w:t>necessitam</w:t>
      </w:r>
      <w:r w:rsidR="00843D00">
        <w:t xml:space="preserve"> tratamento cirúrgico os cálculos</w:t>
      </w:r>
      <w:r w:rsidR="00843D00" w:rsidRPr="00843D00">
        <w:t xml:space="preserve"> que não respondem ao tratamento conservador, sintomas graves como dor intensa ou obstrução do trato urinário, risco de complicações como infecções recorrentes ou condições subjacentes que aumentam o risco de formação de cálculos</w:t>
      </w:r>
      <w:r w:rsidR="00FF08B1">
        <w:t>. Em casos de obstrução e infecção, deve-se realizar primeiramente a desobstrução da via urinária, sendo esta</w:t>
      </w:r>
      <w:r w:rsidR="00281264">
        <w:t xml:space="preserve"> </w:t>
      </w:r>
      <w:r w:rsidR="00FF08B1">
        <w:t>um</w:t>
      </w:r>
      <w:r w:rsidR="00281264">
        <w:t xml:space="preserve">a </w:t>
      </w:r>
      <w:r w:rsidR="00FF08B1">
        <w:t>emergência urológica</w:t>
      </w:r>
      <w:r w:rsidR="00843D00" w:rsidRPr="00843D00">
        <w:t>.</w:t>
      </w:r>
      <w:r w:rsidR="008E51F0">
        <w:t xml:space="preserve"> A LECO é uma opção de tratamento não invasiva e geralmente segura para cálculos renais ou ureterais com tamanho inferior a 20mm, mas sua eficácia pode variar dependendo do tipo e densidade do cálculo. A litotripsia por </w:t>
      </w:r>
      <w:proofErr w:type="spellStart"/>
      <w:r w:rsidR="008E51F0">
        <w:t>ureterorrenoscopia</w:t>
      </w:r>
      <w:proofErr w:type="spellEnd"/>
      <w:r w:rsidR="008E51F0">
        <w:t xml:space="preserve"> é um </w:t>
      </w:r>
      <w:proofErr w:type="spellStart"/>
      <w:r w:rsidR="008E51F0">
        <w:t>procemento</w:t>
      </w:r>
      <w:proofErr w:type="spellEnd"/>
      <w:r w:rsidR="008E51F0">
        <w:t xml:space="preserve"> minimante invasivo</w:t>
      </w:r>
      <w:r w:rsidR="00FB5DD9">
        <w:t>, indicado</w:t>
      </w:r>
      <w:r w:rsidR="00234F31">
        <w:t xml:space="preserve"> principalmente</w:t>
      </w:r>
      <w:r w:rsidR="00FB5DD9">
        <w:t xml:space="preserve"> para cálculos impactados em ureter distal</w:t>
      </w:r>
      <w:r w:rsidR="0042230D">
        <w:t xml:space="preserve">. Na </w:t>
      </w:r>
      <w:proofErr w:type="spellStart"/>
      <w:r w:rsidR="0042230D">
        <w:t>ureterorrenoscopia</w:t>
      </w:r>
      <w:proofErr w:type="spellEnd"/>
      <w:r w:rsidR="0042230D">
        <w:t xml:space="preserve">, um </w:t>
      </w:r>
      <w:proofErr w:type="spellStart"/>
      <w:r w:rsidR="0042230D">
        <w:t>ureteroscópio</w:t>
      </w:r>
      <w:proofErr w:type="spellEnd"/>
      <w:r w:rsidR="0042230D">
        <w:t xml:space="preserve"> é introduzido</w:t>
      </w:r>
      <w:r w:rsidR="005848A0">
        <w:t xml:space="preserve"> no óstio ureteral</w:t>
      </w:r>
      <w:r w:rsidR="0042230D">
        <w:t xml:space="preserve"> sob visão </w:t>
      </w:r>
      <w:proofErr w:type="spellStart"/>
      <w:r w:rsidR="0042230D">
        <w:t>cistoscópica</w:t>
      </w:r>
      <w:proofErr w:type="spellEnd"/>
      <w:r w:rsidR="0042230D">
        <w:t xml:space="preserve"> direta e </w:t>
      </w:r>
      <w:r w:rsidR="005848A0">
        <w:t>esse dispositivo tem a função de fragmentar o cálculo</w:t>
      </w:r>
      <w:r w:rsidR="0042230D">
        <w:t>.</w:t>
      </w:r>
      <w:r w:rsidR="00234F31">
        <w:t xml:space="preserve"> </w:t>
      </w:r>
      <w:r w:rsidR="00234F31" w:rsidRPr="00234F31">
        <w:t xml:space="preserve">A nefrolitotomia percutânea é </w:t>
      </w:r>
      <w:r w:rsidR="005848A0">
        <w:t xml:space="preserve">feita por uma punção percutânea do rim por meio da qual será introduzido o </w:t>
      </w:r>
      <w:proofErr w:type="spellStart"/>
      <w:r w:rsidR="005848A0">
        <w:t>nefroscópio</w:t>
      </w:r>
      <w:proofErr w:type="spellEnd"/>
      <w:r w:rsidR="005848A0">
        <w:t xml:space="preserve"> e o fórcipe que remove o cálculo</w:t>
      </w:r>
      <w:r w:rsidR="003D34EC">
        <w:t>.</w:t>
      </w:r>
      <w:r w:rsidR="00843D00">
        <w:t xml:space="preserve"> </w:t>
      </w:r>
      <w:r w:rsidR="004832B9">
        <w:rPr>
          <w:b/>
          <w:bCs/>
        </w:rPr>
        <w:t>Conclusões:</w:t>
      </w:r>
      <w:r w:rsidR="003D34EC">
        <w:rPr>
          <w:b/>
          <w:bCs/>
        </w:rPr>
        <w:t xml:space="preserve"> </w:t>
      </w:r>
      <w:r w:rsidR="003D34EC">
        <w:t>O tratamento cirúrgico oferece diversas técnicas as quais devem ser escolhidas com base nas características do cálculo, sua localização e condições do paciente, de modo que são cada vez mais utilizados métodos pouco invasivos</w:t>
      </w:r>
      <w:r w:rsidR="007D69A0">
        <w:t xml:space="preserve"> com resultados satisfatórios</w:t>
      </w:r>
      <w:r w:rsidR="003D34EC">
        <w:t xml:space="preserve"> e raramente é necessária a cirurgia aberta</w:t>
      </w:r>
      <w:r w:rsidR="00D4407C">
        <w:t>.</w:t>
      </w:r>
    </w:p>
    <w:p w14:paraId="067E05D9" w14:textId="0CC5B3E0" w:rsidR="008675AD" w:rsidRDefault="008675AD" w:rsidP="008F17A6">
      <w:pPr>
        <w:spacing w:line="360" w:lineRule="auto"/>
        <w:ind w:left="0" w:firstLine="0"/>
      </w:pPr>
      <w:r w:rsidRPr="008675AD">
        <w:rPr>
          <w:b/>
          <w:bCs/>
        </w:rPr>
        <w:t>Palavras-chave:</w:t>
      </w:r>
      <w:r w:rsidRPr="008675AD">
        <w:t xml:space="preserve"> </w:t>
      </w:r>
      <w:r w:rsidR="008F17A6">
        <w:t>Litíase</w:t>
      </w:r>
      <w:r w:rsidRPr="008675AD">
        <w:t xml:space="preserve">. </w:t>
      </w:r>
      <w:r w:rsidR="005C501E">
        <w:t>Tratamento</w:t>
      </w:r>
      <w:r w:rsidRPr="008675AD">
        <w:t xml:space="preserve">. </w:t>
      </w:r>
      <w:r w:rsidR="005C501E">
        <w:t>Cirurgia</w:t>
      </w:r>
      <w:r w:rsidRPr="008675AD">
        <w:t>.</w:t>
      </w:r>
    </w:p>
    <w:p w14:paraId="70AE5AEE" w14:textId="77777777" w:rsidR="000248ED" w:rsidRPr="008675AD" w:rsidRDefault="000248ED" w:rsidP="008F17A6">
      <w:pPr>
        <w:spacing w:line="360" w:lineRule="auto"/>
        <w:ind w:left="0" w:firstLine="0"/>
      </w:pPr>
    </w:p>
    <w:p w14:paraId="106020DA" w14:textId="524BC5CB" w:rsidR="00EF6364" w:rsidRPr="008675AD" w:rsidRDefault="008675AD" w:rsidP="0071293D">
      <w:pPr>
        <w:spacing w:line="360" w:lineRule="auto"/>
        <w:ind w:left="0" w:firstLine="0"/>
      </w:pPr>
      <w:r w:rsidRPr="005C501E">
        <w:rPr>
          <w:b/>
          <w:bCs/>
        </w:rPr>
        <w:t>Área Temática:</w:t>
      </w:r>
      <w:r w:rsidRPr="008675AD">
        <w:t xml:space="preserve"> </w:t>
      </w:r>
      <w:r>
        <w:rPr>
          <w:color w:val="000000"/>
          <w:szCs w:val="24"/>
        </w:rPr>
        <w:t>Emergência</w:t>
      </w:r>
      <w:r w:rsidR="00C00D13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Cirúrgicas</w:t>
      </w:r>
      <w:r w:rsidR="005C501E">
        <w:rPr>
          <w:color w:val="000000"/>
          <w:szCs w:val="24"/>
        </w:rPr>
        <w:t>.</w:t>
      </w:r>
    </w:p>
    <w:sectPr w:rsidR="00EF6364" w:rsidRPr="008675AD" w:rsidSect="001D3BD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373C"/>
    <w:multiLevelType w:val="hybridMultilevel"/>
    <w:tmpl w:val="8FD08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38"/>
    <w:rsid w:val="00003B37"/>
    <w:rsid w:val="000248ED"/>
    <w:rsid w:val="00041B56"/>
    <w:rsid w:val="00053827"/>
    <w:rsid w:val="001805D8"/>
    <w:rsid w:val="001B0005"/>
    <w:rsid w:val="001D3BD6"/>
    <w:rsid w:val="00231137"/>
    <w:rsid w:val="00234F31"/>
    <w:rsid w:val="00281264"/>
    <w:rsid w:val="00323610"/>
    <w:rsid w:val="00326979"/>
    <w:rsid w:val="003407CB"/>
    <w:rsid w:val="00343D5F"/>
    <w:rsid w:val="00344F1E"/>
    <w:rsid w:val="003C3D8D"/>
    <w:rsid w:val="003D34EC"/>
    <w:rsid w:val="003F2D01"/>
    <w:rsid w:val="0042230D"/>
    <w:rsid w:val="0046417D"/>
    <w:rsid w:val="004665AB"/>
    <w:rsid w:val="004832B9"/>
    <w:rsid w:val="004F4C30"/>
    <w:rsid w:val="00504FFE"/>
    <w:rsid w:val="0051746D"/>
    <w:rsid w:val="005608BD"/>
    <w:rsid w:val="005628AA"/>
    <w:rsid w:val="005848A0"/>
    <w:rsid w:val="005C501E"/>
    <w:rsid w:val="005E6F76"/>
    <w:rsid w:val="005F7E00"/>
    <w:rsid w:val="00607E87"/>
    <w:rsid w:val="00631BD4"/>
    <w:rsid w:val="0069216A"/>
    <w:rsid w:val="006F21DA"/>
    <w:rsid w:val="0071293D"/>
    <w:rsid w:val="00756EC1"/>
    <w:rsid w:val="007D69A0"/>
    <w:rsid w:val="007E60FC"/>
    <w:rsid w:val="007F7667"/>
    <w:rsid w:val="00820A82"/>
    <w:rsid w:val="00843D00"/>
    <w:rsid w:val="00860197"/>
    <w:rsid w:val="008675AD"/>
    <w:rsid w:val="00885AA0"/>
    <w:rsid w:val="008E51F0"/>
    <w:rsid w:val="008F17A6"/>
    <w:rsid w:val="00970700"/>
    <w:rsid w:val="00980B6F"/>
    <w:rsid w:val="00A04F0B"/>
    <w:rsid w:val="00A4774D"/>
    <w:rsid w:val="00AD0F2D"/>
    <w:rsid w:val="00B83F56"/>
    <w:rsid w:val="00B84920"/>
    <w:rsid w:val="00BB666F"/>
    <w:rsid w:val="00BE2138"/>
    <w:rsid w:val="00BF02EA"/>
    <w:rsid w:val="00C00D13"/>
    <w:rsid w:val="00C27C48"/>
    <w:rsid w:val="00C3587E"/>
    <w:rsid w:val="00C414AB"/>
    <w:rsid w:val="00CA184C"/>
    <w:rsid w:val="00CE52E0"/>
    <w:rsid w:val="00D41C79"/>
    <w:rsid w:val="00D4407C"/>
    <w:rsid w:val="00D52ECE"/>
    <w:rsid w:val="00E44B86"/>
    <w:rsid w:val="00EA03F3"/>
    <w:rsid w:val="00EC2946"/>
    <w:rsid w:val="00EE2C5D"/>
    <w:rsid w:val="00EF6364"/>
    <w:rsid w:val="00F4626B"/>
    <w:rsid w:val="00FB5DD9"/>
    <w:rsid w:val="00FD3250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C105"/>
  <w15:chartTrackingRefBased/>
  <w15:docId w15:val="{4B530FED-B4E0-4727-BBFF-9BDCC58F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97"/>
    <w:pPr>
      <w:spacing w:before="100" w:after="200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84920"/>
    <w:pPr>
      <w:spacing w:beforeAutospacing="1" w:after="100" w:afterAutospacing="1" w:line="240" w:lineRule="auto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74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849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4920"/>
    <w:pPr>
      <w:spacing w:beforeAutospacing="1" w:after="100" w:afterAutospacing="1" w:line="240" w:lineRule="auto"/>
      <w:ind w:left="0" w:firstLine="0"/>
      <w:jc w:val="left"/>
    </w:pPr>
    <w:rPr>
      <w:rFonts w:eastAsia="Times New Roman" w:cs="Times New Roman"/>
      <w:kern w:val="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Seiji Tutiya</dc:creator>
  <cp:keywords/>
  <dc:description/>
  <cp:lastModifiedBy>Lucas Seiji Tutiya</cp:lastModifiedBy>
  <cp:revision>58</cp:revision>
  <dcterms:created xsi:type="dcterms:W3CDTF">2023-04-18T15:18:00Z</dcterms:created>
  <dcterms:modified xsi:type="dcterms:W3CDTF">2024-03-14T00:47:00Z</dcterms:modified>
</cp:coreProperties>
</file>