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0FCA" w:rsidRDefault="000C051D">
      <w:pPr>
        <w:spacing w:before="120" w:after="12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62850" cy="1439685"/>
            <wp:effectExtent l="0" t="0" r="0" b="0"/>
            <wp:wrapTopAndBottom/>
            <wp:docPr id="1" name="Drawing 0" descr="ed8aa28e3503295dae27d69d47cb6a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ed8aa28e3503295dae27d69d47cb6a76.jpg"/>
                    <pic:cNvPicPr>
                      <a:picLocks noChangeAspect="1"/>
                    </pic:cNvPicPr>
                  </pic:nvPicPr>
                  <pic:blipFill>
                    <a:blip r:embed="rId4"/>
                    <a:srcRect t="5797" b="5797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439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0FCA" w:rsidRPr="001160DF" w:rsidRDefault="001160DF">
      <w:pPr>
        <w:spacing w:before="120" w:after="120" w:line="33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160DF">
        <w:rPr>
          <w:rFonts w:ascii="Times New Roman" w:eastAsia="Times New Roman Bold" w:hAnsi="Times New Roman" w:cs="Times New Roman"/>
          <w:b/>
          <w:bCs/>
          <w:color w:val="000000"/>
          <w:sz w:val="24"/>
          <w:szCs w:val="24"/>
        </w:rPr>
        <w:t>ABORDAGEM INICIAL EM PERIODONTITE AVANÇADA</w:t>
      </w:r>
      <w:r w:rsidR="000C051D" w:rsidRPr="001160DF">
        <w:rPr>
          <w:rFonts w:ascii="Times New Roman" w:eastAsia="Times New Roman Bold" w:hAnsi="Times New Roman" w:cs="Times New Roman"/>
          <w:b/>
          <w:bCs/>
          <w:color w:val="000000"/>
          <w:sz w:val="24"/>
          <w:szCs w:val="24"/>
        </w:rPr>
        <w:t xml:space="preserve">: </w:t>
      </w:r>
      <w:r w:rsidRPr="001160DF">
        <w:rPr>
          <w:rFonts w:ascii="Times New Roman" w:eastAsia="Times New Roman Bold" w:hAnsi="Times New Roman" w:cs="Times New Roman"/>
          <w:b/>
          <w:bCs/>
          <w:color w:val="000000"/>
          <w:sz w:val="24"/>
          <w:szCs w:val="24"/>
        </w:rPr>
        <w:t>R</w:t>
      </w:r>
      <w:r w:rsidR="000C051D" w:rsidRPr="001160DF">
        <w:rPr>
          <w:rFonts w:ascii="Times New Roman" w:eastAsia="Times New Roman Bold" w:hAnsi="Times New Roman" w:cs="Times New Roman"/>
          <w:b/>
          <w:bCs/>
          <w:color w:val="000000"/>
          <w:sz w:val="24"/>
          <w:szCs w:val="24"/>
        </w:rPr>
        <w:t>ELATO</w:t>
      </w:r>
      <w:r w:rsidR="000C051D" w:rsidRPr="001160DF">
        <w:rPr>
          <w:rFonts w:ascii="Times New Roman" w:eastAsia="Calibri (MS) Bold" w:hAnsi="Times New Roman" w:cs="Times New Roman"/>
          <w:b/>
          <w:bCs/>
          <w:color w:val="000000"/>
          <w:sz w:val="24"/>
          <w:szCs w:val="24"/>
        </w:rPr>
        <w:t xml:space="preserve"> </w:t>
      </w:r>
      <w:r w:rsidR="000C051D" w:rsidRPr="001160DF">
        <w:rPr>
          <w:rFonts w:ascii="Times New Roman" w:eastAsia="Times New Roman Bold" w:hAnsi="Times New Roman" w:cs="Times New Roman"/>
          <w:b/>
          <w:bCs/>
          <w:color w:val="000000"/>
          <w:sz w:val="24"/>
          <w:szCs w:val="24"/>
        </w:rPr>
        <w:t>DE</w:t>
      </w:r>
      <w:r w:rsidR="000C051D" w:rsidRPr="001160DF">
        <w:rPr>
          <w:rFonts w:ascii="Times New Roman" w:eastAsia="Calibri (MS) Bold" w:hAnsi="Times New Roman" w:cs="Times New Roman"/>
          <w:b/>
          <w:bCs/>
          <w:color w:val="000000"/>
          <w:sz w:val="24"/>
          <w:szCs w:val="24"/>
        </w:rPr>
        <w:t xml:space="preserve"> </w:t>
      </w:r>
      <w:r w:rsidR="000C051D" w:rsidRPr="001160DF">
        <w:rPr>
          <w:rFonts w:ascii="Times New Roman" w:eastAsia="Times New Roman Bold" w:hAnsi="Times New Roman" w:cs="Times New Roman"/>
          <w:b/>
          <w:bCs/>
          <w:color w:val="000000"/>
          <w:sz w:val="24"/>
          <w:szCs w:val="24"/>
        </w:rPr>
        <w:t xml:space="preserve">CASO¹ </w:t>
      </w:r>
    </w:p>
    <w:p w:rsidR="004B0FCA" w:rsidRDefault="000C051D">
      <w:pPr>
        <w:spacing w:before="120" w:after="120" w:line="336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 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Calibri (MS)" w:eastAsia="Calibri (MS)" w:hAnsi="Calibri (MS)" w:cs="Calibri (MS)"/>
          <w:color w:val="000000"/>
          <w:sz w:val="9"/>
          <w:szCs w:val="9"/>
        </w:rPr>
        <w:t xml:space="preserve"> </w:t>
      </w:r>
    </w:p>
    <w:p w:rsidR="004B0FCA" w:rsidRDefault="000C051D">
      <w:pPr>
        <w:spacing w:before="120" w:after="120" w:line="336" w:lineRule="auto"/>
      </w:pPr>
      <w:r>
        <w:rPr>
          <w:rFonts w:ascii="Calibri (MS)" w:eastAsia="Calibri (MS)" w:hAnsi="Calibri (MS)" w:cs="Calibri (MS)"/>
          <w:color w:val="000000"/>
          <w:sz w:val="24"/>
          <w:szCs w:val="24"/>
        </w:rPr>
        <w:t> </w:t>
      </w:r>
      <w:r>
        <w:rPr>
          <w:rFonts w:ascii="Calibri (MS)" w:eastAsia="Calibri (MS)" w:hAnsi="Calibri (MS)" w:cs="Calibri (MS)"/>
          <w:color w:val="000000"/>
          <w:sz w:val="24"/>
          <w:szCs w:val="24"/>
        </w:rPr>
        <w:br/>
      </w:r>
      <w:r>
        <w:rPr>
          <w:rFonts w:ascii="Calibri (MS) Bold" w:eastAsia="Calibri (MS) Bold" w:hAnsi="Calibri (MS) Bold" w:cs="Calibri (MS) Bold"/>
          <w:b/>
          <w:bCs/>
          <w:color w:val="000000"/>
          <w:sz w:val="28"/>
          <w:szCs w:val="28"/>
        </w:rPr>
        <w:t xml:space="preserve"> </w:t>
      </w:r>
    </w:p>
    <w:p w:rsidR="004B0FCA" w:rsidRDefault="000C051D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4B0FCA" w:rsidRDefault="001160DF">
      <w:pPr>
        <w:spacing w:before="120" w:after="120" w:line="336" w:lineRule="auto"/>
        <w:jc w:val="right"/>
      </w:pPr>
      <w:r>
        <w:rPr>
          <w:rFonts w:ascii="Arial Bold" w:eastAsia="Arial Bold" w:hAnsi="Arial Bold" w:cs="Arial Bold"/>
          <w:b/>
          <w:bCs/>
          <w:color w:val="000000"/>
        </w:rPr>
        <w:t>Mariana Do Carmo Gonçalves Teixeira Castelo BRANCO</w:t>
      </w:r>
      <w:r w:rsidR="000C051D">
        <w:rPr>
          <w:rFonts w:ascii="Arial Bold" w:eastAsia="Arial Bold" w:hAnsi="Arial Bold" w:cs="Arial Bold"/>
          <w:b/>
          <w:bCs/>
          <w:color w:val="000000"/>
        </w:rPr>
        <w:t xml:space="preserve">²* </w:t>
      </w:r>
      <w:r>
        <w:rPr>
          <w:rFonts w:ascii="Arial Bold" w:eastAsia="Arial Bold" w:hAnsi="Arial Bold" w:cs="Arial Bold"/>
          <w:b/>
          <w:bCs/>
          <w:color w:val="000000"/>
        </w:rPr>
        <w:t>marianacb0509@hotmail.com</w:t>
      </w:r>
    </w:p>
    <w:p w:rsidR="004B0FCA" w:rsidRDefault="001160DF">
      <w:pPr>
        <w:spacing w:before="120" w:after="120" w:line="336" w:lineRule="auto"/>
        <w:jc w:val="right"/>
      </w:pPr>
      <w:r>
        <w:rPr>
          <w:rFonts w:ascii="Arial Bold" w:eastAsia="Arial Bold" w:hAnsi="Arial Bold" w:cs="Arial Bold"/>
          <w:b/>
          <w:bCs/>
          <w:color w:val="000000"/>
        </w:rPr>
        <w:t>Ludmila</w:t>
      </w:r>
      <w:r w:rsidR="00EE2BD2">
        <w:rPr>
          <w:rFonts w:ascii="Arial Bold" w:eastAsia="Arial Bold" w:hAnsi="Arial Bold" w:cs="Arial Bold"/>
          <w:b/>
          <w:bCs/>
          <w:color w:val="000000"/>
        </w:rPr>
        <w:t xml:space="preserve"> De</w:t>
      </w:r>
      <w:r>
        <w:rPr>
          <w:rFonts w:ascii="Arial Bold" w:eastAsia="Arial Bold" w:hAnsi="Arial Bold" w:cs="Arial Bold"/>
          <w:b/>
          <w:bCs/>
          <w:color w:val="000000"/>
        </w:rPr>
        <w:t xml:space="preserve"> Araújo</w:t>
      </w:r>
      <w:r w:rsidR="00EE2BD2">
        <w:rPr>
          <w:rFonts w:ascii="Arial Bold" w:eastAsia="Arial Bold" w:hAnsi="Arial Bold" w:cs="Arial Bold"/>
          <w:b/>
          <w:bCs/>
          <w:color w:val="000000"/>
        </w:rPr>
        <w:t xml:space="preserve"> Rodrigues</w:t>
      </w:r>
      <w:r w:rsidR="000C051D">
        <w:rPr>
          <w:rFonts w:ascii="Arial Bold" w:eastAsia="Arial Bold" w:hAnsi="Arial Bold" w:cs="Arial Bold"/>
          <w:b/>
          <w:bCs/>
          <w:color w:val="000000"/>
        </w:rPr>
        <w:t xml:space="preserve">³ </w:t>
      </w:r>
    </w:p>
    <w:p w:rsidR="004B0FCA" w:rsidRDefault="001160DF">
      <w:pPr>
        <w:spacing w:before="120" w:after="120" w:line="336" w:lineRule="auto"/>
        <w:jc w:val="right"/>
      </w:pPr>
      <w:r>
        <w:rPr>
          <w:rFonts w:ascii="Arial Bold" w:eastAsia="Arial Bold" w:hAnsi="Arial Bold" w:cs="Arial Bold"/>
          <w:b/>
          <w:bCs/>
          <w:color w:val="000000"/>
        </w:rPr>
        <w:t>Thais</w:t>
      </w:r>
      <w:r w:rsidR="00EE2BD2">
        <w:rPr>
          <w:rFonts w:ascii="Arial Bold" w:eastAsia="Arial Bold" w:hAnsi="Arial Bold" w:cs="Arial Bold"/>
          <w:b/>
          <w:bCs/>
          <w:color w:val="000000"/>
        </w:rPr>
        <w:t xml:space="preserve"> Oliveira Cordeiro</w:t>
      </w:r>
      <w:r w:rsidR="000C051D">
        <w:rPr>
          <w:rFonts w:ascii="Arial Bold" w:eastAsia="Arial Bold" w:hAnsi="Arial Bold" w:cs="Arial Bold"/>
          <w:b/>
          <w:bCs/>
          <w:color w:val="000000"/>
        </w:rPr>
        <w:t xml:space="preserve">⁴ </w:t>
      </w:r>
    </w:p>
    <w:p w:rsidR="004B0FCA" w:rsidRDefault="000C051D">
      <w:pPr>
        <w:spacing w:before="120" w:after="120" w:line="336" w:lineRule="auto"/>
      </w:pPr>
      <w:r>
        <w:rPr>
          <w:rFonts w:ascii="Calibri (MS)" w:eastAsia="Calibri (MS)" w:hAnsi="Calibri (MS)" w:cs="Calibri (MS)"/>
          <w:color w:val="000000"/>
          <w:sz w:val="24"/>
          <w:szCs w:val="24"/>
        </w:rPr>
        <w:t> </w:t>
      </w:r>
      <w:r>
        <w:rPr>
          <w:rFonts w:ascii="Calibri (MS)" w:eastAsia="Calibri (MS)" w:hAnsi="Calibri (MS)" w:cs="Calibri (MS)"/>
          <w:color w:val="000000"/>
          <w:sz w:val="24"/>
          <w:szCs w:val="24"/>
        </w:rPr>
        <w:br/>
        <w:t> </w:t>
      </w:r>
      <w:r>
        <w:rPr>
          <w:rFonts w:ascii="Calibri (MS)" w:eastAsia="Calibri (MS)" w:hAnsi="Calibri (MS)" w:cs="Calibri (MS)"/>
          <w:color w:val="000000"/>
          <w:sz w:val="24"/>
          <w:szCs w:val="24"/>
        </w:rPr>
        <w:br/>
      </w:r>
      <w:r>
        <w:rPr>
          <w:rFonts w:ascii="Calibri (MS)" w:eastAsia="Calibri (MS)" w:hAnsi="Calibri (MS)" w:cs="Calibri (MS)"/>
          <w:color w:val="000000"/>
          <w:sz w:val="9"/>
          <w:szCs w:val="9"/>
        </w:rPr>
        <w:t xml:space="preserve"> </w:t>
      </w:r>
    </w:p>
    <w:p w:rsidR="004B0FCA" w:rsidRDefault="004B0FCA">
      <w:pPr>
        <w:spacing w:before="120" w:after="120" w:line="336" w:lineRule="auto"/>
      </w:pPr>
      <w:bookmarkStart w:id="0" w:name="_GoBack"/>
      <w:bookmarkEnd w:id="0"/>
    </w:p>
    <w:p w:rsidR="001C272E" w:rsidRDefault="001C272E" w:rsidP="001C272E">
      <w:pPr>
        <w:spacing w:before="120" w:after="120" w:line="336" w:lineRule="auto"/>
        <w:jc w:val="center"/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 xml:space="preserve">RESUMO </w:t>
      </w:r>
    </w:p>
    <w:p w:rsidR="001C272E" w:rsidRDefault="001C272E" w:rsidP="001C272E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 xml:space="preserve"> </w:t>
      </w:r>
    </w:p>
    <w:p w:rsidR="001C272E" w:rsidRDefault="001C272E" w:rsidP="001C272E">
      <w:pPr>
        <w:pStyle w:val="Default"/>
      </w:pPr>
      <w:r>
        <w:rPr>
          <w:rFonts w:ascii="Arial Bold" w:eastAsia="Arial Bold" w:hAnsi="Arial Bold" w:cs="Arial Bold"/>
          <w:b/>
          <w:bCs/>
        </w:rPr>
        <w:t>INTRODUÇÃO</w:t>
      </w:r>
      <w:r>
        <w:rPr>
          <w:rFonts w:eastAsia="Arial"/>
        </w:rPr>
        <w:t xml:space="preserve">: </w:t>
      </w:r>
    </w:p>
    <w:p w:rsidR="001C272E" w:rsidRPr="006C0203" w:rsidRDefault="001C272E" w:rsidP="001C272E">
      <w:pPr>
        <w:spacing w:before="120" w:after="120" w:line="336" w:lineRule="auto"/>
        <w:jc w:val="both"/>
        <w:rPr>
          <w:sz w:val="24"/>
          <w:szCs w:val="24"/>
        </w:rPr>
      </w:pPr>
      <w:r w:rsidRPr="00E61DF5">
        <w:rPr>
          <w:rFonts w:ascii="Arial" w:hAnsi="Arial" w:cs="Arial"/>
          <w:sz w:val="24"/>
          <w:szCs w:val="24"/>
        </w:rPr>
        <w:t xml:space="preserve">A periodontite avançada é uma doença inflamatória destrutiva que afeta os tecidos de suporte dos dentes, podendo levar à perda dentária. Mesmo em pacientes </w:t>
      </w:r>
      <w:r>
        <w:rPr>
          <w:rFonts w:ascii="Arial" w:hAnsi="Arial" w:cs="Arial"/>
          <w:sz w:val="24"/>
          <w:szCs w:val="24"/>
        </w:rPr>
        <w:t>sem comorbidades sistêmicas</w:t>
      </w:r>
      <w:r w:rsidRPr="00E61DF5">
        <w:rPr>
          <w:rFonts w:ascii="Arial" w:hAnsi="Arial" w:cs="Arial"/>
          <w:sz w:val="24"/>
          <w:szCs w:val="24"/>
        </w:rPr>
        <w:t>, sua progressão pode ser acelerada, exigindo uma abordagem clínica cuidadosa desde o diagnóstico. A identificação precoce, associada a uma avaliação detalhada dos fatores de risco e da extensão do comprometimento periodontal, é essencial para o sucesso do tratamento.</w:t>
      </w:r>
      <w:r>
        <w:t xml:space="preserve"> </w:t>
      </w: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 xml:space="preserve">RELATO DE CASO: </w:t>
      </w:r>
      <w:r w:rsidRPr="000C051D">
        <w:rPr>
          <w:rFonts w:ascii="Arial" w:hAnsi="Arial" w:cs="Arial"/>
          <w:sz w:val="24"/>
          <w:szCs w:val="24"/>
        </w:rPr>
        <w:t xml:space="preserve">Paciente do sexo masculino, 53 anos, </w:t>
      </w:r>
      <w:proofErr w:type="spellStart"/>
      <w:r w:rsidRPr="000C051D">
        <w:rPr>
          <w:rFonts w:ascii="Arial" w:hAnsi="Arial" w:cs="Arial"/>
          <w:sz w:val="24"/>
          <w:szCs w:val="24"/>
        </w:rPr>
        <w:t>normossistêmico</w:t>
      </w:r>
      <w:proofErr w:type="spellEnd"/>
      <w:r w:rsidRPr="000C051D">
        <w:rPr>
          <w:rFonts w:ascii="Arial" w:hAnsi="Arial" w:cs="Arial"/>
          <w:sz w:val="24"/>
          <w:szCs w:val="24"/>
        </w:rPr>
        <w:t xml:space="preserve">, compareceu à Clínica Escola do Centro Universitário Santo </w:t>
      </w:r>
      <w:r w:rsidRPr="000C051D">
        <w:rPr>
          <w:rFonts w:ascii="Arial" w:hAnsi="Arial" w:cs="Arial"/>
          <w:sz w:val="24"/>
          <w:szCs w:val="24"/>
        </w:rPr>
        <w:lastRenderedPageBreak/>
        <w:t xml:space="preserve">Agostinho (UNIFSA) queixando-se de mobilidade dentária e halitose, relatando desconforto estético e funcional. Foi realizado exame clínico, sondagem periodontal </w:t>
      </w:r>
      <w:r>
        <w:rPr>
          <w:rFonts w:ascii="Arial" w:hAnsi="Arial" w:cs="Arial"/>
          <w:sz w:val="24"/>
          <w:szCs w:val="24"/>
        </w:rPr>
        <w:t>e</w:t>
      </w:r>
      <w:r w:rsidRPr="000C051D">
        <w:rPr>
          <w:rFonts w:ascii="Arial" w:hAnsi="Arial" w:cs="Arial"/>
          <w:sz w:val="24"/>
          <w:szCs w:val="24"/>
        </w:rPr>
        <w:t xml:space="preserve"> radiografias, que evidenciaram ausência de alguns elementos dentários e acúmulo generalizado de cálculo </w:t>
      </w:r>
      <w:proofErr w:type="spellStart"/>
      <w:r w:rsidRPr="000C051D">
        <w:rPr>
          <w:rFonts w:ascii="Arial" w:hAnsi="Arial" w:cs="Arial"/>
          <w:sz w:val="24"/>
          <w:szCs w:val="24"/>
        </w:rPr>
        <w:t>supragengival</w:t>
      </w:r>
      <w:proofErr w:type="spellEnd"/>
      <w:r w:rsidRPr="000C051D">
        <w:rPr>
          <w:rFonts w:ascii="Arial" w:hAnsi="Arial" w:cs="Arial"/>
          <w:sz w:val="24"/>
          <w:szCs w:val="24"/>
        </w:rPr>
        <w:t xml:space="preserve">. Observou-se perda óssea horizontal e vertical. O caso foi diagnosticado como periodontite estágio IV, grau C, com progressão rápida e comprometimento funcional. A conduta inicial foi a raspagem </w:t>
      </w:r>
      <w:proofErr w:type="spellStart"/>
      <w:r w:rsidRPr="000C051D">
        <w:rPr>
          <w:rFonts w:ascii="Arial" w:hAnsi="Arial" w:cs="Arial"/>
          <w:sz w:val="24"/>
          <w:szCs w:val="24"/>
        </w:rPr>
        <w:t>supragengival</w:t>
      </w:r>
      <w:proofErr w:type="spellEnd"/>
      <w:r w:rsidRPr="000C051D">
        <w:rPr>
          <w:rFonts w:ascii="Arial" w:hAnsi="Arial" w:cs="Arial"/>
          <w:sz w:val="24"/>
          <w:szCs w:val="24"/>
        </w:rPr>
        <w:t>, visando controle da inflamação e preparo para fases subsequentes do tratamento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 xml:space="preserve">CONSIDERAÇÕES:  </w:t>
      </w:r>
      <w:r w:rsidRPr="00BA4B2C">
        <w:rPr>
          <w:rFonts w:ascii="Arial" w:hAnsi="Arial" w:cs="Arial"/>
          <w:sz w:val="24"/>
          <w:szCs w:val="24"/>
        </w:rPr>
        <w:t>Quadros avançados de periodontite</w:t>
      </w:r>
      <w:r>
        <w:rPr>
          <w:rFonts w:ascii="Arial" w:hAnsi="Arial" w:cs="Arial"/>
          <w:sz w:val="24"/>
          <w:szCs w:val="24"/>
        </w:rPr>
        <w:t>, mesmo</w:t>
      </w:r>
      <w:r>
        <w:t xml:space="preserve"> </w:t>
      </w:r>
      <w:r w:rsidRPr="006C0203">
        <w:rPr>
          <w:rFonts w:ascii="Arial" w:hAnsi="Arial" w:cs="Arial"/>
          <w:sz w:val="24"/>
          <w:szCs w:val="24"/>
        </w:rPr>
        <w:t xml:space="preserve">em pacientes </w:t>
      </w:r>
      <w:proofErr w:type="spellStart"/>
      <w:r w:rsidRPr="006C0203">
        <w:rPr>
          <w:rFonts w:ascii="Arial" w:hAnsi="Arial" w:cs="Arial"/>
          <w:sz w:val="24"/>
          <w:szCs w:val="24"/>
        </w:rPr>
        <w:t>normossistêmicos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r w:rsidRPr="0076452A">
        <w:rPr>
          <w:rFonts w:ascii="Arial" w:hAnsi="Arial" w:cs="Arial"/>
          <w:sz w:val="24"/>
          <w:szCs w:val="24"/>
        </w:rPr>
        <w:t>exige</w:t>
      </w:r>
      <w:r>
        <w:rPr>
          <w:rFonts w:ascii="Arial" w:hAnsi="Arial" w:cs="Arial"/>
          <w:sz w:val="24"/>
          <w:szCs w:val="24"/>
        </w:rPr>
        <w:t>m</w:t>
      </w:r>
      <w:r w:rsidRPr="0076452A">
        <w:rPr>
          <w:rFonts w:ascii="Arial" w:hAnsi="Arial" w:cs="Arial"/>
          <w:sz w:val="24"/>
          <w:szCs w:val="24"/>
        </w:rPr>
        <w:t xml:space="preserve"> um plano terapêutico adequado desde o diagnóstico.</w:t>
      </w:r>
      <w:r>
        <w:t xml:space="preserve"> </w:t>
      </w:r>
      <w:r w:rsidRPr="006C0203">
        <w:rPr>
          <w:rFonts w:ascii="Arial" w:hAnsi="Arial" w:cs="Arial"/>
          <w:sz w:val="24"/>
          <w:szCs w:val="24"/>
        </w:rPr>
        <w:t xml:space="preserve">A raspagem </w:t>
      </w:r>
      <w:proofErr w:type="spellStart"/>
      <w:r w:rsidRPr="006C0203">
        <w:rPr>
          <w:rFonts w:ascii="Arial" w:hAnsi="Arial" w:cs="Arial"/>
          <w:sz w:val="24"/>
          <w:szCs w:val="24"/>
        </w:rPr>
        <w:t>supragengival</w:t>
      </w:r>
      <w:proofErr w:type="spellEnd"/>
      <w:r w:rsidRPr="006C020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mostrou-se </w:t>
      </w:r>
      <w:r w:rsidRPr="006C0203">
        <w:rPr>
          <w:rFonts w:ascii="Arial" w:hAnsi="Arial" w:cs="Arial"/>
          <w:sz w:val="24"/>
          <w:szCs w:val="24"/>
        </w:rPr>
        <w:t xml:space="preserve">eficaz na </w:t>
      </w:r>
      <w:r w:rsidRPr="003126BD">
        <w:rPr>
          <w:rFonts w:ascii="Arial" w:hAnsi="Arial" w:cs="Arial"/>
          <w:sz w:val="24"/>
          <w:szCs w:val="24"/>
        </w:rPr>
        <w:t>redução</w:t>
      </w:r>
      <w:r>
        <w:rPr>
          <w:rFonts w:ascii="Arial" w:hAnsi="Arial" w:cs="Arial"/>
          <w:sz w:val="24"/>
          <w:szCs w:val="24"/>
        </w:rPr>
        <w:t xml:space="preserve"> d</w:t>
      </w:r>
      <w:r w:rsidRPr="003126BD">
        <w:rPr>
          <w:rFonts w:ascii="Arial" w:hAnsi="Arial" w:cs="Arial"/>
          <w:sz w:val="24"/>
          <w:szCs w:val="24"/>
        </w:rPr>
        <w:t xml:space="preserve">a carga bacteriana e </w:t>
      </w:r>
      <w:r>
        <w:rPr>
          <w:rFonts w:ascii="Arial" w:hAnsi="Arial" w:cs="Arial"/>
          <w:sz w:val="24"/>
          <w:szCs w:val="24"/>
        </w:rPr>
        <w:t xml:space="preserve">do processo inflamatório. O </w:t>
      </w:r>
      <w:r w:rsidRPr="003126BD">
        <w:rPr>
          <w:rFonts w:ascii="Arial" w:hAnsi="Arial" w:cs="Arial"/>
          <w:sz w:val="24"/>
          <w:szCs w:val="24"/>
        </w:rPr>
        <w:t>acompanhamento contínuo</w:t>
      </w:r>
      <w:r>
        <w:rPr>
          <w:rFonts w:ascii="Arial" w:hAnsi="Arial" w:cs="Arial"/>
          <w:sz w:val="24"/>
          <w:szCs w:val="24"/>
        </w:rPr>
        <w:t xml:space="preserve"> é</w:t>
      </w:r>
      <w:r w:rsidRPr="003126BD">
        <w:rPr>
          <w:rFonts w:ascii="Arial" w:hAnsi="Arial" w:cs="Arial"/>
          <w:sz w:val="24"/>
          <w:szCs w:val="24"/>
        </w:rPr>
        <w:t xml:space="preserve"> essencia</w:t>
      </w:r>
      <w:r>
        <w:rPr>
          <w:rFonts w:ascii="Arial" w:hAnsi="Arial" w:cs="Arial"/>
          <w:sz w:val="24"/>
          <w:szCs w:val="24"/>
        </w:rPr>
        <w:t>l</w:t>
      </w:r>
      <w:r w:rsidRPr="003126BD">
        <w:rPr>
          <w:rFonts w:ascii="Arial" w:hAnsi="Arial" w:cs="Arial"/>
          <w:sz w:val="24"/>
          <w:szCs w:val="24"/>
        </w:rPr>
        <w:t xml:space="preserve"> para </w:t>
      </w:r>
      <w:r>
        <w:rPr>
          <w:rFonts w:ascii="Arial" w:hAnsi="Arial" w:cs="Arial"/>
          <w:sz w:val="24"/>
          <w:szCs w:val="24"/>
        </w:rPr>
        <w:t xml:space="preserve">manter a </w:t>
      </w:r>
      <w:r w:rsidRPr="003126BD">
        <w:rPr>
          <w:rFonts w:ascii="Arial" w:hAnsi="Arial" w:cs="Arial"/>
          <w:sz w:val="24"/>
          <w:szCs w:val="24"/>
        </w:rPr>
        <w:t>saúde periodontal a longo prazo</w:t>
      </w:r>
      <w:r>
        <w:rPr>
          <w:rFonts w:ascii="Arial" w:hAnsi="Arial" w:cs="Arial"/>
          <w:sz w:val="24"/>
          <w:szCs w:val="24"/>
        </w:rPr>
        <w:t>.</w:t>
      </w:r>
    </w:p>
    <w:p w:rsidR="004B0FCA" w:rsidRDefault="000C051D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4B0FCA" w:rsidRDefault="000C051D">
      <w:pPr>
        <w:spacing w:before="120" w:after="120" w:line="336" w:lineRule="auto"/>
      </w:pPr>
      <w:r>
        <w:rPr>
          <w:rFonts w:ascii="Arial Bold" w:eastAsia="Arial Bold" w:hAnsi="Arial Bold" w:cs="Arial Bold"/>
          <w:b/>
          <w:bCs/>
          <w:color w:val="000000"/>
          <w:sz w:val="24"/>
          <w:szCs w:val="24"/>
        </w:rPr>
        <w:t>Descritores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:; </w:t>
      </w:r>
      <w:r w:rsidR="006C0203">
        <w:rPr>
          <w:rFonts w:ascii="Arial" w:eastAsia="Arial" w:hAnsi="Arial" w:cs="Arial"/>
          <w:color w:val="000000"/>
          <w:sz w:val="24"/>
          <w:szCs w:val="24"/>
        </w:rPr>
        <w:t xml:space="preserve">Tratamento periodontal; Raspagem </w:t>
      </w:r>
      <w:proofErr w:type="spellStart"/>
      <w:r w:rsidR="006C0203">
        <w:rPr>
          <w:rFonts w:ascii="Arial" w:eastAsia="Arial" w:hAnsi="Arial" w:cs="Arial"/>
          <w:color w:val="000000"/>
          <w:sz w:val="24"/>
          <w:szCs w:val="24"/>
        </w:rPr>
        <w:t>supragengival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;</w:t>
      </w:r>
      <w:r w:rsidR="006C0203">
        <w:rPr>
          <w:rFonts w:ascii="Arial" w:eastAsia="Arial" w:hAnsi="Arial" w:cs="Arial"/>
          <w:color w:val="000000"/>
          <w:sz w:val="24"/>
          <w:szCs w:val="24"/>
        </w:rPr>
        <w:t xml:space="preserve"> Mobilidade dentária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</w:p>
    <w:p w:rsidR="004B0FCA" w:rsidRDefault="000C051D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4B0FCA" w:rsidRDefault="000C051D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4"/>
          <w:szCs w:val="24"/>
        </w:rPr>
        <w:t> </w:t>
      </w:r>
      <w:r>
        <w:rPr>
          <w:rFonts w:ascii="Arial" w:eastAsia="Arial" w:hAnsi="Arial" w:cs="Arial"/>
          <w:color w:val="000000"/>
          <w:sz w:val="24"/>
          <w:szCs w:val="24"/>
        </w:rPr>
        <w:br/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</w:p>
    <w:p w:rsidR="004B0FCA" w:rsidRDefault="000C051D">
      <w:pPr>
        <w:spacing w:before="120" w:after="120" w:line="336" w:lineRule="auto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:rsidR="004B0FCA" w:rsidRDefault="000C051D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4B0FCA" w:rsidRDefault="000C051D">
      <w:pPr>
        <w:spacing w:before="120" w:after="120" w:line="360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4B0FCA" w:rsidRDefault="000C051D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p w:rsidR="004B0FCA" w:rsidRDefault="000C051D">
      <w:pPr>
        <w:spacing w:before="120" w:after="120" w:line="336" w:lineRule="auto"/>
      </w:pPr>
      <w:r>
        <w:rPr>
          <w:rFonts w:ascii="Arimo" w:eastAsia="Arimo" w:hAnsi="Arimo" w:cs="Arimo"/>
          <w:color w:val="000000"/>
          <w:sz w:val="24"/>
          <w:szCs w:val="24"/>
        </w:rPr>
        <w:t xml:space="preserve"> </w:t>
      </w:r>
    </w:p>
    <w:sectPr w:rsidR="004B0FCA">
      <w:pgSz w:w="11910" w:h="16845"/>
      <w:pgMar w:top="1417" w:right="1701" w:bottom="1417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B7ECCB2-9CCE-45B5-B203-FE0AF07A0D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altName w:val="Times New Roman"/>
    <w:charset w:val="00"/>
    <w:family w:val="auto"/>
    <w:pitch w:val="default"/>
  </w:font>
  <w:font w:name="Calibri (MS) Bold">
    <w:altName w:val="Calibri"/>
    <w:charset w:val="00"/>
    <w:family w:val="auto"/>
    <w:pitch w:val="default"/>
  </w:font>
  <w:font w:name="Calibri (MS)">
    <w:altName w:val="Calibri"/>
    <w:charset w:val="00"/>
    <w:family w:val="auto"/>
    <w:pitch w:val="default"/>
  </w:font>
  <w:font w:name="Arimo">
    <w:charset w:val="00"/>
    <w:family w:val="auto"/>
    <w:pitch w:val="default"/>
    <w:embedRegular r:id="rId2" w:fontKey="{DA12F513-F8BE-4881-8CD9-42C82B798A80}"/>
  </w:font>
  <w:font w:name="Arial Bold">
    <w:altName w:val="Arial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72DCC010-6439-4EA4-BEAB-ECD49B6B39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425"/>
  <w:doNotShadeFormData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FCA"/>
    <w:rsid w:val="00067F60"/>
    <w:rsid w:val="000C051D"/>
    <w:rsid w:val="001160DF"/>
    <w:rsid w:val="001C272E"/>
    <w:rsid w:val="001D47B2"/>
    <w:rsid w:val="003126BD"/>
    <w:rsid w:val="003175A4"/>
    <w:rsid w:val="003461DF"/>
    <w:rsid w:val="003E0A11"/>
    <w:rsid w:val="004873A9"/>
    <w:rsid w:val="004B0FCA"/>
    <w:rsid w:val="005D1DD9"/>
    <w:rsid w:val="006C0203"/>
    <w:rsid w:val="007369EB"/>
    <w:rsid w:val="0076452A"/>
    <w:rsid w:val="007747DD"/>
    <w:rsid w:val="00775C7C"/>
    <w:rsid w:val="008E42D5"/>
    <w:rsid w:val="009A0DE4"/>
    <w:rsid w:val="00A303D5"/>
    <w:rsid w:val="00A54017"/>
    <w:rsid w:val="00B36012"/>
    <w:rsid w:val="00B41021"/>
    <w:rsid w:val="00BA4B2C"/>
    <w:rsid w:val="00BB72EE"/>
    <w:rsid w:val="00D3234D"/>
    <w:rsid w:val="00D779ED"/>
    <w:rsid w:val="00DA5BC1"/>
    <w:rsid w:val="00E61DF5"/>
    <w:rsid w:val="00E70D06"/>
    <w:rsid w:val="00EB46CB"/>
    <w:rsid w:val="00EE2BD2"/>
    <w:rsid w:val="00F93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6B9BE"/>
  <w15:docId w15:val="{84877AF2-E66D-4C1F-864C-517A5F7F9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BB72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Forte">
    <w:name w:val="Strong"/>
    <w:basedOn w:val="Fontepargpadro"/>
    <w:uiPriority w:val="22"/>
    <w:qFormat/>
    <w:rsid w:val="003461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285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Mariana Castelo Branco</cp:lastModifiedBy>
  <cp:revision>3</cp:revision>
  <dcterms:created xsi:type="dcterms:W3CDTF">2025-05-24T01:23:00Z</dcterms:created>
  <dcterms:modified xsi:type="dcterms:W3CDTF">2025-05-24T01:26:00Z</dcterms:modified>
</cp:coreProperties>
</file>