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E9607" w14:textId="446E1377" w:rsidR="00061BBF" w:rsidRDefault="00000000">
      <w:pPr>
        <w:pStyle w:val="Ttulo"/>
        <w:widowControl w:val="0"/>
        <w:spacing w:before="261" w:line="240" w:lineRule="auto"/>
        <w:ind w:left="129" w:right="141" w:firstLine="12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 w:rsidR="0066657E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 w:rsidR="00946F01">
        <w:rPr>
          <w:rFonts w:ascii="Times New Roman" w:eastAsia="Times New Roman" w:hAnsi="Times New Roman" w:cs="Times New Roman"/>
          <w:color w:val="000000"/>
          <w:sz w:val="28"/>
          <w:szCs w:val="28"/>
        </w:rPr>
        <w:t>NÁLISE DE PADRÕES DE MORDIDAS E SUA APLICAÇÃO EM INVESTIGAÇÕES CRIMINAIS</w:t>
      </w:r>
    </w:p>
    <w:p w14:paraId="28AE73F8" w14:textId="77777777" w:rsidR="00061BBF" w:rsidRDefault="00061BBF"/>
    <w:p w14:paraId="6822D74E" w14:textId="127FD43B" w:rsidR="00453FB0" w:rsidRDefault="0027599B" w:rsidP="00453FB0">
      <w:pPr>
        <w:pStyle w:val="Ttulo"/>
        <w:widowControl w:val="0"/>
        <w:spacing w:before="261" w:line="360" w:lineRule="auto"/>
        <w:ind w:left="129" w:right="141" w:firstLine="129"/>
        <w:jc w:val="center"/>
        <w:rPr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Maria Laura de Oliveira Silva¹; </w:t>
      </w:r>
      <w:r w:rsidR="006C73F2" w:rsidRPr="006C73F2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Virginia Rodrigues de Oliveira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²</w:t>
      </w:r>
      <w:r w:rsidR="002A1FAF" w:rsidRPr="002A1FAF">
        <w:rPr>
          <w:rFonts w:ascii="Times New Roman" w:eastAsia="Times New Roman" w:hAnsi="Times New Roman" w:cs="Times New Roman"/>
          <w:b w:val="0"/>
          <w:sz w:val="24"/>
          <w:szCs w:val="24"/>
        </w:rPr>
        <w:t>;</w:t>
      </w:r>
      <w:r w:rsidR="00602492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="00FF3BBA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Larissa dos Santos Silva²; </w:t>
      </w:r>
      <w:r w:rsidR="00602492" w:rsidRPr="00602492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Lyvia Maria Silva de Santana²; Maria Thaís Felix de Souza²; </w:t>
      </w:r>
      <w:bookmarkStart w:id="0" w:name="_Hlk163673527"/>
      <w:r w:rsidR="006C73F2">
        <w:rPr>
          <w:rFonts w:ascii="Times New Roman" w:eastAsia="Times New Roman" w:hAnsi="Times New Roman" w:cs="Times New Roman"/>
          <w:b w:val="0"/>
          <w:sz w:val="24"/>
          <w:szCs w:val="24"/>
        </w:rPr>
        <w:t>Karolayne Kedma Torres</w:t>
      </w:r>
      <w:r w:rsidR="002F5B9D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dos Santos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>²;</w:t>
      </w:r>
      <w:r w:rsidR="006C73F2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bookmarkEnd w:id="0"/>
      <w:r w:rsidR="00453FB0">
        <w:rPr>
          <w:rFonts w:ascii="Times New Roman" w:eastAsia="Times New Roman" w:hAnsi="Times New Roman" w:cs="Times New Roman"/>
          <w:b w:val="0"/>
          <w:sz w:val="24"/>
          <w:szCs w:val="24"/>
        </w:rPr>
        <w:t>Thalles Gabriel Germano Lima³.</w:t>
      </w:r>
    </w:p>
    <w:p w14:paraId="1BAAC446" w14:textId="77777777" w:rsidR="00453FB0" w:rsidRDefault="00453FB0" w:rsidP="00453F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8" w:line="360" w:lineRule="auto"/>
        <w:ind w:left="720" w:right="31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Graduanda do Curso de Odontologia, Centro Universitário Maurício de Nassau – UNINASSAU Graças, Recife, PE;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1386B5A" w14:textId="77777777" w:rsidR="00453FB0" w:rsidRDefault="00453FB0" w:rsidP="00A51B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20" w:right="6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Graduando do Curso de Odontologia, Centro Universitário Maurício de Nassau – UNINASSAU Graças, Recife, PE.</w:t>
      </w:r>
    </w:p>
    <w:p w14:paraId="5106AD75" w14:textId="09C6E27A" w:rsidR="00061BBF" w:rsidRDefault="00453FB0" w:rsidP="00453F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Mestrando em Periodontia, Centro de Pesquisas Odontológicas São Leopoldo Mandic – SLMandic, Campinas, SP.</w:t>
      </w:r>
    </w:p>
    <w:p w14:paraId="08393846" w14:textId="77777777" w:rsidR="00061BBF" w:rsidRDefault="00061B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3095F2" w14:textId="6CB16476" w:rsidR="00061BB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Email: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759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laurinhaket123@gmail.com</w:t>
      </w:r>
    </w:p>
    <w:p w14:paraId="60F52773" w14:textId="77777777" w:rsidR="00061BBF" w:rsidRDefault="00061B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7F74C02" w14:textId="77777777" w:rsidR="00061BB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right="64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RESUMO </w:t>
      </w:r>
    </w:p>
    <w:p w14:paraId="252BAB6A" w14:textId="56539066" w:rsidR="00061BBF" w:rsidRPr="0066657E" w:rsidRDefault="00000000" w:rsidP="00B67BD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7132" w:rsidRPr="002B7132">
        <w:rPr>
          <w:rFonts w:ascii="Times New Roman" w:eastAsia="Times New Roman" w:hAnsi="Times New Roman" w:cs="Times New Roman"/>
          <w:color w:val="000000"/>
          <w:sz w:val="24"/>
          <w:szCs w:val="24"/>
        </w:rPr>
        <w:t>A análise de padrões de mordidas é uma técnica forense crucial para identificar mordidas em vítimas, objetos e suspeitos em investigações criminais. A marca da mordida é observada detalhadamente</w:t>
      </w:r>
      <w:r w:rsidR="002B71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sendo </w:t>
      </w:r>
      <w:r w:rsidR="002B7132" w:rsidRPr="002B7132">
        <w:rPr>
          <w:rFonts w:ascii="Times New Roman" w:eastAsia="Times New Roman" w:hAnsi="Times New Roman" w:cs="Times New Roman"/>
          <w:color w:val="000000"/>
          <w:sz w:val="24"/>
          <w:szCs w:val="24"/>
        </w:rPr>
        <w:t>uma das fo</w:t>
      </w:r>
      <w:r w:rsidR="002B7132">
        <w:rPr>
          <w:rFonts w:ascii="Times New Roman" w:eastAsia="Times New Roman" w:hAnsi="Times New Roman" w:cs="Times New Roman"/>
          <w:color w:val="000000"/>
          <w:sz w:val="24"/>
          <w:szCs w:val="24"/>
        </w:rPr>
        <w:t>nte</w:t>
      </w:r>
      <w:r w:rsidR="002B7132" w:rsidRPr="002B7132">
        <w:rPr>
          <w:rFonts w:ascii="Times New Roman" w:eastAsia="Times New Roman" w:hAnsi="Times New Roman" w:cs="Times New Roman"/>
          <w:color w:val="000000"/>
          <w:sz w:val="24"/>
          <w:szCs w:val="24"/>
        </w:rPr>
        <w:t>s mais importantes de identificação humana, podendo se tornar prova fundamental para a identificação legal de possíveis agressores quando registrada e analisada adequadamente.</w:t>
      </w:r>
      <w:r w:rsidR="002B71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Objetivo: </w:t>
      </w:r>
      <w:r w:rsidR="0066657E">
        <w:rPr>
          <w:rFonts w:ascii="Times New Roman" w:eastAsia="Times New Roman" w:hAnsi="Times New Roman" w:cs="Times New Roman"/>
          <w:sz w:val="24"/>
          <w:szCs w:val="24"/>
        </w:rPr>
        <w:t>D</w:t>
      </w:r>
      <w:r w:rsidR="0066657E" w:rsidRPr="0066657E">
        <w:rPr>
          <w:rFonts w:ascii="Times New Roman" w:eastAsia="Times New Roman" w:hAnsi="Times New Roman" w:cs="Times New Roman"/>
          <w:sz w:val="24"/>
          <w:szCs w:val="24"/>
        </w:rPr>
        <w:t>emonstrar a importância das marcas de mordida</w:t>
      </w:r>
      <w:r w:rsidR="0066657E">
        <w:rPr>
          <w:rFonts w:ascii="Times New Roman" w:eastAsia="Times New Roman" w:hAnsi="Times New Roman" w:cs="Times New Roman"/>
          <w:sz w:val="24"/>
          <w:szCs w:val="24"/>
        </w:rPr>
        <w:t>,</w:t>
      </w:r>
      <w:r w:rsidR="0066657E" w:rsidRPr="0066657E">
        <w:rPr>
          <w:rFonts w:ascii="Times New Roman" w:eastAsia="Times New Roman" w:hAnsi="Times New Roman" w:cs="Times New Roman"/>
          <w:sz w:val="24"/>
          <w:szCs w:val="24"/>
        </w:rPr>
        <w:t xml:space="preserve"> evidencia</w:t>
      </w:r>
      <w:r w:rsidR="0066657E">
        <w:rPr>
          <w:rFonts w:ascii="Times New Roman" w:eastAsia="Times New Roman" w:hAnsi="Times New Roman" w:cs="Times New Roman"/>
          <w:sz w:val="24"/>
          <w:szCs w:val="24"/>
        </w:rPr>
        <w:t>ndo</w:t>
      </w:r>
      <w:r w:rsidR="0066657E" w:rsidRPr="0066657E">
        <w:rPr>
          <w:rFonts w:ascii="Times New Roman" w:eastAsia="Times New Roman" w:hAnsi="Times New Roman" w:cs="Times New Roman"/>
          <w:sz w:val="24"/>
          <w:szCs w:val="24"/>
        </w:rPr>
        <w:t xml:space="preserve"> a sua contribuição para a investigação criminal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706CC">
        <w:rPr>
          <w:rFonts w:ascii="Times New Roman" w:eastAsia="Times New Roman" w:hAnsi="Times New Roman" w:cs="Times New Roman"/>
          <w:b/>
          <w:sz w:val="24"/>
          <w:szCs w:val="24"/>
        </w:rPr>
        <w:t>Metodologia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66657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6657E">
        <w:rPr>
          <w:rFonts w:ascii="Times New Roman" w:eastAsia="Times New Roman" w:hAnsi="Times New Roman" w:cs="Times New Roman"/>
          <w:sz w:val="24"/>
          <w:szCs w:val="24"/>
        </w:rPr>
        <w:t>R</w:t>
      </w:r>
      <w:r w:rsidR="0066657E" w:rsidRPr="0066657E">
        <w:rPr>
          <w:rFonts w:ascii="Times New Roman" w:eastAsia="Times New Roman" w:hAnsi="Times New Roman" w:cs="Times New Roman"/>
          <w:sz w:val="24"/>
          <w:szCs w:val="24"/>
        </w:rPr>
        <w:t>ealiz</w:t>
      </w:r>
      <w:r w:rsidR="0066657E">
        <w:rPr>
          <w:rFonts w:ascii="Times New Roman" w:eastAsia="Times New Roman" w:hAnsi="Times New Roman" w:cs="Times New Roman"/>
          <w:sz w:val="24"/>
          <w:szCs w:val="24"/>
        </w:rPr>
        <w:t>ou-se</w:t>
      </w:r>
      <w:r w:rsidR="0066657E" w:rsidRPr="0066657E">
        <w:rPr>
          <w:rFonts w:ascii="Times New Roman" w:eastAsia="Times New Roman" w:hAnsi="Times New Roman" w:cs="Times New Roman"/>
          <w:sz w:val="24"/>
          <w:szCs w:val="24"/>
        </w:rPr>
        <w:t xml:space="preserve"> uma revisão de literatura através da busca de artigos nas bases de dados </w:t>
      </w:r>
      <w:r w:rsidR="00453FB0" w:rsidRPr="00CD6247">
        <w:rPr>
          <w:rFonts w:ascii="Times New Roman" w:eastAsia="Times New Roman" w:hAnsi="Times New Roman" w:cs="Times New Roman"/>
          <w:sz w:val="24"/>
          <w:szCs w:val="24"/>
        </w:rPr>
        <w:t>SciELO</w:t>
      </w:r>
      <w:r w:rsidR="00453FB0">
        <w:rPr>
          <w:rFonts w:ascii="Times New Roman" w:eastAsia="Times New Roman" w:hAnsi="Times New Roman" w:cs="Times New Roman"/>
          <w:sz w:val="24"/>
          <w:szCs w:val="24"/>
        </w:rPr>
        <w:t>, PubMed e Periódicos Capes</w:t>
      </w:r>
      <w:r w:rsidR="00453FB0" w:rsidRPr="006665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657E" w:rsidRPr="0066657E">
        <w:rPr>
          <w:rFonts w:ascii="Times New Roman" w:eastAsia="Times New Roman" w:hAnsi="Times New Roman" w:cs="Times New Roman"/>
          <w:sz w:val="24"/>
          <w:szCs w:val="24"/>
        </w:rPr>
        <w:t>se</w:t>
      </w:r>
      <w:r w:rsidR="002B7132">
        <w:rPr>
          <w:rFonts w:ascii="Times New Roman" w:eastAsia="Times New Roman" w:hAnsi="Times New Roman" w:cs="Times New Roman"/>
          <w:sz w:val="24"/>
          <w:szCs w:val="24"/>
        </w:rPr>
        <w:t>m restrição de idioma</w:t>
      </w:r>
      <w:r w:rsidR="0066657E" w:rsidRPr="0066657E">
        <w:rPr>
          <w:rFonts w:ascii="Times New Roman" w:eastAsia="Times New Roman" w:hAnsi="Times New Roman" w:cs="Times New Roman"/>
          <w:sz w:val="24"/>
          <w:szCs w:val="24"/>
        </w:rPr>
        <w:t>, entre os anos de 20</w:t>
      </w:r>
      <w:r w:rsidR="0066657E">
        <w:rPr>
          <w:rFonts w:ascii="Times New Roman" w:eastAsia="Times New Roman" w:hAnsi="Times New Roman" w:cs="Times New Roman"/>
          <w:sz w:val="24"/>
          <w:szCs w:val="24"/>
        </w:rPr>
        <w:t>21</w:t>
      </w:r>
      <w:r w:rsidR="0066657E" w:rsidRPr="006665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657E">
        <w:rPr>
          <w:rFonts w:ascii="Times New Roman" w:eastAsia="Times New Roman" w:hAnsi="Times New Roman" w:cs="Times New Roman"/>
          <w:sz w:val="24"/>
          <w:szCs w:val="24"/>
        </w:rPr>
        <w:t>à</w:t>
      </w:r>
      <w:r w:rsidR="0066657E" w:rsidRPr="0066657E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66657E">
        <w:rPr>
          <w:rFonts w:ascii="Times New Roman" w:eastAsia="Times New Roman" w:hAnsi="Times New Roman" w:cs="Times New Roman"/>
          <w:sz w:val="24"/>
          <w:szCs w:val="24"/>
        </w:rPr>
        <w:t>4</w:t>
      </w:r>
      <w:r w:rsidR="0066657E" w:rsidRPr="0066657E">
        <w:rPr>
          <w:rFonts w:ascii="Times New Roman" w:eastAsia="Times New Roman" w:hAnsi="Times New Roman" w:cs="Times New Roman"/>
          <w:sz w:val="24"/>
          <w:szCs w:val="24"/>
        </w:rPr>
        <w:t>.</w:t>
      </w:r>
      <w:r w:rsidR="006665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06CC">
        <w:rPr>
          <w:rFonts w:ascii="Times New Roman" w:eastAsia="Times New Roman" w:hAnsi="Times New Roman" w:cs="Times New Roman"/>
          <w:b/>
          <w:sz w:val="24"/>
          <w:szCs w:val="24"/>
        </w:rPr>
        <w:t>Resultados:</w:t>
      </w:r>
      <w:r w:rsidR="00BD2DBA" w:rsidRPr="00BD2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5A21" w:rsidRPr="003F5A21">
        <w:rPr>
          <w:rFonts w:ascii="Times New Roman" w:eastAsia="Times New Roman" w:hAnsi="Times New Roman" w:cs="Times New Roman"/>
          <w:sz w:val="24"/>
          <w:szCs w:val="24"/>
        </w:rPr>
        <w:t xml:space="preserve">A atuação do </w:t>
      </w:r>
      <w:r w:rsidR="00453FB0">
        <w:rPr>
          <w:rFonts w:ascii="Times New Roman" w:eastAsia="Times New Roman" w:hAnsi="Times New Roman" w:cs="Times New Roman"/>
          <w:sz w:val="24"/>
          <w:szCs w:val="24"/>
        </w:rPr>
        <w:t>Cirurgião-Dentista especializado em odontologia legal</w:t>
      </w:r>
      <w:r w:rsidR="003F5A21" w:rsidRPr="003F5A21">
        <w:rPr>
          <w:rFonts w:ascii="Times New Roman" w:eastAsia="Times New Roman" w:hAnsi="Times New Roman" w:cs="Times New Roman"/>
          <w:sz w:val="24"/>
          <w:szCs w:val="24"/>
        </w:rPr>
        <w:t xml:space="preserve"> nos Institutos Médico-Legais é crucial para a identificação do agente por meio da análise minuciosa das marcas de mordida. </w:t>
      </w:r>
      <w:r w:rsidR="00453FB0">
        <w:rPr>
          <w:rFonts w:ascii="Times New Roman" w:eastAsia="Times New Roman" w:hAnsi="Times New Roman" w:cs="Times New Roman"/>
          <w:sz w:val="24"/>
          <w:szCs w:val="24"/>
        </w:rPr>
        <w:t>A</w:t>
      </w:r>
      <w:r w:rsidR="003F5A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5A21" w:rsidRPr="003F5A21">
        <w:rPr>
          <w:rFonts w:ascii="Times New Roman" w:eastAsia="Times New Roman" w:hAnsi="Times New Roman" w:cs="Times New Roman"/>
          <w:sz w:val="24"/>
          <w:szCs w:val="24"/>
        </w:rPr>
        <w:t xml:space="preserve">execução de uma técnica precisa na coleta das impressões é fundamental para reduzir as divergências nas inspeções das marcas. As técnicas incluem análise do formato, tamanho, espaçamento e padrão do dente, fornecendo informações relevantes como a força da mordida, direção do ataque, se as lesões foram produzidas em vida ou após a morte, </w:t>
      </w:r>
      <w:r w:rsidR="00453FB0">
        <w:rPr>
          <w:rFonts w:ascii="Times New Roman" w:eastAsia="Times New Roman" w:hAnsi="Times New Roman" w:cs="Times New Roman"/>
          <w:sz w:val="24"/>
          <w:szCs w:val="24"/>
        </w:rPr>
        <w:t xml:space="preserve">assim </w:t>
      </w:r>
      <w:r w:rsidR="00453FB0">
        <w:rPr>
          <w:rFonts w:ascii="Times New Roman" w:eastAsia="Times New Roman" w:hAnsi="Times New Roman" w:cs="Times New Roman"/>
          <w:sz w:val="24"/>
          <w:szCs w:val="24"/>
        </w:rPr>
        <w:lastRenderedPageBreak/>
        <w:t>como</w:t>
      </w:r>
      <w:r w:rsidR="003F5A21" w:rsidRPr="003F5A21">
        <w:rPr>
          <w:rFonts w:ascii="Times New Roman" w:eastAsia="Times New Roman" w:hAnsi="Times New Roman" w:cs="Times New Roman"/>
          <w:sz w:val="24"/>
          <w:szCs w:val="24"/>
        </w:rPr>
        <w:t xml:space="preserve"> a data aproximada da produção ao exame pericial. A utilização de moldagem também é eficaz para compara</w:t>
      </w:r>
      <w:r w:rsidR="00453FB0">
        <w:rPr>
          <w:rFonts w:ascii="Times New Roman" w:eastAsia="Times New Roman" w:hAnsi="Times New Roman" w:cs="Times New Roman"/>
          <w:sz w:val="24"/>
          <w:szCs w:val="24"/>
        </w:rPr>
        <w:t>ção</w:t>
      </w:r>
      <w:r w:rsidR="003D65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5A21">
        <w:rPr>
          <w:rFonts w:ascii="Times New Roman" w:eastAsia="Times New Roman" w:hAnsi="Times New Roman" w:cs="Times New Roman"/>
          <w:sz w:val="24"/>
          <w:szCs w:val="24"/>
        </w:rPr>
        <w:t>da arcada dentária do</w:t>
      </w:r>
      <w:r w:rsidR="003F5A21" w:rsidRPr="003F5A21">
        <w:rPr>
          <w:rFonts w:ascii="Times New Roman" w:eastAsia="Times New Roman" w:hAnsi="Times New Roman" w:cs="Times New Roman"/>
          <w:sz w:val="24"/>
          <w:szCs w:val="24"/>
        </w:rPr>
        <w:t xml:space="preserve"> suspeit</w:t>
      </w:r>
      <w:r w:rsidR="003F5A21">
        <w:rPr>
          <w:rFonts w:ascii="Times New Roman" w:eastAsia="Times New Roman" w:hAnsi="Times New Roman" w:cs="Times New Roman"/>
          <w:sz w:val="24"/>
          <w:szCs w:val="24"/>
        </w:rPr>
        <w:t>o</w:t>
      </w:r>
      <w:r w:rsidR="003F5A21" w:rsidRPr="003F5A21">
        <w:rPr>
          <w:rFonts w:ascii="Times New Roman" w:eastAsia="Times New Roman" w:hAnsi="Times New Roman" w:cs="Times New Roman"/>
          <w:sz w:val="24"/>
          <w:szCs w:val="24"/>
        </w:rPr>
        <w:t xml:space="preserve"> com a marca</w:t>
      </w:r>
      <w:r w:rsidR="003D6544">
        <w:rPr>
          <w:rFonts w:ascii="Times New Roman" w:eastAsia="Times New Roman" w:hAnsi="Times New Roman" w:cs="Times New Roman"/>
          <w:sz w:val="24"/>
          <w:szCs w:val="24"/>
        </w:rPr>
        <w:t xml:space="preserve"> de mordida</w:t>
      </w:r>
      <w:r w:rsidR="003F5A21" w:rsidRPr="003F5A21">
        <w:rPr>
          <w:rFonts w:ascii="Times New Roman" w:eastAsia="Times New Roman" w:hAnsi="Times New Roman" w:cs="Times New Roman"/>
          <w:sz w:val="24"/>
          <w:szCs w:val="24"/>
        </w:rPr>
        <w:t xml:space="preserve"> deixada na vítima, </w:t>
      </w:r>
      <w:r w:rsidR="00453FB0">
        <w:rPr>
          <w:rFonts w:ascii="Times New Roman" w:eastAsia="Times New Roman" w:hAnsi="Times New Roman" w:cs="Times New Roman"/>
          <w:sz w:val="24"/>
          <w:szCs w:val="24"/>
        </w:rPr>
        <w:t xml:space="preserve">como diversos casos relatados.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Conclusão: </w:t>
      </w:r>
      <w:r w:rsidR="002B7132" w:rsidRPr="002B7132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="00453FB0">
        <w:rPr>
          <w:rFonts w:ascii="Times New Roman" w:eastAsia="Times New Roman" w:hAnsi="Times New Roman" w:cs="Times New Roman"/>
          <w:sz w:val="24"/>
          <w:szCs w:val="24"/>
        </w:rPr>
        <w:t>C</w:t>
      </w:r>
      <w:r w:rsidR="002B7132" w:rsidRPr="002B7132">
        <w:rPr>
          <w:rFonts w:ascii="Times New Roman" w:eastAsia="Times New Roman" w:hAnsi="Times New Roman" w:cs="Times New Roman"/>
          <w:sz w:val="24"/>
          <w:szCs w:val="24"/>
        </w:rPr>
        <w:t>irurgiões-dentistas forenses desempenham um papel crucial nos casos de mordeduras humanas, contribuindo para a busca da verdade na justiça</w:t>
      </w:r>
      <w:r w:rsidR="002B7132">
        <w:rPr>
          <w:rFonts w:ascii="Times New Roman" w:eastAsia="Times New Roman" w:hAnsi="Times New Roman" w:cs="Times New Roman"/>
          <w:sz w:val="24"/>
          <w:szCs w:val="24"/>
        </w:rPr>
        <w:t>, pois a</w:t>
      </w:r>
      <w:r w:rsidR="002B7132" w:rsidRPr="002B7132">
        <w:rPr>
          <w:rFonts w:ascii="Times New Roman" w:eastAsia="Times New Roman" w:hAnsi="Times New Roman" w:cs="Times New Roman"/>
          <w:sz w:val="24"/>
          <w:szCs w:val="24"/>
        </w:rPr>
        <w:t>s impressões dentais únicas de cada indivíduo podem atribuir a culpabilidade ou excluir um suspeito em casos de agressão.</w:t>
      </w:r>
    </w:p>
    <w:p w14:paraId="175BCE50" w14:textId="77777777" w:rsidR="00061BBF" w:rsidRDefault="00061BB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068D82" w14:textId="119A7DCF" w:rsidR="00061BBF" w:rsidRDefault="0000000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2D2ADD">
        <w:rPr>
          <w:rFonts w:ascii="Times New Roman" w:eastAsia="Times New Roman" w:hAnsi="Times New Roman" w:cs="Times New Roman"/>
          <w:color w:val="000000"/>
          <w:sz w:val="24"/>
          <w:szCs w:val="24"/>
        </w:rPr>
        <w:t>Mordeduras humanas. Odontologia legal. Força de mordida.</w:t>
      </w:r>
    </w:p>
    <w:p w14:paraId="072CA193" w14:textId="70F8E50E" w:rsidR="00BD2DBA" w:rsidRDefault="00000000" w:rsidP="00BD2DB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Área temática: </w:t>
      </w:r>
      <w:r w:rsidR="0027599B">
        <w:rPr>
          <w:rFonts w:ascii="Times New Roman" w:eastAsia="Times New Roman" w:hAnsi="Times New Roman" w:cs="Times New Roman"/>
          <w:sz w:val="24"/>
          <w:szCs w:val="24"/>
        </w:rPr>
        <w:t>Odontologia Legal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BD2DBA">
      <w:headerReference w:type="default" r:id="rId6"/>
      <w:footerReference w:type="default" r:id="rId7"/>
      <w:pgSz w:w="11920" w:h="16840"/>
      <w:pgMar w:top="1440" w:right="1700" w:bottom="1440" w:left="17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8B8C0" w14:textId="77777777" w:rsidR="00BA5E63" w:rsidRDefault="00BA5E63">
      <w:pPr>
        <w:spacing w:line="240" w:lineRule="auto"/>
      </w:pPr>
      <w:r>
        <w:separator/>
      </w:r>
    </w:p>
  </w:endnote>
  <w:endnote w:type="continuationSeparator" w:id="0">
    <w:p w14:paraId="556805E6" w14:textId="77777777" w:rsidR="00BA5E63" w:rsidRDefault="00BA5E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90207" w14:textId="77777777" w:rsidR="00061BBF" w:rsidRDefault="00000000">
    <w:r>
      <w:rPr>
        <w:noProof/>
      </w:rPr>
      <w:drawing>
        <wp:anchor distT="0" distB="0" distL="114300" distR="114300" simplePos="0" relativeHeight="251659264" behindDoc="0" locked="0" layoutInCell="1" hidden="0" allowOverlap="1" wp14:anchorId="7D7A8F0D" wp14:editId="1A6EE024">
          <wp:simplePos x="0" y="0"/>
          <wp:positionH relativeFrom="page">
            <wp:align>right</wp:align>
          </wp:positionH>
          <wp:positionV relativeFrom="paragraph">
            <wp:posOffset>-135890</wp:posOffset>
          </wp:positionV>
          <wp:extent cx="7562850" cy="786103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786103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6613F3" w14:textId="77777777" w:rsidR="00BA5E63" w:rsidRDefault="00BA5E63">
      <w:pPr>
        <w:spacing w:line="240" w:lineRule="auto"/>
      </w:pPr>
      <w:r>
        <w:separator/>
      </w:r>
    </w:p>
  </w:footnote>
  <w:footnote w:type="continuationSeparator" w:id="0">
    <w:p w14:paraId="786BA1DC" w14:textId="77777777" w:rsidR="00BA5E63" w:rsidRDefault="00BA5E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1C7C4" w14:textId="77777777" w:rsidR="00061BB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C086D7E" wp14:editId="6CF0081F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62850" cy="932180"/>
          <wp:effectExtent l="0" t="0" r="0" b="127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932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BBF"/>
    <w:rsid w:val="00061BBF"/>
    <w:rsid w:val="000913A9"/>
    <w:rsid w:val="001842CB"/>
    <w:rsid w:val="00232DD0"/>
    <w:rsid w:val="002433EB"/>
    <w:rsid w:val="0027599B"/>
    <w:rsid w:val="002A1FAF"/>
    <w:rsid w:val="002B7132"/>
    <w:rsid w:val="002D2ADD"/>
    <w:rsid w:val="002F5B9D"/>
    <w:rsid w:val="00333015"/>
    <w:rsid w:val="003433B5"/>
    <w:rsid w:val="003D6544"/>
    <w:rsid w:val="003F3901"/>
    <w:rsid w:val="003F5A21"/>
    <w:rsid w:val="00450140"/>
    <w:rsid w:val="00453FB0"/>
    <w:rsid w:val="0045735B"/>
    <w:rsid w:val="004F5A41"/>
    <w:rsid w:val="00602492"/>
    <w:rsid w:val="00636EA7"/>
    <w:rsid w:val="0066657E"/>
    <w:rsid w:val="006A6514"/>
    <w:rsid w:val="006C73F2"/>
    <w:rsid w:val="006F5DDC"/>
    <w:rsid w:val="00711F3D"/>
    <w:rsid w:val="00730661"/>
    <w:rsid w:val="00796C1B"/>
    <w:rsid w:val="007C779E"/>
    <w:rsid w:val="00946F01"/>
    <w:rsid w:val="009B56A8"/>
    <w:rsid w:val="00A26C43"/>
    <w:rsid w:val="00A51B88"/>
    <w:rsid w:val="00B66C31"/>
    <w:rsid w:val="00B67BD6"/>
    <w:rsid w:val="00BA5E63"/>
    <w:rsid w:val="00BD2DBA"/>
    <w:rsid w:val="00C41F00"/>
    <w:rsid w:val="00C706CC"/>
    <w:rsid w:val="00C91930"/>
    <w:rsid w:val="00D60418"/>
    <w:rsid w:val="00D764B7"/>
    <w:rsid w:val="00FF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046DF"/>
  <w15:docId w15:val="{7BC88C9A-D703-43BF-AC96-1E263ABC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3433B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3B5"/>
  </w:style>
  <w:style w:type="paragraph" w:styleId="Rodap">
    <w:name w:val="footer"/>
    <w:basedOn w:val="Normal"/>
    <w:link w:val="RodapChar"/>
    <w:uiPriority w:val="99"/>
    <w:unhideWhenUsed/>
    <w:rsid w:val="003433B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395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Laura</dc:creator>
  <cp:lastModifiedBy>Maria Laura</cp:lastModifiedBy>
  <cp:revision>13</cp:revision>
  <cp:lastPrinted>2024-04-07T20:19:00Z</cp:lastPrinted>
  <dcterms:created xsi:type="dcterms:W3CDTF">2024-04-08T19:53:00Z</dcterms:created>
  <dcterms:modified xsi:type="dcterms:W3CDTF">2024-04-11T16:15:00Z</dcterms:modified>
</cp:coreProperties>
</file>