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7D457" w14:textId="0273D311" w:rsidR="00F774EC" w:rsidRPr="00F774EC" w:rsidRDefault="00F774EC" w:rsidP="0092058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74EC">
        <w:rPr>
          <w:rFonts w:ascii="Arial" w:hAnsi="Arial" w:cs="Arial"/>
          <w:b/>
          <w:bCs/>
          <w:sz w:val="24"/>
          <w:szCs w:val="24"/>
        </w:rPr>
        <w:t>INIQUIDADES SOCIAIS E BARREIRAS DE ACESSO DA POPULAÇÃO TRANS E TRAVESTI AOS SERVIÇOS DE SAÚDE</w:t>
      </w:r>
    </w:p>
    <w:p w14:paraId="60887329" w14:textId="0D2D8C74" w:rsidR="00920580" w:rsidRDefault="001F28E2" w:rsidP="0092058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Paulo Santana da Silva </w:t>
      </w:r>
      <w:proofErr w:type="gramStart"/>
      <w:r w:rsidR="00F2578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Igor Campos Guimarães </w:t>
      </w:r>
      <w:r w:rsidR="00F2578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Lavínea</w:t>
      </w:r>
      <w:proofErr w:type="spellEnd"/>
      <w:r>
        <w:rPr>
          <w:rFonts w:ascii="Arial" w:hAnsi="Arial" w:cs="Arial"/>
          <w:sz w:val="24"/>
          <w:szCs w:val="24"/>
        </w:rPr>
        <w:t xml:space="preserve"> Silva de Lima </w:t>
      </w:r>
      <w:r w:rsidR="00F2578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; Luan Viana Faria</w:t>
      </w:r>
      <w:r w:rsidR="00F2578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; Matheus Souza Silva </w:t>
      </w:r>
      <w:r w:rsidR="00F2578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; Gracieli Prado Elias </w:t>
      </w:r>
      <w:r w:rsidR="00F25781">
        <w:rPr>
          <w:rFonts w:ascii="Arial" w:hAnsi="Arial" w:cs="Arial"/>
          <w:sz w:val="24"/>
          <w:szCs w:val="24"/>
          <w:vertAlign w:val="superscript"/>
        </w:rPr>
        <w:t>2</w:t>
      </w:r>
      <w:r w:rsidR="00F25781">
        <w:rPr>
          <w:rFonts w:ascii="Arial" w:hAnsi="Arial" w:cs="Arial"/>
          <w:sz w:val="24"/>
          <w:szCs w:val="24"/>
        </w:rPr>
        <w:t>.</w:t>
      </w:r>
    </w:p>
    <w:p w14:paraId="6C755273" w14:textId="0EFD0897" w:rsidR="001F28E2" w:rsidRDefault="001F28E2" w:rsidP="001F28E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28E2">
        <w:rPr>
          <w:rFonts w:ascii="Arial" w:hAnsi="Arial" w:cs="Arial"/>
          <w:sz w:val="24"/>
          <w:szCs w:val="24"/>
        </w:rPr>
        <w:t>¹ Discente do Curso de Odontologia, Universidade Federal de Juiz de Fora,</w:t>
      </w:r>
      <w:r>
        <w:rPr>
          <w:rFonts w:ascii="Arial" w:hAnsi="Arial" w:cs="Arial"/>
          <w:sz w:val="24"/>
          <w:szCs w:val="24"/>
        </w:rPr>
        <w:t xml:space="preserve"> Juiz de Fora, MG, Brasil;</w:t>
      </w:r>
    </w:p>
    <w:p w14:paraId="51D70E94" w14:textId="6BE90574" w:rsidR="001F28E2" w:rsidRPr="001F28E2" w:rsidRDefault="001F28E2" w:rsidP="001F28E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28E2">
        <w:rPr>
          <w:rFonts w:ascii="Arial" w:hAnsi="Arial" w:cs="Arial"/>
          <w:sz w:val="24"/>
          <w:szCs w:val="24"/>
        </w:rPr>
        <w:t>² Docente do Departamento de Odontologia Social e Infantil da Faculdade de Odontologia, Universidade Federal de Juiz de Fora, Juiz de Fora, MG, Brasil.</w:t>
      </w:r>
    </w:p>
    <w:p w14:paraId="5A784045" w14:textId="5ADDBD8F" w:rsidR="00F25781" w:rsidRDefault="00F25781" w:rsidP="00F2578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5F81">
        <w:rPr>
          <w:rFonts w:ascii="Arial" w:hAnsi="Arial" w:cs="Arial"/>
          <w:b/>
          <w:bCs/>
          <w:sz w:val="24"/>
          <w:szCs w:val="24"/>
        </w:rPr>
        <w:t>Introdução</w:t>
      </w:r>
      <w:r>
        <w:rPr>
          <w:rFonts w:ascii="Arial" w:hAnsi="Arial" w:cs="Arial"/>
          <w:b/>
          <w:bCs/>
          <w:sz w:val="24"/>
          <w:szCs w:val="24"/>
        </w:rPr>
        <w:t xml:space="preserve"> e objetivos</w:t>
      </w:r>
      <w:r w:rsidRPr="009925E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</w:t>
      </w:r>
      <w:r w:rsidRPr="009925E4">
        <w:rPr>
          <w:rFonts w:ascii="Arial" w:hAnsi="Arial" w:cs="Arial"/>
          <w:sz w:val="24"/>
          <w:szCs w:val="24"/>
        </w:rPr>
        <w:t>ítimas de</w:t>
      </w:r>
      <w:r>
        <w:rPr>
          <w:rFonts w:ascii="Arial" w:hAnsi="Arial" w:cs="Arial"/>
          <w:sz w:val="24"/>
          <w:szCs w:val="24"/>
        </w:rPr>
        <w:t xml:space="preserve"> </w:t>
      </w:r>
      <w:r w:rsidRPr="009925E4">
        <w:rPr>
          <w:rFonts w:ascii="Arial" w:hAnsi="Arial" w:cs="Arial"/>
          <w:sz w:val="24"/>
          <w:szCs w:val="24"/>
        </w:rPr>
        <w:t>atitudes de preconceito e comportamentos discriminatórios</w:t>
      </w:r>
      <w:r>
        <w:rPr>
          <w:rFonts w:ascii="Arial" w:hAnsi="Arial" w:cs="Arial"/>
          <w:sz w:val="24"/>
          <w:szCs w:val="24"/>
        </w:rPr>
        <w:t>, t</w:t>
      </w:r>
      <w:r w:rsidRPr="009925E4">
        <w:rPr>
          <w:rFonts w:ascii="Arial" w:hAnsi="Arial" w:cs="Arial"/>
          <w:sz w:val="24"/>
          <w:szCs w:val="24"/>
        </w:rPr>
        <w:t xml:space="preserve">ravestis e transexuais correspondem ao público, no conjunto da população LGBTQIA+, que mais intensamente sente a escassez de políticas de saúde específicas. </w:t>
      </w:r>
      <w:r>
        <w:rPr>
          <w:rFonts w:ascii="Arial" w:hAnsi="Arial" w:cs="Arial"/>
          <w:sz w:val="24"/>
          <w:szCs w:val="24"/>
        </w:rPr>
        <w:t>Deste modo, o</w:t>
      </w:r>
      <w:r w:rsidRPr="009925E4">
        <w:rPr>
          <w:rFonts w:ascii="Arial" w:hAnsi="Arial" w:cs="Arial"/>
          <w:sz w:val="24"/>
          <w:szCs w:val="24"/>
        </w:rPr>
        <w:t xml:space="preserve"> objetivo desse trabalho</w:t>
      </w:r>
      <w:r w:rsidR="00F774EC">
        <w:rPr>
          <w:rFonts w:ascii="Arial" w:hAnsi="Arial" w:cs="Arial"/>
          <w:sz w:val="24"/>
          <w:szCs w:val="24"/>
        </w:rPr>
        <w:t xml:space="preserve"> é</w:t>
      </w:r>
      <w:r w:rsidRPr="009925E4">
        <w:rPr>
          <w:rFonts w:ascii="Arial" w:hAnsi="Arial" w:cs="Arial"/>
          <w:sz w:val="24"/>
          <w:szCs w:val="24"/>
        </w:rPr>
        <w:t xml:space="preserve"> revisar a literatura </w:t>
      </w:r>
      <w:r>
        <w:rPr>
          <w:rFonts w:ascii="Arial" w:hAnsi="Arial" w:cs="Arial"/>
          <w:sz w:val="24"/>
          <w:szCs w:val="24"/>
        </w:rPr>
        <w:t>a respeito das</w:t>
      </w:r>
      <w:r w:rsidRPr="009925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9925E4">
        <w:rPr>
          <w:rFonts w:ascii="Arial" w:hAnsi="Arial" w:cs="Arial"/>
          <w:sz w:val="24"/>
          <w:szCs w:val="24"/>
        </w:rPr>
        <w:t>ificuldades de acesso da população trans e travesti aos serviços de saúde.</w:t>
      </w:r>
      <w:r>
        <w:rPr>
          <w:rFonts w:ascii="Arial" w:hAnsi="Arial" w:cs="Arial"/>
          <w:sz w:val="24"/>
          <w:szCs w:val="24"/>
        </w:rPr>
        <w:t xml:space="preserve"> </w:t>
      </w:r>
      <w:r w:rsidRPr="00955F81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étodos</w:t>
      </w:r>
      <w:r w:rsidRPr="009925E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B7108">
        <w:rPr>
          <w:rFonts w:ascii="Arial" w:hAnsi="Arial" w:cs="Arial"/>
          <w:sz w:val="24"/>
          <w:szCs w:val="24"/>
        </w:rPr>
        <w:t>Análise de artigos em português e inglês, indexados nas bases de dados LILACS, MEDLINE, Cochrane Library e SciELO, no período de 20</w:t>
      </w:r>
      <w:r>
        <w:rPr>
          <w:rFonts w:ascii="Arial" w:hAnsi="Arial" w:cs="Arial"/>
          <w:sz w:val="24"/>
          <w:szCs w:val="24"/>
        </w:rPr>
        <w:t>10</w:t>
      </w:r>
      <w:r w:rsidRPr="000B7108">
        <w:rPr>
          <w:rFonts w:ascii="Arial" w:hAnsi="Arial" w:cs="Arial"/>
          <w:sz w:val="24"/>
          <w:szCs w:val="24"/>
        </w:rPr>
        <w:t xml:space="preserve"> a 20</w:t>
      </w:r>
      <w:r>
        <w:rPr>
          <w:rFonts w:ascii="Arial" w:hAnsi="Arial" w:cs="Arial"/>
          <w:sz w:val="24"/>
          <w:szCs w:val="24"/>
        </w:rPr>
        <w:t>20</w:t>
      </w:r>
      <w:r w:rsidRPr="000B7108">
        <w:rPr>
          <w:rFonts w:ascii="Arial" w:hAnsi="Arial" w:cs="Arial"/>
          <w:sz w:val="24"/>
          <w:szCs w:val="24"/>
        </w:rPr>
        <w:t>, utilizando os descritores “</w:t>
      </w:r>
      <w:r w:rsidRPr="000B7108">
        <w:rPr>
          <w:rFonts w:ascii="Arial" w:hAnsi="Arial" w:cs="Arial"/>
          <w:i/>
          <w:iCs/>
          <w:sz w:val="24"/>
          <w:szCs w:val="24"/>
        </w:rPr>
        <w:t xml:space="preserve">Sexual </w:t>
      </w:r>
      <w:proofErr w:type="spellStart"/>
      <w:r w:rsidRPr="000B7108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0B710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B7108">
        <w:rPr>
          <w:rFonts w:ascii="Arial" w:hAnsi="Arial" w:cs="Arial"/>
          <w:i/>
          <w:iCs/>
          <w:sz w:val="24"/>
          <w:szCs w:val="24"/>
        </w:rPr>
        <w:t>Gender</w:t>
      </w:r>
      <w:proofErr w:type="spellEnd"/>
      <w:r w:rsidRPr="000B710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B7108">
        <w:rPr>
          <w:rFonts w:ascii="Arial" w:hAnsi="Arial" w:cs="Arial"/>
          <w:i/>
          <w:iCs/>
          <w:sz w:val="24"/>
          <w:szCs w:val="24"/>
        </w:rPr>
        <w:t>Minorities</w:t>
      </w:r>
      <w:proofErr w:type="spellEnd"/>
      <w:r w:rsidRPr="000B7108">
        <w:rPr>
          <w:rFonts w:ascii="Arial" w:hAnsi="Arial" w:cs="Arial"/>
          <w:sz w:val="24"/>
          <w:szCs w:val="24"/>
        </w:rPr>
        <w:t>”, “</w:t>
      </w:r>
      <w:proofErr w:type="spellStart"/>
      <w:r w:rsidRPr="000B7108">
        <w:rPr>
          <w:rFonts w:ascii="Arial" w:hAnsi="Arial" w:cs="Arial"/>
          <w:i/>
          <w:iCs/>
          <w:sz w:val="24"/>
          <w:szCs w:val="24"/>
        </w:rPr>
        <w:t>Transgender</w:t>
      </w:r>
      <w:proofErr w:type="spellEnd"/>
      <w:r w:rsidRPr="000B710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B7108">
        <w:rPr>
          <w:rFonts w:ascii="Arial" w:hAnsi="Arial" w:cs="Arial"/>
          <w:i/>
          <w:iCs/>
          <w:sz w:val="24"/>
          <w:szCs w:val="24"/>
        </w:rPr>
        <w:t>Persons</w:t>
      </w:r>
      <w:proofErr w:type="spellEnd"/>
      <w:r w:rsidRPr="000B7108">
        <w:rPr>
          <w:rFonts w:ascii="Arial" w:hAnsi="Arial" w:cs="Arial"/>
          <w:sz w:val="24"/>
          <w:szCs w:val="24"/>
        </w:rPr>
        <w:t>”, “</w:t>
      </w:r>
      <w:proofErr w:type="spellStart"/>
      <w:r w:rsidRPr="000B7108">
        <w:rPr>
          <w:rFonts w:ascii="Arial" w:hAnsi="Arial" w:cs="Arial"/>
          <w:i/>
          <w:iCs/>
          <w:sz w:val="24"/>
          <w:szCs w:val="24"/>
        </w:rPr>
        <w:t>Transsexualism</w:t>
      </w:r>
      <w:proofErr w:type="spellEnd"/>
      <w:r w:rsidRPr="000B710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</w:t>
      </w:r>
      <w:r w:rsidRPr="000B7108">
        <w:rPr>
          <w:rFonts w:ascii="Arial" w:hAnsi="Arial" w:cs="Arial"/>
          <w:sz w:val="24"/>
          <w:szCs w:val="24"/>
        </w:rPr>
        <w:t xml:space="preserve"> “</w:t>
      </w:r>
      <w:r w:rsidRPr="000B7108">
        <w:rPr>
          <w:rFonts w:ascii="Arial" w:hAnsi="Arial" w:cs="Arial"/>
          <w:i/>
          <w:iCs/>
          <w:sz w:val="24"/>
          <w:szCs w:val="24"/>
        </w:rPr>
        <w:t xml:space="preserve">Health Services </w:t>
      </w:r>
      <w:proofErr w:type="spellStart"/>
      <w:r w:rsidRPr="000B7108">
        <w:rPr>
          <w:rFonts w:ascii="Arial" w:hAnsi="Arial" w:cs="Arial"/>
          <w:i/>
          <w:iCs/>
          <w:sz w:val="24"/>
          <w:szCs w:val="24"/>
        </w:rPr>
        <w:t>Accessibility</w:t>
      </w:r>
      <w:proofErr w:type="spellEnd"/>
      <w:r w:rsidRPr="000B710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 “</w:t>
      </w:r>
      <w:r w:rsidRPr="00C83E37">
        <w:rPr>
          <w:rFonts w:ascii="Arial" w:hAnsi="Arial" w:cs="Arial"/>
          <w:i/>
          <w:iCs/>
          <w:sz w:val="24"/>
          <w:szCs w:val="24"/>
        </w:rPr>
        <w:t xml:space="preserve">Health </w:t>
      </w:r>
      <w:proofErr w:type="spellStart"/>
      <w:r w:rsidRPr="00C83E37">
        <w:rPr>
          <w:rFonts w:ascii="Arial" w:hAnsi="Arial" w:cs="Arial"/>
          <w:i/>
          <w:iCs/>
          <w:sz w:val="24"/>
          <w:szCs w:val="24"/>
        </w:rPr>
        <w:t>Vulnerability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0B7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232DE">
        <w:rPr>
          <w:rFonts w:ascii="Arial" w:hAnsi="Arial" w:cs="Arial"/>
          <w:b/>
          <w:bCs/>
          <w:sz w:val="24"/>
          <w:szCs w:val="24"/>
        </w:rPr>
        <w:t>Resultados:</w:t>
      </w:r>
      <w:r w:rsidRPr="009925E4">
        <w:rPr>
          <w:rFonts w:ascii="Arial" w:hAnsi="Arial" w:cs="Arial"/>
          <w:sz w:val="24"/>
          <w:szCs w:val="24"/>
        </w:rPr>
        <w:t xml:space="preserve"> A falta de problematização das demandas da população LGBTQIA+ </w:t>
      </w:r>
      <w:r>
        <w:rPr>
          <w:rFonts w:ascii="Arial" w:hAnsi="Arial" w:cs="Arial"/>
          <w:sz w:val="24"/>
          <w:szCs w:val="24"/>
        </w:rPr>
        <w:t xml:space="preserve">na área da saúde se </w:t>
      </w:r>
      <w:r w:rsidRPr="009925E4">
        <w:rPr>
          <w:rFonts w:ascii="Arial" w:hAnsi="Arial" w:cs="Arial"/>
          <w:sz w:val="24"/>
          <w:szCs w:val="24"/>
        </w:rPr>
        <w:t xml:space="preserve">reflete em práticas que não levam em consideração </w:t>
      </w:r>
      <w:r>
        <w:rPr>
          <w:rFonts w:ascii="Arial" w:hAnsi="Arial" w:cs="Arial"/>
          <w:sz w:val="24"/>
          <w:szCs w:val="24"/>
        </w:rPr>
        <w:t xml:space="preserve">as </w:t>
      </w:r>
      <w:r w:rsidRPr="009925E4">
        <w:rPr>
          <w:rFonts w:ascii="Arial" w:hAnsi="Arial" w:cs="Arial"/>
          <w:sz w:val="24"/>
          <w:szCs w:val="24"/>
        </w:rPr>
        <w:t>especificidades</w:t>
      </w:r>
      <w:r>
        <w:rPr>
          <w:rFonts w:ascii="Arial" w:hAnsi="Arial" w:cs="Arial"/>
          <w:sz w:val="24"/>
          <w:szCs w:val="24"/>
        </w:rPr>
        <w:t xml:space="preserve"> dessa população</w:t>
      </w:r>
      <w:r w:rsidRPr="009925E4">
        <w:rPr>
          <w:rFonts w:ascii="Arial" w:hAnsi="Arial" w:cs="Arial"/>
          <w:sz w:val="24"/>
          <w:szCs w:val="24"/>
        </w:rPr>
        <w:t xml:space="preserve">, além de naturalizar posturas </w:t>
      </w:r>
      <w:proofErr w:type="spellStart"/>
      <w:r w:rsidRPr="009925E4">
        <w:rPr>
          <w:rFonts w:ascii="Arial" w:hAnsi="Arial" w:cs="Arial"/>
          <w:sz w:val="24"/>
          <w:szCs w:val="24"/>
        </w:rPr>
        <w:t>cisheterocentradas</w:t>
      </w:r>
      <w:proofErr w:type="spellEnd"/>
      <w:r w:rsidRPr="009925E4">
        <w:rPr>
          <w:rFonts w:ascii="Arial" w:hAnsi="Arial" w:cs="Arial"/>
          <w:sz w:val="24"/>
          <w:szCs w:val="24"/>
        </w:rPr>
        <w:t xml:space="preserve">. Os serviços de saúde, </w:t>
      </w:r>
      <w:r>
        <w:rPr>
          <w:rFonts w:ascii="Arial" w:hAnsi="Arial" w:cs="Arial"/>
          <w:sz w:val="24"/>
          <w:szCs w:val="24"/>
        </w:rPr>
        <w:t xml:space="preserve">que deveriam ser </w:t>
      </w:r>
      <w:r w:rsidRPr="009925E4">
        <w:rPr>
          <w:rFonts w:ascii="Arial" w:hAnsi="Arial" w:cs="Arial"/>
          <w:sz w:val="24"/>
          <w:szCs w:val="24"/>
        </w:rPr>
        <w:t xml:space="preserve">locais de acolhimento e proteção, </w:t>
      </w:r>
      <w:r>
        <w:rPr>
          <w:rFonts w:ascii="Arial" w:hAnsi="Arial" w:cs="Arial"/>
          <w:sz w:val="24"/>
          <w:szCs w:val="24"/>
        </w:rPr>
        <w:t>por vezes se</w:t>
      </w:r>
      <w:r w:rsidRPr="009925E4">
        <w:rPr>
          <w:rFonts w:ascii="Arial" w:hAnsi="Arial" w:cs="Arial"/>
          <w:sz w:val="24"/>
          <w:szCs w:val="24"/>
        </w:rPr>
        <w:t xml:space="preserve"> apresenta</w:t>
      </w:r>
      <w:r>
        <w:rPr>
          <w:rFonts w:ascii="Arial" w:hAnsi="Arial" w:cs="Arial"/>
          <w:sz w:val="24"/>
          <w:szCs w:val="24"/>
        </w:rPr>
        <w:t>m</w:t>
      </w:r>
      <w:r w:rsidRPr="009925E4">
        <w:rPr>
          <w:rFonts w:ascii="Arial" w:hAnsi="Arial" w:cs="Arial"/>
          <w:sz w:val="24"/>
          <w:szCs w:val="24"/>
        </w:rPr>
        <w:t xml:space="preserve"> como locais que mantêm e reproduzem as desigualdades e preconceitos da sociedade. A </w:t>
      </w:r>
      <w:r>
        <w:rPr>
          <w:rFonts w:ascii="Arial" w:hAnsi="Arial" w:cs="Arial"/>
          <w:sz w:val="24"/>
          <w:szCs w:val="24"/>
        </w:rPr>
        <w:t xml:space="preserve">clara </w:t>
      </w:r>
      <w:r w:rsidRPr="009925E4">
        <w:rPr>
          <w:rFonts w:ascii="Arial" w:hAnsi="Arial" w:cs="Arial"/>
          <w:sz w:val="24"/>
          <w:szCs w:val="24"/>
        </w:rPr>
        <w:t>discriminação faz com que</w:t>
      </w:r>
      <w:r>
        <w:rPr>
          <w:rFonts w:ascii="Arial" w:hAnsi="Arial" w:cs="Arial"/>
          <w:sz w:val="24"/>
          <w:szCs w:val="24"/>
        </w:rPr>
        <w:t>, grande parte da população de transgêneros e</w:t>
      </w:r>
      <w:r w:rsidRPr="009925E4">
        <w:rPr>
          <w:rFonts w:ascii="Arial" w:hAnsi="Arial" w:cs="Arial"/>
          <w:sz w:val="24"/>
          <w:szCs w:val="24"/>
        </w:rPr>
        <w:t xml:space="preserve"> travestis busquem assistência </w:t>
      </w:r>
      <w:r>
        <w:rPr>
          <w:rFonts w:ascii="Arial" w:hAnsi="Arial" w:cs="Arial"/>
          <w:sz w:val="24"/>
          <w:szCs w:val="24"/>
        </w:rPr>
        <w:t>à saúde apenas em</w:t>
      </w:r>
      <w:r w:rsidRPr="009925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situações críticas e emergenciais de saúde,</w:t>
      </w:r>
      <w:r w:rsidRPr="003232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procurando diretamente serviços de atenção secundária e terciária, como unidades de pronto atendimento e hospitais, não mantendo dessa forma vínculo</w:t>
      </w:r>
      <w:r w:rsidR="0010434F">
        <w:rPr>
          <w:rFonts w:ascii="Arial" w:hAnsi="Arial" w:cs="Arial"/>
          <w:sz w:val="24"/>
          <w:szCs w:val="24"/>
        </w:rPr>
        <w:t xml:space="preserve"> direto com a atenção primária à</w:t>
      </w:r>
      <w:r>
        <w:rPr>
          <w:rFonts w:ascii="Arial" w:hAnsi="Arial" w:cs="Arial"/>
          <w:sz w:val="24"/>
          <w:szCs w:val="24"/>
        </w:rPr>
        <w:t xml:space="preserve"> saúde. </w:t>
      </w:r>
      <w:r w:rsidRPr="009925E4">
        <w:rPr>
          <w:rFonts w:ascii="Arial" w:hAnsi="Arial" w:cs="Arial"/>
          <w:sz w:val="24"/>
          <w:szCs w:val="24"/>
        </w:rPr>
        <w:t xml:space="preserve">O desconhecimento e/ou negligência por parte de gestores e profissionais de saúde do modelo de determinação social; aspectos psicossociais e necessidades específicas da população trans e travesti; o padrão binário, cis e </w:t>
      </w:r>
      <w:proofErr w:type="spellStart"/>
      <w:r w:rsidRPr="009925E4">
        <w:rPr>
          <w:rFonts w:ascii="Arial" w:hAnsi="Arial" w:cs="Arial"/>
          <w:sz w:val="24"/>
          <w:szCs w:val="24"/>
        </w:rPr>
        <w:t>heteronormativo</w:t>
      </w:r>
      <w:proofErr w:type="spellEnd"/>
      <w:r w:rsidRPr="009925E4">
        <w:rPr>
          <w:rFonts w:ascii="Arial" w:hAnsi="Arial" w:cs="Arial"/>
          <w:sz w:val="24"/>
          <w:szCs w:val="24"/>
        </w:rPr>
        <w:t xml:space="preserve"> das práticas de saúde; </w:t>
      </w:r>
      <w:r>
        <w:rPr>
          <w:rFonts w:ascii="Arial" w:hAnsi="Arial" w:cs="Arial"/>
          <w:sz w:val="24"/>
          <w:szCs w:val="24"/>
        </w:rPr>
        <w:t xml:space="preserve">a falta de </w:t>
      </w:r>
      <w:r w:rsidRPr="005E15D7">
        <w:rPr>
          <w:rFonts w:ascii="Arial" w:hAnsi="Arial" w:cs="Arial"/>
          <w:sz w:val="24"/>
          <w:szCs w:val="24"/>
        </w:rPr>
        <w:t>conteúdo formal sobre a saúde LGBTQ</w:t>
      </w:r>
      <w:r>
        <w:rPr>
          <w:rFonts w:ascii="Arial" w:hAnsi="Arial" w:cs="Arial"/>
          <w:sz w:val="24"/>
          <w:szCs w:val="24"/>
        </w:rPr>
        <w:t>IA+ nos cursos de saúde</w:t>
      </w:r>
      <w:r w:rsidRPr="009925E4">
        <w:rPr>
          <w:rFonts w:ascii="Arial" w:hAnsi="Arial" w:cs="Arial"/>
          <w:sz w:val="24"/>
          <w:szCs w:val="24"/>
        </w:rPr>
        <w:t xml:space="preserve">; o preconceito nas subjetividades de usuários e profissionais; </w:t>
      </w:r>
      <w:r>
        <w:rPr>
          <w:rFonts w:ascii="Arial" w:hAnsi="Arial" w:cs="Arial"/>
          <w:sz w:val="24"/>
          <w:szCs w:val="24"/>
        </w:rPr>
        <w:t>além do</w:t>
      </w:r>
      <w:r w:rsidRPr="009925E4">
        <w:rPr>
          <w:rFonts w:ascii="Arial" w:hAnsi="Arial" w:cs="Arial"/>
          <w:sz w:val="24"/>
          <w:szCs w:val="24"/>
        </w:rPr>
        <w:t xml:space="preserve"> preconceito institucional em suas múltiplas facetas</w:t>
      </w:r>
      <w:r w:rsidR="00F774EC">
        <w:rPr>
          <w:rFonts w:ascii="Arial" w:hAnsi="Arial" w:cs="Arial"/>
          <w:sz w:val="24"/>
          <w:szCs w:val="24"/>
        </w:rPr>
        <w:t>,</w:t>
      </w:r>
      <w:r w:rsidRPr="009925E4">
        <w:rPr>
          <w:rFonts w:ascii="Arial" w:hAnsi="Arial" w:cs="Arial"/>
          <w:sz w:val="24"/>
          <w:szCs w:val="24"/>
        </w:rPr>
        <w:t xml:space="preserve"> dificultam o cumprimento das ações pautadas pelas políticas de equidade,</w:t>
      </w:r>
      <w:r>
        <w:rPr>
          <w:rFonts w:ascii="Arial" w:hAnsi="Arial" w:cs="Arial"/>
          <w:sz w:val="24"/>
          <w:szCs w:val="24"/>
        </w:rPr>
        <w:t xml:space="preserve"> </w:t>
      </w:r>
      <w:r w:rsidRPr="009925E4">
        <w:rPr>
          <w:rFonts w:ascii="Arial" w:hAnsi="Arial" w:cs="Arial"/>
          <w:sz w:val="24"/>
          <w:szCs w:val="24"/>
        </w:rPr>
        <w:t xml:space="preserve">universalidade do acesso </w:t>
      </w:r>
      <w:r w:rsidR="00F774EC">
        <w:rPr>
          <w:rFonts w:ascii="Arial" w:hAnsi="Arial" w:cs="Arial"/>
          <w:sz w:val="24"/>
          <w:szCs w:val="24"/>
        </w:rPr>
        <w:t xml:space="preserve">e </w:t>
      </w:r>
      <w:r w:rsidRPr="009925E4">
        <w:rPr>
          <w:rFonts w:ascii="Arial" w:hAnsi="Arial" w:cs="Arial"/>
          <w:sz w:val="24"/>
          <w:szCs w:val="24"/>
        </w:rPr>
        <w:t>cuidado integral</w:t>
      </w:r>
      <w:r>
        <w:rPr>
          <w:rFonts w:ascii="Arial" w:hAnsi="Arial" w:cs="Arial"/>
          <w:sz w:val="24"/>
          <w:szCs w:val="24"/>
        </w:rPr>
        <w:t xml:space="preserve"> do indivíduo</w:t>
      </w:r>
      <w:r w:rsidRPr="009925E4">
        <w:rPr>
          <w:rFonts w:ascii="Arial" w:hAnsi="Arial" w:cs="Arial"/>
          <w:sz w:val="24"/>
          <w:szCs w:val="24"/>
        </w:rPr>
        <w:t xml:space="preserve">. </w:t>
      </w:r>
      <w:r w:rsidRPr="00C17DC6">
        <w:rPr>
          <w:rFonts w:ascii="Arial" w:hAnsi="Arial" w:cs="Arial"/>
          <w:b/>
          <w:bCs/>
          <w:sz w:val="24"/>
          <w:szCs w:val="24"/>
        </w:rPr>
        <w:t>Conclusão</w:t>
      </w:r>
      <w:r w:rsidRPr="009925E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Apesar da existência de uma </w:t>
      </w:r>
      <w:r w:rsidRPr="00C83E37">
        <w:rPr>
          <w:rFonts w:ascii="Arial" w:hAnsi="Arial" w:cs="Arial"/>
          <w:sz w:val="24"/>
          <w:szCs w:val="24"/>
        </w:rPr>
        <w:t xml:space="preserve">Política Nacional de Saúde Integral </w:t>
      </w:r>
      <w:r>
        <w:rPr>
          <w:rFonts w:ascii="Arial" w:hAnsi="Arial" w:cs="Arial"/>
          <w:sz w:val="24"/>
          <w:szCs w:val="24"/>
        </w:rPr>
        <w:t xml:space="preserve">da população </w:t>
      </w:r>
      <w:r w:rsidRPr="009925E4">
        <w:rPr>
          <w:rFonts w:ascii="Arial" w:hAnsi="Arial" w:cs="Arial"/>
          <w:sz w:val="24"/>
          <w:szCs w:val="24"/>
        </w:rPr>
        <w:t>LGBTQIA+</w:t>
      </w:r>
      <w:r>
        <w:rPr>
          <w:rFonts w:ascii="Arial" w:hAnsi="Arial" w:cs="Arial"/>
          <w:sz w:val="24"/>
          <w:szCs w:val="24"/>
        </w:rPr>
        <w:t xml:space="preserve"> formulada pelo </w:t>
      </w:r>
      <w:r w:rsidRPr="003C0539">
        <w:rPr>
          <w:rFonts w:ascii="Arial" w:hAnsi="Arial" w:cs="Arial"/>
          <w:sz w:val="24"/>
          <w:szCs w:val="24"/>
        </w:rPr>
        <w:t>Ministério da Saúde</w:t>
      </w:r>
      <w:r>
        <w:rPr>
          <w:rFonts w:ascii="Arial" w:hAnsi="Arial" w:cs="Arial"/>
          <w:sz w:val="24"/>
          <w:szCs w:val="24"/>
        </w:rPr>
        <w:t xml:space="preserve"> do Brasil, é evidente a dificuldade d</w:t>
      </w:r>
      <w:r w:rsidRPr="003C0539">
        <w:rPr>
          <w:rFonts w:ascii="Arial" w:hAnsi="Arial" w:cs="Arial"/>
          <w:sz w:val="24"/>
          <w:szCs w:val="24"/>
        </w:rPr>
        <w:t>o acesso aos serviços de saúde</w:t>
      </w:r>
      <w:r>
        <w:rPr>
          <w:rFonts w:ascii="Arial" w:hAnsi="Arial" w:cs="Arial"/>
          <w:sz w:val="24"/>
          <w:szCs w:val="24"/>
        </w:rPr>
        <w:t xml:space="preserve"> por esse público. </w:t>
      </w:r>
      <w:r w:rsidR="0010434F" w:rsidRPr="001618CF">
        <w:rPr>
          <w:rFonts w:ascii="Arial" w:hAnsi="Arial" w:cs="Arial"/>
          <w:sz w:val="24"/>
          <w:szCs w:val="24"/>
        </w:rPr>
        <w:t>As</w:t>
      </w:r>
      <w:r w:rsidRPr="001618CF">
        <w:rPr>
          <w:rFonts w:ascii="Arial" w:hAnsi="Arial" w:cs="Arial"/>
          <w:sz w:val="24"/>
          <w:szCs w:val="24"/>
        </w:rPr>
        <w:t xml:space="preserve"> políticas públicas para a inserção desta população nos serviços de saúde</w:t>
      </w:r>
      <w:r w:rsidR="0010434F" w:rsidRPr="001618CF">
        <w:rPr>
          <w:rFonts w:ascii="Arial" w:hAnsi="Arial" w:cs="Arial"/>
          <w:sz w:val="24"/>
          <w:szCs w:val="24"/>
        </w:rPr>
        <w:t xml:space="preserve"> são </w:t>
      </w:r>
      <w:r w:rsidR="00357148" w:rsidRPr="001618CF">
        <w:rPr>
          <w:rFonts w:ascii="Arial" w:hAnsi="Arial" w:cs="Arial"/>
          <w:sz w:val="24"/>
          <w:szCs w:val="24"/>
        </w:rPr>
        <w:t>indispensáveis</w:t>
      </w:r>
      <w:r w:rsidRPr="001618CF">
        <w:rPr>
          <w:rFonts w:ascii="Arial" w:hAnsi="Arial" w:cs="Arial"/>
          <w:sz w:val="24"/>
          <w:szCs w:val="24"/>
        </w:rPr>
        <w:t>,</w:t>
      </w:r>
      <w:r w:rsidR="00357148" w:rsidRPr="001618CF">
        <w:rPr>
          <w:rFonts w:ascii="Arial" w:hAnsi="Arial" w:cs="Arial"/>
          <w:sz w:val="24"/>
          <w:szCs w:val="24"/>
        </w:rPr>
        <w:t xml:space="preserve"> assim como sua efetiva implementação,</w:t>
      </w:r>
      <w:r w:rsidRPr="001618CF">
        <w:rPr>
          <w:rFonts w:ascii="Arial" w:hAnsi="Arial" w:cs="Arial"/>
          <w:sz w:val="24"/>
          <w:szCs w:val="24"/>
        </w:rPr>
        <w:t xml:space="preserve"> em especial na atenção básica, porta </w:t>
      </w:r>
      <w:r w:rsidR="00F774EC" w:rsidRPr="001618CF">
        <w:rPr>
          <w:rFonts w:ascii="Arial" w:hAnsi="Arial" w:cs="Arial"/>
          <w:sz w:val="24"/>
          <w:szCs w:val="24"/>
        </w:rPr>
        <w:t>d</w:t>
      </w:r>
      <w:r w:rsidRPr="001618CF">
        <w:rPr>
          <w:rFonts w:ascii="Arial" w:hAnsi="Arial" w:cs="Arial"/>
          <w:sz w:val="24"/>
          <w:szCs w:val="24"/>
        </w:rPr>
        <w:t>e entrada do usuário no sistema.</w:t>
      </w:r>
    </w:p>
    <w:p w14:paraId="29E84981" w14:textId="2A4EFA48" w:rsidR="000B7108" w:rsidRPr="001F28E2" w:rsidRDefault="000B7108" w:rsidP="00955F8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28E2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</w:t>
      </w:r>
      <w:r w:rsidRPr="000B7108">
        <w:rPr>
          <w:rFonts w:ascii="Arial" w:hAnsi="Arial" w:cs="Arial"/>
          <w:sz w:val="24"/>
          <w:szCs w:val="24"/>
        </w:rPr>
        <w:tab/>
        <w:t>Minorias Sexuais e de Gênero</w:t>
      </w:r>
      <w:r>
        <w:rPr>
          <w:rFonts w:ascii="Arial" w:hAnsi="Arial" w:cs="Arial"/>
          <w:sz w:val="24"/>
          <w:szCs w:val="24"/>
        </w:rPr>
        <w:t xml:space="preserve">; </w:t>
      </w:r>
      <w:r w:rsidR="003232DE" w:rsidRPr="003232DE">
        <w:rPr>
          <w:rFonts w:ascii="Arial" w:hAnsi="Arial" w:cs="Arial"/>
          <w:sz w:val="24"/>
          <w:szCs w:val="24"/>
        </w:rPr>
        <w:t>Transexualidade</w:t>
      </w:r>
      <w:r w:rsidR="003232DE">
        <w:rPr>
          <w:rFonts w:ascii="Arial" w:hAnsi="Arial" w:cs="Arial"/>
          <w:sz w:val="24"/>
          <w:szCs w:val="24"/>
        </w:rPr>
        <w:t>;</w:t>
      </w:r>
      <w:r w:rsidRPr="000B7108">
        <w:rPr>
          <w:rFonts w:ascii="Arial" w:hAnsi="Arial" w:cs="Arial"/>
          <w:sz w:val="24"/>
          <w:szCs w:val="24"/>
        </w:rPr>
        <w:t xml:space="preserve"> Acesso </w:t>
      </w:r>
      <w:r w:rsidRPr="001F28E2">
        <w:rPr>
          <w:rFonts w:ascii="Arial" w:hAnsi="Arial" w:cs="Arial"/>
          <w:sz w:val="24"/>
          <w:szCs w:val="24"/>
        </w:rPr>
        <w:t>aos Serviços de Saúde</w:t>
      </w:r>
      <w:r w:rsidR="003232DE" w:rsidRPr="001F28E2">
        <w:rPr>
          <w:rFonts w:ascii="Arial" w:hAnsi="Arial" w:cs="Arial"/>
          <w:sz w:val="24"/>
          <w:szCs w:val="24"/>
        </w:rPr>
        <w:t>.</w:t>
      </w:r>
    </w:p>
    <w:p w14:paraId="3E79548B" w14:textId="77777777" w:rsidR="001F28E2" w:rsidRPr="001F28E2" w:rsidRDefault="001F28E2" w:rsidP="001F28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28E2">
        <w:rPr>
          <w:rFonts w:ascii="Arial" w:hAnsi="Arial" w:cs="Arial"/>
          <w:b/>
          <w:sz w:val="24"/>
          <w:szCs w:val="24"/>
        </w:rPr>
        <w:t>Nº de Protocolo do CEP ou CEUA</w:t>
      </w:r>
      <w:r w:rsidRPr="001F28E2">
        <w:rPr>
          <w:rFonts w:ascii="Arial" w:hAnsi="Arial" w:cs="Arial"/>
          <w:sz w:val="24"/>
          <w:szCs w:val="24"/>
        </w:rPr>
        <w:t>: Não se aplica.</w:t>
      </w:r>
    </w:p>
    <w:p w14:paraId="1C3F495F" w14:textId="407CB56B" w:rsidR="001F28E2" w:rsidRPr="001F28E2" w:rsidRDefault="001F28E2" w:rsidP="00955F8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28E2">
        <w:rPr>
          <w:rFonts w:ascii="Arial" w:hAnsi="Arial" w:cs="Arial"/>
          <w:b/>
          <w:sz w:val="24"/>
          <w:szCs w:val="24"/>
        </w:rPr>
        <w:t>Fonte financiadora</w:t>
      </w:r>
      <w:r w:rsidRPr="001F28E2">
        <w:rPr>
          <w:rFonts w:ascii="Arial" w:hAnsi="Arial" w:cs="Arial"/>
          <w:sz w:val="24"/>
          <w:szCs w:val="24"/>
        </w:rPr>
        <w:t>: Não se aplica.</w:t>
      </w:r>
    </w:p>
    <w:p w14:paraId="32E45E3E" w14:textId="77777777" w:rsidR="003232DE" w:rsidRPr="009925E4" w:rsidRDefault="003232DE" w:rsidP="00955F8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232DE" w:rsidRPr="00992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AD"/>
    <w:rsid w:val="000B7108"/>
    <w:rsid w:val="0010434F"/>
    <w:rsid w:val="0013053C"/>
    <w:rsid w:val="001520B0"/>
    <w:rsid w:val="001618CF"/>
    <w:rsid w:val="001C1B40"/>
    <w:rsid w:val="001F28E2"/>
    <w:rsid w:val="003232DE"/>
    <w:rsid w:val="00357148"/>
    <w:rsid w:val="003C0539"/>
    <w:rsid w:val="00434553"/>
    <w:rsid w:val="004863A3"/>
    <w:rsid w:val="004D2CBD"/>
    <w:rsid w:val="005476B9"/>
    <w:rsid w:val="005E15D7"/>
    <w:rsid w:val="005F5494"/>
    <w:rsid w:val="0069528F"/>
    <w:rsid w:val="006B1B2F"/>
    <w:rsid w:val="0073631C"/>
    <w:rsid w:val="007908AD"/>
    <w:rsid w:val="00920580"/>
    <w:rsid w:val="00955F81"/>
    <w:rsid w:val="009925E4"/>
    <w:rsid w:val="00BE4D8A"/>
    <w:rsid w:val="00C17DC6"/>
    <w:rsid w:val="00C83E37"/>
    <w:rsid w:val="00E03631"/>
    <w:rsid w:val="00F25781"/>
    <w:rsid w:val="00F774EC"/>
    <w:rsid w:val="00F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6EE1"/>
  <w15:chartTrackingRefBased/>
  <w15:docId w15:val="{49C5F657-3530-4B5E-902D-80C7EDA7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E03631"/>
    <w:pPr>
      <w:spacing w:after="120" w:line="276" w:lineRule="auto"/>
      <w:ind w:left="283"/>
    </w:pPr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03631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</dc:creator>
  <cp:keywords/>
  <dc:description/>
  <cp:lastModifiedBy>João Paulo</cp:lastModifiedBy>
  <cp:revision>2</cp:revision>
  <dcterms:created xsi:type="dcterms:W3CDTF">2020-08-14T23:23:00Z</dcterms:created>
  <dcterms:modified xsi:type="dcterms:W3CDTF">2020-08-14T23:23:00Z</dcterms:modified>
</cp:coreProperties>
</file>