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18D2CE" w14:textId="77777777" w:rsidR="00A16D63" w:rsidRDefault="00A16D63" w:rsidP="00A16D63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INFLUÊNCIA DE DIFERENTES SUBSTRATOS E SOMBREAMENTOS NO CRESCIMENTO DE MUDAS DE </w:t>
      </w:r>
      <w:r w:rsidRPr="00761A7C">
        <w:rPr>
          <w:b/>
          <w:i/>
          <w:iCs/>
          <w:sz w:val="24"/>
          <w:szCs w:val="24"/>
        </w:rPr>
        <w:t>Theobroma speciosum</w:t>
      </w:r>
      <w:r w:rsidRPr="00761A7C">
        <w:rPr>
          <w:b/>
          <w:sz w:val="24"/>
          <w:szCs w:val="24"/>
        </w:rPr>
        <w:t xml:space="preserve"> WILLD. EX SPRENG </w:t>
      </w:r>
    </w:p>
    <w:p w14:paraId="7412782D" w14:textId="77777777" w:rsidR="00A16D63" w:rsidRDefault="00A16D63" w:rsidP="003949CE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D915DB4" w14:textId="241AFAFA" w:rsidR="003949CE" w:rsidRDefault="00867117" w:rsidP="00C2571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67A89CE3">
        <w:rPr>
          <w:rFonts w:eastAsia="Calibri"/>
          <w:sz w:val="24"/>
          <w:szCs w:val="24"/>
        </w:rPr>
        <w:t>Jakson Hugo Silva Vilhena</w:t>
      </w:r>
      <w:r w:rsidR="003949CE"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</w:rPr>
        <w:t xml:space="preserve">; </w:t>
      </w:r>
      <w:r>
        <w:rPr>
          <w:rFonts w:eastAsia="Calibri"/>
          <w:sz w:val="24"/>
          <w:szCs w:val="24"/>
        </w:rPr>
        <w:t>L</w:t>
      </w:r>
      <w:r w:rsidRPr="00423679">
        <w:rPr>
          <w:rFonts w:eastAsia="Calibri"/>
          <w:sz w:val="24"/>
          <w:szCs w:val="24"/>
        </w:rPr>
        <w:t>eilso</w:t>
      </w:r>
      <w:r>
        <w:rPr>
          <w:rFonts w:eastAsia="Calibri"/>
          <w:sz w:val="24"/>
          <w:szCs w:val="24"/>
        </w:rPr>
        <w:t>n Willamis Nascimento da Silva</w:t>
      </w:r>
      <w:r w:rsidR="003949CE">
        <w:rPr>
          <w:sz w:val="24"/>
          <w:szCs w:val="24"/>
          <w:vertAlign w:val="superscript"/>
        </w:rPr>
        <w:t>2</w:t>
      </w:r>
      <w:r w:rsidR="003949CE">
        <w:rPr>
          <w:sz w:val="24"/>
          <w:szCs w:val="24"/>
        </w:rPr>
        <w:t xml:space="preserve">; </w:t>
      </w:r>
      <w:r w:rsidRPr="67A89CE3">
        <w:rPr>
          <w:rFonts w:eastAsia="Calibri"/>
          <w:sz w:val="24"/>
          <w:szCs w:val="24"/>
        </w:rPr>
        <w:t>Jonas Vinicius Ferreira da Silva</w:t>
      </w:r>
      <w:r w:rsidR="0027091F">
        <w:rPr>
          <w:sz w:val="24"/>
          <w:szCs w:val="24"/>
          <w:vertAlign w:val="superscript"/>
        </w:rPr>
        <w:t>3;</w:t>
      </w:r>
      <w:r w:rsidRPr="67A89CE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João Victor de Carvalho Gonçalves</w:t>
      </w:r>
      <w:r w:rsidR="0027091F">
        <w:rPr>
          <w:rFonts w:eastAsia="Calibri"/>
          <w:sz w:val="24"/>
          <w:szCs w:val="24"/>
          <w:vertAlign w:val="superscript"/>
        </w:rPr>
        <w:t>4</w:t>
      </w:r>
      <w:r w:rsidR="0027091F" w:rsidRPr="00867117">
        <w:rPr>
          <w:rFonts w:eastAsia="Calibri"/>
          <w:sz w:val="24"/>
          <w:szCs w:val="24"/>
        </w:rPr>
        <w:t>;</w:t>
      </w:r>
      <w:r>
        <w:rPr>
          <w:rFonts w:eastAsia="Calibri"/>
          <w:sz w:val="24"/>
          <w:szCs w:val="24"/>
        </w:rPr>
        <w:t xml:space="preserve"> Tainara Galdino da Silva</w:t>
      </w:r>
      <w:r>
        <w:rPr>
          <w:rFonts w:eastAsia="Calibri"/>
          <w:sz w:val="24"/>
          <w:szCs w:val="24"/>
          <w:vertAlign w:val="superscript"/>
        </w:rPr>
        <w:t>5</w:t>
      </w:r>
      <w:r>
        <w:rPr>
          <w:rFonts w:eastAsia="Calibri"/>
          <w:sz w:val="24"/>
          <w:szCs w:val="24"/>
        </w:rPr>
        <w:t>; Kelly Katarina Ferreira do Nascimento</w:t>
      </w:r>
      <w:r>
        <w:rPr>
          <w:rFonts w:eastAsia="Calibri"/>
          <w:sz w:val="24"/>
          <w:szCs w:val="24"/>
          <w:vertAlign w:val="superscript"/>
        </w:rPr>
        <w:t>6</w:t>
      </w:r>
      <w:r w:rsidRPr="000E0DF2">
        <w:rPr>
          <w:rFonts w:eastAsia="Calibri"/>
          <w:sz w:val="24"/>
          <w:szCs w:val="24"/>
        </w:rPr>
        <w:t>; Luiz Fernandes Silva Dionisio</w:t>
      </w:r>
      <w:r>
        <w:rPr>
          <w:rFonts w:eastAsia="Calibri"/>
          <w:sz w:val="24"/>
          <w:szCs w:val="24"/>
          <w:vertAlign w:val="superscript"/>
        </w:rPr>
        <w:t>7</w:t>
      </w:r>
    </w:p>
    <w:p w14:paraId="7B241663" w14:textId="77777777" w:rsidR="00C25714" w:rsidRPr="00C25714" w:rsidRDefault="00C25714" w:rsidP="00C2571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3D6E02E" w14:textId="70D1251D" w:rsidR="003949CE" w:rsidRDefault="00C25714" w:rsidP="00867117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/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3949CE">
        <w:rPr>
          <w:sz w:val="24"/>
          <w:szCs w:val="24"/>
          <w:vertAlign w:val="superscript"/>
        </w:rPr>
        <w:t xml:space="preserve"> </w:t>
      </w:r>
      <w:r w:rsidR="00867117" w:rsidRPr="00867117">
        <w:rPr>
          <w:rFonts w:eastAsia="Calibri"/>
          <w:iCs/>
          <w:sz w:val="24"/>
          <w:szCs w:val="24"/>
        </w:rPr>
        <w:t>Graduando em Engenharia Florestal, Universidade do Estado do Pará, Castanhal, Pará</w:t>
      </w:r>
      <w:r w:rsidR="00B71963">
        <w:rPr>
          <w:rFonts w:eastAsia="Calibri"/>
          <w:iCs/>
          <w:sz w:val="24"/>
          <w:szCs w:val="24"/>
        </w:rPr>
        <w:t xml:space="preserve">. </w:t>
      </w:r>
      <w:r w:rsidR="00B71963" w:rsidRPr="00B71963">
        <w:rPr>
          <w:rFonts w:eastAsia="Calibri"/>
          <w:iCs/>
          <w:sz w:val="24"/>
          <w:szCs w:val="24"/>
        </w:rPr>
        <w:t>Jakson.hsvilhena@aluno.uepa.br</w:t>
      </w:r>
      <w:r w:rsidR="00867117" w:rsidRPr="00CE4130">
        <w:rPr>
          <w:rFonts w:eastAsia="Calibri"/>
          <w:i/>
          <w:sz w:val="24"/>
          <w:szCs w:val="24"/>
        </w:rPr>
        <w:t xml:space="preserve"> </w:t>
      </w:r>
    </w:p>
    <w:p w14:paraId="5486C31D" w14:textId="2F3B8FB2" w:rsidR="00C25714" w:rsidRDefault="00C25714" w:rsidP="00867117">
      <w:pPr>
        <w:keepLines/>
        <w:shd w:val="clear" w:color="auto" w:fill="FFFFFF"/>
        <w:tabs>
          <w:tab w:val="left" w:pos="2500"/>
        </w:tabs>
        <w:jc w:val="center"/>
        <w:rPr>
          <w:iCs/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Pr="00867117">
        <w:rPr>
          <w:rFonts w:eastAsia="Calibri"/>
          <w:iCs/>
          <w:sz w:val="24"/>
          <w:szCs w:val="24"/>
        </w:rPr>
        <w:t>Graduando</w:t>
      </w:r>
      <w:r>
        <w:rPr>
          <w:rFonts w:eastAsia="Calibri"/>
          <w:iCs/>
          <w:sz w:val="24"/>
          <w:szCs w:val="24"/>
        </w:rPr>
        <w:t xml:space="preserve"> </w:t>
      </w:r>
      <w:r w:rsidRPr="00867117">
        <w:rPr>
          <w:rFonts w:eastAsia="Calibri"/>
          <w:iCs/>
          <w:sz w:val="24"/>
          <w:szCs w:val="24"/>
        </w:rPr>
        <w:t>em Engenharia Florestal, Universidade do Estado do Pará, Castanhal, Pará</w:t>
      </w:r>
    </w:p>
    <w:p w14:paraId="3506C65A" w14:textId="15FB186F" w:rsidR="00C25714" w:rsidRDefault="00C25714" w:rsidP="00867117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 w:rsidRPr="00867117">
        <w:rPr>
          <w:rFonts w:eastAsia="Calibri"/>
          <w:iCs/>
          <w:sz w:val="24"/>
          <w:szCs w:val="24"/>
        </w:rPr>
        <w:t>Graduando em Engenharia Florestal, Universidade do Estado do Pará, Castanhal, Pará</w:t>
      </w:r>
    </w:p>
    <w:p w14:paraId="4707A802" w14:textId="0B0485B0" w:rsidR="00C25714" w:rsidRDefault="00C25714" w:rsidP="00867117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 w:rsidRPr="00867117">
        <w:rPr>
          <w:rFonts w:eastAsia="Calibri"/>
          <w:iCs/>
          <w:sz w:val="24"/>
          <w:szCs w:val="24"/>
        </w:rPr>
        <w:t>Graduand</w:t>
      </w:r>
      <w:r>
        <w:rPr>
          <w:rFonts w:eastAsia="Calibri"/>
          <w:iCs/>
          <w:sz w:val="24"/>
          <w:szCs w:val="24"/>
        </w:rPr>
        <w:t>o</w:t>
      </w:r>
      <w:r w:rsidRPr="00867117">
        <w:rPr>
          <w:rFonts w:eastAsia="Calibri"/>
          <w:iCs/>
          <w:sz w:val="24"/>
          <w:szCs w:val="24"/>
        </w:rPr>
        <w:t xml:space="preserve"> em Engenharia Florestal, Universidade do Estado do Pará, Castanhal, Pará</w:t>
      </w:r>
    </w:p>
    <w:p w14:paraId="08D72F86" w14:textId="7E50D77E" w:rsidR="00C25714" w:rsidRDefault="00C25714" w:rsidP="00867117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 w:rsidRPr="00867117">
        <w:rPr>
          <w:rFonts w:eastAsia="Calibri"/>
          <w:iCs/>
          <w:sz w:val="24"/>
          <w:szCs w:val="24"/>
        </w:rPr>
        <w:t>Graduand</w:t>
      </w:r>
      <w:r>
        <w:rPr>
          <w:rFonts w:eastAsia="Calibri"/>
          <w:iCs/>
          <w:sz w:val="24"/>
          <w:szCs w:val="24"/>
        </w:rPr>
        <w:t>a</w:t>
      </w:r>
      <w:r w:rsidRPr="00867117">
        <w:rPr>
          <w:rFonts w:eastAsia="Calibri"/>
          <w:iCs/>
          <w:sz w:val="24"/>
          <w:szCs w:val="24"/>
        </w:rPr>
        <w:t xml:space="preserve"> em Engenharia Florestal, Universidade do Estado do Pará, Castanhal, Pará</w:t>
      </w:r>
    </w:p>
    <w:p w14:paraId="16F7B875" w14:textId="673CB4B0" w:rsidR="00C25714" w:rsidRPr="00C25714" w:rsidRDefault="00C25714" w:rsidP="00C25714">
      <w:pPr>
        <w:keepLines/>
        <w:shd w:val="clear" w:color="auto" w:fill="FFFFFF"/>
        <w:tabs>
          <w:tab w:val="left" w:pos="2500"/>
        </w:tabs>
        <w:jc w:val="center"/>
        <w:rPr>
          <w:rFonts w:eastAsia="Calibri"/>
          <w:i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 w:rsidRPr="00867117">
        <w:rPr>
          <w:rFonts w:eastAsia="Calibri"/>
          <w:iCs/>
          <w:sz w:val="24"/>
          <w:szCs w:val="24"/>
        </w:rPr>
        <w:t>Graduand</w:t>
      </w:r>
      <w:r>
        <w:rPr>
          <w:rFonts w:eastAsia="Calibri"/>
          <w:iCs/>
          <w:sz w:val="24"/>
          <w:szCs w:val="24"/>
        </w:rPr>
        <w:t>a</w:t>
      </w:r>
      <w:r w:rsidRPr="00867117">
        <w:rPr>
          <w:rFonts w:eastAsia="Calibri"/>
          <w:iCs/>
          <w:sz w:val="24"/>
          <w:szCs w:val="24"/>
        </w:rPr>
        <w:t xml:space="preserve"> em Engenharia Florestal, Universidade do Estado do Pará, Castanhal, Pará</w:t>
      </w:r>
    </w:p>
    <w:p w14:paraId="67D86BB0" w14:textId="76586C12" w:rsidR="00C25714" w:rsidRPr="00867117" w:rsidRDefault="00C25714" w:rsidP="00C25714">
      <w:pPr>
        <w:keepLines/>
        <w:shd w:val="clear" w:color="auto" w:fill="FFFFFF"/>
        <w:tabs>
          <w:tab w:val="left" w:pos="2500"/>
        </w:tabs>
        <w:jc w:val="center"/>
        <w:rPr>
          <w:iCs/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 w:rsidRPr="00867117">
        <w:rPr>
          <w:rFonts w:eastAsia="Calibri"/>
          <w:iCs/>
          <w:sz w:val="24"/>
          <w:szCs w:val="24"/>
        </w:rPr>
        <w:t>Doutor em Ciências Florestais, Universidade do Estado do Pará, Castanhal, Pará</w:t>
      </w:r>
    </w:p>
    <w:p w14:paraId="6562E980" w14:textId="77777777" w:rsidR="003949CE" w:rsidRDefault="003949CE" w:rsidP="003949CE">
      <w:pPr>
        <w:keepLines/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10" w:lineRule="auto"/>
        <w:jc w:val="center"/>
        <w:rPr>
          <w:sz w:val="24"/>
          <w:szCs w:val="24"/>
        </w:rPr>
      </w:pPr>
    </w:p>
    <w:p w14:paraId="1EA4B476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RESUMO</w:t>
      </w:r>
    </w:p>
    <w:p w14:paraId="598CF636" w14:textId="77777777" w:rsidR="00A16D63" w:rsidRDefault="00A16D63" w:rsidP="00A16D63">
      <w:pPr>
        <w:pStyle w:val="PargrafodaLista"/>
        <w:tabs>
          <w:tab w:val="left" w:pos="2015"/>
          <w:tab w:val="left" w:pos="2016"/>
        </w:tabs>
        <w:ind w:left="0" w:firstLine="0"/>
        <w:rPr>
          <w:sz w:val="24"/>
          <w:szCs w:val="24"/>
        </w:rPr>
      </w:pPr>
      <w:r w:rsidRPr="007C779C">
        <w:rPr>
          <w:sz w:val="24"/>
          <w:szCs w:val="24"/>
        </w:rPr>
        <w:t>O cacauí (</w:t>
      </w:r>
      <w:r w:rsidRPr="007C779C">
        <w:rPr>
          <w:rStyle w:val="nfase"/>
          <w:sz w:val="24"/>
          <w:szCs w:val="24"/>
        </w:rPr>
        <w:t>Theobroma speciosum</w:t>
      </w:r>
      <w:r w:rsidRPr="007C779C">
        <w:rPr>
          <w:sz w:val="24"/>
          <w:szCs w:val="24"/>
        </w:rPr>
        <w:t>) é uma espécie</w:t>
      </w:r>
      <w:r>
        <w:rPr>
          <w:sz w:val="24"/>
          <w:szCs w:val="24"/>
        </w:rPr>
        <w:t xml:space="preserve"> frutífera </w:t>
      </w:r>
      <w:r w:rsidRPr="007C779C">
        <w:rPr>
          <w:sz w:val="24"/>
          <w:szCs w:val="24"/>
        </w:rPr>
        <w:t>nativa da Amazônia</w:t>
      </w:r>
      <w:r>
        <w:rPr>
          <w:sz w:val="24"/>
          <w:szCs w:val="24"/>
        </w:rPr>
        <w:t xml:space="preserve"> e </w:t>
      </w:r>
      <w:r w:rsidRPr="007C779C">
        <w:rPr>
          <w:sz w:val="24"/>
          <w:szCs w:val="24"/>
        </w:rPr>
        <w:t xml:space="preserve">pertencente à família </w:t>
      </w:r>
      <w:r w:rsidRPr="00286CF2">
        <w:rPr>
          <w:i/>
          <w:iCs/>
          <w:sz w:val="24"/>
          <w:szCs w:val="24"/>
        </w:rPr>
        <w:t>Malvaceae</w:t>
      </w:r>
      <w:r>
        <w:rPr>
          <w:sz w:val="24"/>
          <w:szCs w:val="24"/>
        </w:rPr>
        <w:t>.</w:t>
      </w:r>
      <w:r w:rsidRPr="007D26BA">
        <w:rPr>
          <w:sz w:val="24"/>
          <w:szCs w:val="24"/>
        </w:rPr>
        <w:t xml:space="preserve"> </w:t>
      </w:r>
      <w:r w:rsidRPr="67A89CE3">
        <w:rPr>
          <w:sz w:val="24"/>
          <w:szCs w:val="24"/>
        </w:rPr>
        <w:t>Apesar do seu potencial nos programas de melhoramento genético o cacauí ainda é uma das espécies menos estudadas do gênero</w:t>
      </w:r>
      <w:r>
        <w:rPr>
          <w:sz w:val="24"/>
          <w:szCs w:val="24"/>
        </w:rPr>
        <w:t xml:space="preserve"> </w:t>
      </w:r>
      <w:r w:rsidRPr="006F2EAA">
        <w:rPr>
          <w:i/>
          <w:iCs/>
          <w:sz w:val="24"/>
          <w:szCs w:val="24"/>
        </w:rPr>
        <w:t>Theobroma</w:t>
      </w:r>
      <w:r>
        <w:rPr>
          <w:sz w:val="24"/>
          <w:szCs w:val="24"/>
        </w:rPr>
        <w:t>.</w:t>
      </w:r>
      <w:r w:rsidRPr="007C779C">
        <w:rPr>
          <w:sz w:val="24"/>
          <w:szCs w:val="24"/>
        </w:rPr>
        <w:t xml:space="preserve"> Este </w:t>
      </w:r>
      <w:r>
        <w:rPr>
          <w:sz w:val="24"/>
          <w:szCs w:val="24"/>
        </w:rPr>
        <w:t xml:space="preserve">trabalho </w:t>
      </w:r>
      <w:r w:rsidRPr="007C779C">
        <w:rPr>
          <w:sz w:val="24"/>
          <w:szCs w:val="24"/>
        </w:rPr>
        <w:t>teve como objetivo avaliar a produção de mudas</w:t>
      </w:r>
      <w:r>
        <w:rPr>
          <w:sz w:val="24"/>
          <w:szCs w:val="24"/>
        </w:rPr>
        <w:t xml:space="preserve"> </w:t>
      </w:r>
      <w:r w:rsidRPr="007C779C">
        <w:rPr>
          <w:sz w:val="24"/>
          <w:szCs w:val="24"/>
        </w:rPr>
        <w:t>e o desenvolvimento inicial da espécie, investigando os efeitos da intensidade luminosa e do tipo de substrato sobre o crescimento em altura</w:t>
      </w:r>
      <w:r>
        <w:rPr>
          <w:sz w:val="24"/>
          <w:szCs w:val="24"/>
        </w:rPr>
        <w:t xml:space="preserve"> </w:t>
      </w:r>
      <w:r w:rsidRPr="007C779C">
        <w:rPr>
          <w:sz w:val="24"/>
          <w:szCs w:val="24"/>
        </w:rPr>
        <w:t xml:space="preserve">e </w:t>
      </w:r>
      <w:r>
        <w:rPr>
          <w:sz w:val="24"/>
          <w:szCs w:val="24"/>
        </w:rPr>
        <w:t>n</w:t>
      </w:r>
      <w:r w:rsidRPr="007C779C">
        <w:rPr>
          <w:sz w:val="24"/>
          <w:szCs w:val="24"/>
        </w:rPr>
        <w:t xml:space="preserve">o diâmetro do coleto. O experimento foi conduzido </w:t>
      </w:r>
      <w:r>
        <w:rPr>
          <w:sz w:val="24"/>
          <w:szCs w:val="24"/>
        </w:rPr>
        <w:t>n</w:t>
      </w:r>
      <w:r w:rsidRPr="007C779C">
        <w:rPr>
          <w:sz w:val="24"/>
          <w:szCs w:val="24"/>
        </w:rPr>
        <w:t>a Universidade do Estado do Pará (UEPA), campus de Castanhal, durante 1</w:t>
      </w:r>
      <w:r>
        <w:rPr>
          <w:sz w:val="24"/>
          <w:szCs w:val="24"/>
        </w:rPr>
        <w:t>8</w:t>
      </w:r>
      <w:r w:rsidRPr="007C779C">
        <w:rPr>
          <w:sz w:val="24"/>
          <w:szCs w:val="24"/>
        </w:rPr>
        <w:t>0 dias</w:t>
      </w:r>
      <w:r>
        <w:rPr>
          <w:sz w:val="24"/>
          <w:szCs w:val="24"/>
        </w:rPr>
        <w:t>.</w:t>
      </w:r>
      <w:r>
        <w:rPr>
          <w:rFonts w:eastAsia="Calibri"/>
          <w:sz w:val="24"/>
          <w:szCs w:val="24"/>
        </w:rPr>
        <w:t xml:space="preserve"> </w:t>
      </w:r>
      <w:r>
        <w:rPr>
          <w:sz w:val="24"/>
          <w:szCs w:val="24"/>
        </w:rPr>
        <w:t>Foram utilizadas</w:t>
      </w:r>
      <w:r w:rsidRPr="007C779C">
        <w:rPr>
          <w:sz w:val="24"/>
          <w:szCs w:val="24"/>
        </w:rPr>
        <w:t xml:space="preserve"> três </w:t>
      </w:r>
      <w:r>
        <w:rPr>
          <w:sz w:val="24"/>
          <w:szCs w:val="24"/>
        </w:rPr>
        <w:t>diferentes condições de luminosidade</w:t>
      </w:r>
      <w:r w:rsidRPr="007C779C">
        <w:rPr>
          <w:sz w:val="24"/>
          <w:szCs w:val="24"/>
        </w:rPr>
        <w:t xml:space="preserve">: 50% de sombreamento, </w:t>
      </w:r>
      <w:r>
        <w:rPr>
          <w:sz w:val="24"/>
          <w:szCs w:val="24"/>
        </w:rPr>
        <w:t xml:space="preserve">a </w:t>
      </w:r>
      <w:r w:rsidRPr="007C779C">
        <w:rPr>
          <w:sz w:val="24"/>
          <w:szCs w:val="24"/>
        </w:rPr>
        <w:t>pleno sol</w:t>
      </w:r>
      <w:r>
        <w:rPr>
          <w:sz w:val="24"/>
          <w:szCs w:val="24"/>
        </w:rPr>
        <w:t>; e dois tipos de substratos: comercial (carolina soil) e florestal (latossolo)</w:t>
      </w:r>
      <w:r w:rsidRPr="007C779C">
        <w:rPr>
          <w:sz w:val="24"/>
          <w:szCs w:val="24"/>
        </w:rPr>
        <w:t xml:space="preserve">e bosque (100% de sombreamento) </w:t>
      </w:r>
      <w:r>
        <w:rPr>
          <w:rFonts w:eastAsia="Calibri"/>
          <w:sz w:val="24"/>
          <w:szCs w:val="24"/>
        </w:rPr>
        <w:t>O delineamento experimental utilizado foi inteiramente casualizado com seis tratamentos e vinte e cinco repetições.</w:t>
      </w:r>
      <w:r w:rsidRPr="007C779C">
        <w:rPr>
          <w:sz w:val="24"/>
          <w:szCs w:val="24"/>
        </w:rPr>
        <w:t xml:space="preserve"> Os resultados demonstraram que tanto o substrato quanto o sombreamento influenciaram significativamente o desenvolvimento das mudas</w:t>
      </w:r>
      <w:r>
        <w:rPr>
          <w:sz w:val="24"/>
          <w:szCs w:val="24"/>
        </w:rPr>
        <w:t xml:space="preserve"> de </w:t>
      </w:r>
      <w:r w:rsidRPr="007C779C">
        <w:rPr>
          <w:rStyle w:val="nfase"/>
          <w:sz w:val="24"/>
          <w:szCs w:val="24"/>
        </w:rPr>
        <w:t>T</w:t>
      </w:r>
      <w:r>
        <w:rPr>
          <w:rStyle w:val="nfase"/>
          <w:sz w:val="24"/>
          <w:szCs w:val="24"/>
        </w:rPr>
        <w:t>.</w:t>
      </w:r>
      <w:r w:rsidRPr="007C779C">
        <w:rPr>
          <w:rStyle w:val="nfase"/>
          <w:sz w:val="24"/>
          <w:szCs w:val="24"/>
        </w:rPr>
        <w:t xml:space="preserve"> speciosum</w:t>
      </w:r>
      <w:r w:rsidRPr="007C779C">
        <w:rPr>
          <w:sz w:val="24"/>
          <w:szCs w:val="24"/>
        </w:rPr>
        <w:t xml:space="preserve">. </w:t>
      </w:r>
      <w:r>
        <w:rPr>
          <w:sz w:val="24"/>
          <w:szCs w:val="24"/>
        </w:rPr>
        <w:t>O</w:t>
      </w:r>
      <w:r w:rsidRPr="007C779C">
        <w:rPr>
          <w:sz w:val="24"/>
          <w:szCs w:val="24"/>
        </w:rPr>
        <w:t xml:space="preserve"> substrato comercial proporcionou maiores incrementos em altura e diâmetro em relação ao substrato florestal, resultado associado à maior disponibilidade de fósforo e potássio. O sombreamento intermediário (50%) foi o que mais favoreceu o crescimento</w:t>
      </w:r>
      <w:r>
        <w:rPr>
          <w:sz w:val="24"/>
          <w:szCs w:val="24"/>
        </w:rPr>
        <w:t xml:space="preserve"> em altura</w:t>
      </w:r>
      <w:r w:rsidRPr="007C779C">
        <w:rPr>
          <w:sz w:val="24"/>
          <w:szCs w:val="24"/>
        </w:rPr>
        <w:t xml:space="preserve">, enquanto </w:t>
      </w:r>
      <w:r>
        <w:rPr>
          <w:sz w:val="24"/>
          <w:szCs w:val="24"/>
        </w:rPr>
        <w:t xml:space="preserve">plantas a </w:t>
      </w:r>
      <w:r w:rsidRPr="007C779C">
        <w:rPr>
          <w:sz w:val="24"/>
          <w:szCs w:val="24"/>
        </w:rPr>
        <w:t xml:space="preserve">pleno sol e </w:t>
      </w:r>
      <w:r>
        <w:rPr>
          <w:sz w:val="24"/>
          <w:szCs w:val="24"/>
        </w:rPr>
        <w:t xml:space="preserve">com </w:t>
      </w:r>
      <w:r w:rsidRPr="007C779C">
        <w:rPr>
          <w:sz w:val="24"/>
          <w:szCs w:val="24"/>
        </w:rPr>
        <w:t xml:space="preserve">100% de sombreamento </w:t>
      </w:r>
      <w:r>
        <w:rPr>
          <w:sz w:val="24"/>
          <w:szCs w:val="24"/>
        </w:rPr>
        <w:t>apresentaram</w:t>
      </w:r>
      <w:r w:rsidRPr="007C779C">
        <w:rPr>
          <w:sz w:val="24"/>
          <w:szCs w:val="24"/>
        </w:rPr>
        <w:t xml:space="preserve"> desempenho </w:t>
      </w:r>
      <w:r>
        <w:rPr>
          <w:sz w:val="24"/>
          <w:szCs w:val="24"/>
        </w:rPr>
        <w:t>semelhantes entre si e inferiores as plantas sob sombreamento de 50%</w:t>
      </w:r>
      <w:r w:rsidRPr="007C779C">
        <w:rPr>
          <w:sz w:val="24"/>
          <w:szCs w:val="24"/>
        </w:rPr>
        <w:t xml:space="preserve">. </w:t>
      </w:r>
      <w:r>
        <w:rPr>
          <w:sz w:val="24"/>
          <w:szCs w:val="24"/>
        </w:rPr>
        <w:t>A</w:t>
      </w:r>
      <w:r w:rsidRPr="007C779C">
        <w:rPr>
          <w:sz w:val="24"/>
          <w:szCs w:val="24"/>
        </w:rPr>
        <w:t xml:space="preserve"> produção de mudas de </w:t>
      </w:r>
      <w:r w:rsidRPr="007C779C">
        <w:rPr>
          <w:rStyle w:val="nfase"/>
          <w:sz w:val="24"/>
          <w:szCs w:val="24"/>
        </w:rPr>
        <w:t>T. speciosum</w:t>
      </w:r>
      <w:r w:rsidRPr="007C779C">
        <w:rPr>
          <w:sz w:val="24"/>
          <w:szCs w:val="24"/>
        </w:rPr>
        <w:t xml:space="preserve"> deve ser realizada</w:t>
      </w:r>
      <w:r>
        <w:rPr>
          <w:sz w:val="24"/>
          <w:szCs w:val="24"/>
        </w:rPr>
        <w:t xml:space="preserve"> </w:t>
      </w:r>
      <w:r w:rsidRPr="007C779C">
        <w:rPr>
          <w:sz w:val="24"/>
          <w:szCs w:val="24"/>
        </w:rPr>
        <w:t>preferencialmente em substrato comercial sob 50% de sombreamento, condições que asseguram melhor equilíbrio entre nutrientes e intensidade luminosa.</w:t>
      </w:r>
    </w:p>
    <w:p w14:paraId="42D75990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1140AE67" w14:textId="77777777" w:rsidR="00A16D63" w:rsidRDefault="003949CE" w:rsidP="00A16D63">
      <w:pPr>
        <w:jc w:val="both"/>
        <w:rPr>
          <w:rFonts w:eastAsia="Calibri"/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A16D63">
        <w:rPr>
          <w:rFonts w:eastAsia="Calibri"/>
          <w:sz w:val="24"/>
          <w:szCs w:val="24"/>
        </w:rPr>
        <w:t>Amazônia; Produção de mudas;</w:t>
      </w:r>
      <w:r w:rsidR="00A16D63" w:rsidRPr="00CE4130">
        <w:rPr>
          <w:rFonts w:eastAsia="Calibri"/>
          <w:sz w:val="24"/>
          <w:szCs w:val="24"/>
        </w:rPr>
        <w:t xml:space="preserve"> </w:t>
      </w:r>
      <w:r w:rsidR="00A16D63">
        <w:rPr>
          <w:rFonts w:eastAsia="Calibri"/>
          <w:sz w:val="24"/>
          <w:szCs w:val="24"/>
        </w:rPr>
        <w:t xml:space="preserve">Substrato </w:t>
      </w:r>
    </w:p>
    <w:p w14:paraId="71340687" w14:textId="796F6F12" w:rsidR="003949CE" w:rsidRDefault="003949CE" w:rsidP="00A16D63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3EB5E4E" w14:textId="1C79379B" w:rsidR="003949CE" w:rsidRDefault="003949CE" w:rsidP="003949CE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 xml:space="preserve">: </w:t>
      </w:r>
      <w:r w:rsidR="000A1B4B">
        <w:rPr>
          <w:sz w:val="24"/>
          <w:szCs w:val="24"/>
        </w:rPr>
        <w:t>Ciências Agr</w:t>
      </w:r>
      <w:r w:rsidR="000436E8">
        <w:rPr>
          <w:sz w:val="24"/>
          <w:szCs w:val="24"/>
        </w:rPr>
        <w:t>á</w:t>
      </w:r>
      <w:r w:rsidR="000A1B4B">
        <w:rPr>
          <w:sz w:val="24"/>
          <w:szCs w:val="24"/>
        </w:rPr>
        <w:t>rias</w:t>
      </w:r>
    </w:p>
    <w:p w14:paraId="278DBA84" w14:textId="77777777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sz w:val="24"/>
          <w:szCs w:val="24"/>
        </w:rPr>
      </w:pPr>
    </w:p>
    <w:p w14:paraId="03392E40" w14:textId="0032DA3F" w:rsidR="003949CE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br w:type="page"/>
      </w:r>
    </w:p>
    <w:p w14:paraId="45B27B6B" w14:textId="77777777" w:rsidR="003949CE" w:rsidRPr="005054B9" w:rsidRDefault="003949CE" w:rsidP="003949CE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b/>
          <w:bCs/>
          <w:sz w:val="24"/>
          <w:szCs w:val="24"/>
        </w:rPr>
      </w:pPr>
    </w:p>
    <w:p w14:paraId="41CD87B0" w14:textId="14EE39B8" w:rsidR="005054B9" w:rsidRPr="005054B9" w:rsidRDefault="005054B9" w:rsidP="00B01136">
      <w:pPr>
        <w:spacing w:line="360" w:lineRule="auto"/>
        <w:rPr>
          <w:b/>
          <w:bCs/>
          <w:color w:val="000000" w:themeColor="text1"/>
          <w:sz w:val="24"/>
          <w:szCs w:val="24"/>
        </w:rPr>
      </w:pPr>
      <w:r>
        <w:rPr>
          <w:b/>
          <w:bCs/>
          <w:color w:val="000000" w:themeColor="text1"/>
          <w:sz w:val="24"/>
          <w:szCs w:val="24"/>
        </w:rPr>
        <w:t xml:space="preserve">1. </w:t>
      </w:r>
      <w:r w:rsidR="003949CE" w:rsidRPr="005054B9">
        <w:rPr>
          <w:b/>
          <w:bCs/>
          <w:color w:val="000000" w:themeColor="text1"/>
          <w:sz w:val="24"/>
          <w:szCs w:val="24"/>
        </w:rPr>
        <w:t xml:space="preserve">INTRODUÇÃO </w:t>
      </w:r>
    </w:p>
    <w:p w14:paraId="263B5B5D" w14:textId="077D4DFF" w:rsidR="005054B9" w:rsidRPr="005054B9" w:rsidRDefault="003949CE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ab/>
      </w:r>
      <w:r w:rsidR="005054B9" w:rsidRPr="005054B9">
        <w:rPr>
          <w:color w:val="000000" w:themeColor="text1"/>
          <w:sz w:val="24"/>
          <w:szCs w:val="24"/>
        </w:rPr>
        <w:t xml:space="preserve">Vulgarmente conhecida como cacauí e de ocorrência natural da região amazônica, </w:t>
      </w:r>
      <w:r w:rsidR="005054B9" w:rsidRPr="00B01136">
        <w:rPr>
          <w:i/>
          <w:iCs/>
          <w:color w:val="000000" w:themeColor="text1"/>
          <w:sz w:val="24"/>
          <w:szCs w:val="24"/>
        </w:rPr>
        <w:t>Theobroma speciosum</w:t>
      </w:r>
      <w:r w:rsidR="005054B9" w:rsidRPr="005054B9">
        <w:rPr>
          <w:color w:val="000000" w:themeColor="text1"/>
          <w:sz w:val="24"/>
          <w:szCs w:val="24"/>
        </w:rPr>
        <w:t xml:space="preserve"> Willd. ex Spreng é uma espécie nativa pertencente à família Malvaceae e ao gênero Theobroma (Mar </w:t>
      </w:r>
      <w:r w:rsidR="005054B9" w:rsidRPr="00B60086">
        <w:rPr>
          <w:i/>
          <w:iCs/>
          <w:color w:val="000000" w:themeColor="text1"/>
          <w:sz w:val="24"/>
          <w:szCs w:val="24"/>
        </w:rPr>
        <w:t>et al</w:t>
      </w:r>
      <w:r w:rsidR="005054B9" w:rsidRPr="005054B9">
        <w:rPr>
          <w:color w:val="000000" w:themeColor="text1"/>
          <w:sz w:val="24"/>
          <w:szCs w:val="24"/>
        </w:rPr>
        <w:t xml:space="preserve">., 2024). </w:t>
      </w:r>
      <w:r w:rsidR="00D16D6D" w:rsidRPr="00D16D6D">
        <w:rPr>
          <w:color w:val="000000" w:themeColor="text1"/>
          <w:sz w:val="24"/>
          <w:szCs w:val="24"/>
        </w:rPr>
        <w:t xml:space="preserve">Por essa razão, a espécie compartilha características genéticas com outras de elevado valor econômico, como </w:t>
      </w:r>
      <w:r w:rsidR="00D16D6D" w:rsidRPr="00D16D6D">
        <w:rPr>
          <w:i/>
          <w:iCs/>
          <w:color w:val="000000" w:themeColor="text1"/>
          <w:sz w:val="24"/>
          <w:szCs w:val="24"/>
        </w:rPr>
        <w:t>Theobroma cacao</w:t>
      </w:r>
      <w:r w:rsidR="00D16D6D" w:rsidRPr="00D16D6D">
        <w:rPr>
          <w:color w:val="000000" w:themeColor="text1"/>
          <w:sz w:val="24"/>
          <w:szCs w:val="24"/>
        </w:rPr>
        <w:t xml:space="preserve"> L. (cacau) e </w:t>
      </w:r>
      <w:r w:rsidR="00D16D6D" w:rsidRPr="00D16D6D">
        <w:rPr>
          <w:i/>
          <w:iCs/>
          <w:color w:val="000000" w:themeColor="text1"/>
          <w:sz w:val="24"/>
          <w:szCs w:val="24"/>
        </w:rPr>
        <w:t>Theobroma grandiflorum</w:t>
      </w:r>
      <w:r w:rsidR="00D16D6D" w:rsidRPr="00D16D6D">
        <w:rPr>
          <w:color w:val="000000" w:themeColor="text1"/>
          <w:sz w:val="24"/>
          <w:szCs w:val="24"/>
        </w:rPr>
        <w:t xml:space="preserve"> (Willd. ex Spreng.) K. Schum. (cupuaçu).</w:t>
      </w:r>
    </w:p>
    <w:p w14:paraId="4E2CC6DE" w14:textId="7D4DAD90" w:rsidR="005054B9" w:rsidRPr="005054B9" w:rsidRDefault="005054B9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 xml:space="preserve">A produção de mudas desempenha papel estratégico na restauração de áreas degradadas, no reflorestamento e no manejo sustentável, sendo considerada uma das principais etapas para garantir a recomposição da vegetação nativa. </w:t>
      </w:r>
      <w:r w:rsidR="00D16D6D" w:rsidRPr="00D16D6D">
        <w:rPr>
          <w:color w:val="000000" w:themeColor="text1"/>
          <w:sz w:val="24"/>
          <w:szCs w:val="24"/>
        </w:rPr>
        <w:t>Além de fornecer material genético de qualidade, essa etapa assegura maior diversidade florística e contribui para a manutenção dos serviços ecossistêmicos essenciais.</w:t>
      </w:r>
      <w:r w:rsidRPr="005054B9">
        <w:rPr>
          <w:color w:val="000000" w:themeColor="text1"/>
          <w:sz w:val="24"/>
          <w:szCs w:val="24"/>
        </w:rPr>
        <w:t xml:space="preserve"> Segundo Rodrigues </w:t>
      </w:r>
      <w:r w:rsidRPr="00B60086">
        <w:rPr>
          <w:i/>
          <w:iCs/>
          <w:color w:val="000000" w:themeColor="text1"/>
          <w:sz w:val="24"/>
          <w:szCs w:val="24"/>
        </w:rPr>
        <w:t>et al</w:t>
      </w:r>
      <w:r w:rsidRPr="005054B9">
        <w:rPr>
          <w:color w:val="000000" w:themeColor="text1"/>
          <w:sz w:val="24"/>
          <w:szCs w:val="24"/>
        </w:rPr>
        <w:t xml:space="preserve">. (2023), a produção de mudas de espécies florestais é essencial para mitigar os efeitos do desmatamento e recuperar a funcionalidade ecológica dos ambientes. Estudos também demonstram que fatores como substrato, recipientes e práticas de adubação influenciam diretamente o crescimento, a qualidade morfológica e a sobrevivência das mudas após o plantio, impactando no sucesso dos projetos de restauração (Cabreira </w:t>
      </w:r>
      <w:r w:rsidRPr="00B60086">
        <w:rPr>
          <w:i/>
          <w:iCs/>
          <w:color w:val="000000" w:themeColor="text1"/>
          <w:sz w:val="24"/>
          <w:szCs w:val="24"/>
        </w:rPr>
        <w:t>et al</w:t>
      </w:r>
      <w:r w:rsidRPr="005054B9">
        <w:rPr>
          <w:color w:val="000000" w:themeColor="text1"/>
          <w:sz w:val="24"/>
          <w:szCs w:val="24"/>
        </w:rPr>
        <w:t xml:space="preserve">., 2019; Zavistanovicz </w:t>
      </w:r>
      <w:r w:rsidRPr="00B60086">
        <w:rPr>
          <w:i/>
          <w:iCs/>
          <w:color w:val="000000" w:themeColor="text1"/>
          <w:sz w:val="24"/>
          <w:szCs w:val="24"/>
        </w:rPr>
        <w:t>et al</w:t>
      </w:r>
      <w:r w:rsidRPr="005054B9">
        <w:rPr>
          <w:color w:val="000000" w:themeColor="text1"/>
          <w:sz w:val="24"/>
          <w:szCs w:val="24"/>
        </w:rPr>
        <w:t xml:space="preserve">., 2021).  </w:t>
      </w:r>
    </w:p>
    <w:p w14:paraId="26D60273" w14:textId="720D56F9" w:rsidR="005054B9" w:rsidRPr="005054B9" w:rsidRDefault="005054B9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 xml:space="preserve">De acordo com Dardengo </w:t>
      </w:r>
      <w:r w:rsidRPr="00B60086">
        <w:rPr>
          <w:i/>
          <w:iCs/>
          <w:color w:val="000000" w:themeColor="text1"/>
          <w:sz w:val="24"/>
          <w:szCs w:val="24"/>
        </w:rPr>
        <w:t>et al</w:t>
      </w:r>
      <w:r w:rsidRPr="005054B9">
        <w:rPr>
          <w:color w:val="000000" w:themeColor="text1"/>
          <w:sz w:val="24"/>
          <w:szCs w:val="24"/>
        </w:rPr>
        <w:t xml:space="preserve">. (2021), o cacauí apresenta teores de gordura semelhantes aos de T. cacau, além de maior resistência a pragas e doenças. Apesar do seu potencial nos programas de melhoramento genético, o cacauí ainda é uma das espécies menos estudadas do gênero. Por isso, são importantes estudos voltados para a otimização da produção de mudas e variedades de </w:t>
      </w:r>
      <w:r w:rsidRPr="00B01136">
        <w:rPr>
          <w:i/>
          <w:iCs/>
          <w:color w:val="000000" w:themeColor="text1"/>
          <w:sz w:val="24"/>
          <w:szCs w:val="24"/>
        </w:rPr>
        <w:t>T. speciosum</w:t>
      </w:r>
      <w:r w:rsidRPr="005054B9">
        <w:rPr>
          <w:color w:val="000000" w:themeColor="text1"/>
          <w:sz w:val="24"/>
          <w:szCs w:val="24"/>
        </w:rPr>
        <w:t>.</w:t>
      </w:r>
    </w:p>
    <w:p w14:paraId="7B28BA69" w14:textId="77777777" w:rsidR="005054B9" w:rsidRPr="005054B9" w:rsidRDefault="005054B9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68DC92EE">
        <w:rPr>
          <w:color w:val="000000" w:themeColor="text1"/>
          <w:sz w:val="24"/>
          <w:szCs w:val="24"/>
        </w:rPr>
        <w:t>As condições de solo, água, luz e temperatura influenciam</w:t>
      </w:r>
      <w:r>
        <w:rPr>
          <w:color w:val="000000" w:themeColor="text1"/>
          <w:sz w:val="24"/>
          <w:szCs w:val="24"/>
        </w:rPr>
        <w:t xml:space="preserve"> </w:t>
      </w:r>
      <w:r w:rsidRPr="68DC92EE">
        <w:rPr>
          <w:color w:val="000000" w:themeColor="text1"/>
          <w:sz w:val="24"/>
          <w:szCs w:val="24"/>
        </w:rPr>
        <w:t>o desenvolvimento e</w:t>
      </w:r>
      <w:r>
        <w:rPr>
          <w:color w:val="000000" w:themeColor="text1"/>
          <w:sz w:val="24"/>
          <w:szCs w:val="24"/>
        </w:rPr>
        <w:t xml:space="preserve"> a </w:t>
      </w:r>
      <w:r w:rsidRPr="68DC92EE">
        <w:rPr>
          <w:color w:val="000000" w:themeColor="text1"/>
          <w:sz w:val="24"/>
          <w:szCs w:val="24"/>
        </w:rPr>
        <w:t>produtividade das plantas, muitas expostas à alta intensidade luminosa e, por mutações, adquirem mecanismos morfológicos e fisiológicos que possibilitam sua sobrevivência (S</w:t>
      </w:r>
      <w:r>
        <w:rPr>
          <w:color w:val="000000" w:themeColor="text1"/>
          <w:sz w:val="24"/>
          <w:szCs w:val="24"/>
        </w:rPr>
        <w:t xml:space="preserve">ilva et al., </w:t>
      </w:r>
      <w:r w:rsidRPr="68DC92EE">
        <w:rPr>
          <w:color w:val="000000" w:themeColor="text1"/>
          <w:sz w:val="24"/>
          <w:szCs w:val="24"/>
        </w:rPr>
        <w:t>2005). O entendimento das relações ecológicas ocorrentes nos vegetais, é uma das principais abordagens para o conhecimento do grau de adaptação das espécies aos nichos ecológicos ou de seus comportamentos sob condições ambientais extremas (L</w:t>
      </w:r>
      <w:r>
        <w:rPr>
          <w:color w:val="000000" w:themeColor="text1"/>
          <w:sz w:val="24"/>
          <w:szCs w:val="24"/>
        </w:rPr>
        <w:t>üttge</w:t>
      </w:r>
      <w:r w:rsidRPr="68DC92EE">
        <w:rPr>
          <w:color w:val="000000" w:themeColor="text1"/>
          <w:sz w:val="24"/>
          <w:szCs w:val="24"/>
        </w:rPr>
        <w:t>, 1997).  Para entender as estratégias adaptativas das plantas nos seus distintos estágios na dinâmica da floresta tropical, são necessários estudos que combinem esses fatores externos.</w:t>
      </w:r>
    </w:p>
    <w:p w14:paraId="0ED8DCE2" w14:textId="011CCD5A" w:rsidR="003949CE" w:rsidRDefault="005054B9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lastRenderedPageBreak/>
        <w:t xml:space="preserve">Assim, este estudo tem como objetivo avaliar a produção de mudas de </w:t>
      </w:r>
      <w:r w:rsidRPr="00B01136">
        <w:rPr>
          <w:i/>
          <w:iCs/>
          <w:color w:val="000000" w:themeColor="text1"/>
          <w:sz w:val="24"/>
          <w:szCs w:val="24"/>
        </w:rPr>
        <w:t xml:space="preserve">T. speciosum </w:t>
      </w:r>
      <w:r w:rsidRPr="005054B9">
        <w:rPr>
          <w:color w:val="000000" w:themeColor="text1"/>
          <w:sz w:val="24"/>
          <w:szCs w:val="24"/>
        </w:rPr>
        <w:t>e o seu desenvolvimento, investigando como a intensidade luminosa e o substrato influenciam o crescimento em altura e diâmetro das mudas. Busca-se compreender as respostas morfológicas das plantas para otimizar técnicas de cultivo e manejo, garantindo maior eficiência na produção e no estabelecimento das mudas em diferentes condições ambientais.</w:t>
      </w:r>
    </w:p>
    <w:p w14:paraId="6CEEEBAE" w14:textId="77777777" w:rsidR="005054B9" w:rsidRPr="005054B9" w:rsidRDefault="005054B9" w:rsidP="005054B9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6C33B761" w14:textId="3ED9E99B" w:rsidR="005054B9" w:rsidRDefault="003949CE" w:rsidP="005054B9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10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2. MATERIAL E MÉTODOS </w:t>
      </w:r>
    </w:p>
    <w:p w14:paraId="50F16F21" w14:textId="42474342" w:rsidR="005054B9" w:rsidRPr="005054B9" w:rsidRDefault="005054B9" w:rsidP="005054B9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>1.</w:t>
      </w:r>
      <w:r w:rsidR="00067918">
        <w:rPr>
          <w:color w:val="000000" w:themeColor="text1"/>
          <w:sz w:val="24"/>
          <w:szCs w:val="24"/>
        </w:rPr>
        <w:t>1</w:t>
      </w:r>
      <w:r w:rsidRPr="005054B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ÁREA DE ESTUDO</w:t>
      </w:r>
    </w:p>
    <w:p w14:paraId="69992DF9" w14:textId="77777777" w:rsidR="005054B9" w:rsidRDefault="005054B9" w:rsidP="005054B9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>O experimento foi realizado na Universidade do Estado do Pará (UEPA), Campus XX Castanhal (Figura 1), e dividido em três ambientes diferentes: viveiro (50% de sombreamento), quadra (pleno sol) e bosque (100% de sombreamento), com um período de acompanhamento de 150 dias.</w:t>
      </w:r>
    </w:p>
    <w:p w14:paraId="0F58770A" w14:textId="5456477F" w:rsidR="005054B9" w:rsidRDefault="005054B9" w:rsidP="005054B9">
      <w:pPr>
        <w:pBdr>
          <w:bottom w:val="none" w:sz="0" w:space="6" w:color="000000"/>
        </w:pBdr>
        <w:shd w:val="clear" w:color="auto" w:fill="FFFFFF"/>
        <w:tabs>
          <w:tab w:val="left" w:pos="2500"/>
        </w:tabs>
        <w:jc w:val="center"/>
        <w:rPr>
          <w:color w:val="FF0000"/>
        </w:rPr>
      </w:pPr>
      <w:r>
        <w:t xml:space="preserve">Figura 1 – </w:t>
      </w:r>
      <w:r w:rsidR="00D16D6D" w:rsidRPr="00D16D6D">
        <w:t>Localização da área experimental no Campus Castanhal da Universidade do Estado do Pará (UEPA), destacando os três ambientes de cultivo (viveiro, quadra e bosque).</w:t>
      </w:r>
    </w:p>
    <w:p w14:paraId="4FDB833D" w14:textId="04D9B4CE" w:rsidR="005054B9" w:rsidRDefault="005054B9" w:rsidP="005054B9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highlight w:val="white"/>
        </w:rPr>
      </w:pPr>
      <w:r>
        <w:rPr>
          <w:noProof/>
        </w:rPr>
        <w:drawing>
          <wp:inline distT="0" distB="0" distL="0" distR="0" wp14:anchorId="2EF9F471" wp14:editId="7778D108">
            <wp:extent cx="5427009" cy="3284210"/>
            <wp:effectExtent l="19050" t="19050" r="21590" b="12065"/>
            <wp:docPr id="1191578514" name="drawing" descr="Interface gráfica do usuário, Map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78514" name="drawing" descr="Interface gráfica do usuário, Map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131" cy="337868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469560" w14:textId="49C011DC" w:rsidR="005054B9" w:rsidRDefault="005054B9" w:rsidP="005054B9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5FFCF56E" w14:textId="77777777" w:rsidR="00067918" w:rsidRDefault="00067918" w:rsidP="005054B9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</w:p>
    <w:p w14:paraId="6C15CC71" w14:textId="27FF5AF5" w:rsidR="00067918" w:rsidRDefault="00067918" w:rsidP="00067918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2</w:t>
      </w:r>
      <w:r w:rsidRPr="005054B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TRATAMENTOS E DELINEAMENTOS</w:t>
      </w:r>
    </w:p>
    <w:p w14:paraId="442CDCE6" w14:textId="77777777" w:rsid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67918">
        <w:rPr>
          <w:color w:val="000000" w:themeColor="text1"/>
          <w:sz w:val="24"/>
          <w:szCs w:val="24"/>
        </w:rPr>
        <w:lastRenderedPageBreak/>
        <w:t xml:space="preserve">Primeiramente, as sementes de Theobroma speciosum foram beneficiadas e 240 sementes foram alocadas em sacos de muda com substrato comercial Carolina Soil para a germinação (Figura 2).  </w:t>
      </w:r>
    </w:p>
    <w:p w14:paraId="0316AB36" w14:textId="77777777" w:rsidR="00067918" w:rsidRP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5287FA2B" w14:textId="4D4C6D94" w:rsidR="00D16D6D" w:rsidRPr="00D16D6D" w:rsidRDefault="00067918" w:rsidP="00D16D6D">
      <w:pPr>
        <w:spacing w:line="360" w:lineRule="auto"/>
        <w:jc w:val="center"/>
        <w:rPr>
          <w:color w:val="000000" w:themeColor="text1"/>
        </w:rPr>
      </w:pPr>
      <w:r w:rsidRPr="00D16D6D">
        <w:rPr>
          <w:color w:val="000000" w:themeColor="text1"/>
        </w:rPr>
        <w:t>Figura 2</w:t>
      </w:r>
      <w:r w:rsidR="00D16D6D" w:rsidRPr="00D16D6D">
        <w:rPr>
          <w:color w:val="000000" w:themeColor="text1"/>
        </w:rPr>
        <w:t xml:space="preserve"> -</w:t>
      </w:r>
      <w:r w:rsidRPr="00D16D6D">
        <w:rPr>
          <w:color w:val="000000" w:themeColor="text1"/>
        </w:rPr>
        <w:t xml:space="preserve"> </w:t>
      </w:r>
      <w:r w:rsidR="00D16D6D" w:rsidRPr="00D16D6D">
        <w:rPr>
          <w:color w:val="000000" w:themeColor="text1"/>
        </w:rPr>
        <w:t xml:space="preserve">Sementes de </w:t>
      </w:r>
      <w:r w:rsidR="00D16D6D" w:rsidRPr="00D16D6D">
        <w:rPr>
          <w:i/>
          <w:iCs/>
          <w:color w:val="000000" w:themeColor="text1"/>
        </w:rPr>
        <w:t>Theobroma speciosum</w:t>
      </w:r>
      <w:r w:rsidR="00D16D6D" w:rsidRPr="00D16D6D">
        <w:rPr>
          <w:color w:val="000000" w:themeColor="text1"/>
        </w:rPr>
        <w:t xml:space="preserve"> germinadas em sacos de mudas contendo substrato comercial Carolina Soil, durante a fase inicial do experimento.</w:t>
      </w:r>
    </w:p>
    <w:p w14:paraId="4D8F1F7D" w14:textId="676616DD" w:rsidR="00067918" w:rsidRDefault="00067918" w:rsidP="00D16D6D">
      <w:pPr>
        <w:spacing w:line="360" w:lineRule="auto"/>
        <w:jc w:val="center"/>
        <w:rPr>
          <w:color w:val="000000" w:themeColor="text1"/>
          <w:sz w:val="24"/>
          <w:szCs w:val="24"/>
        </w:rPr>
      </w:pPr>
      <w:r w:rsidRPr="00D16D6D">
        <w:rPr>
          <w:noProof/>
          <w:color w:val="000000" w:themeColor="text1"/>
          <w:sz w:val="24"/>
          <w:szCs w:val="24"/>
        </w:rPr>
        <w:drawing>
          <wp:inline distT="0" distB="0" distL="0" distR="0" wp14:anchorId="7A396D87" wp14:editId="1799680F">
            <wp:extent cx="5508812" cy="2834250"/>
            <wp:effectExtent l="0" t="0" r="0" b="4445"/>
            <wp:docPr id="1478183123" name="Imagem 7" descr="Bolo de chocolat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83123" name="Imagem 7" descr="Bolo de chocolate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957" cy="28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1D86" w14:textId="77777777" w:rsidR="003A5054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1959B7E2" w14:textId="77777777" w:rsidR="00D16D6D" w:rsidRPr="00D16D6D" w:rsidRDefault="00D16D6D" w:rsidP="00D16D6D">
      <w:pPr>
        <w:spacing w:line="360" w:lineRule="auto"/>
        <w:jc w:val="center"/>
        <w:rPr>
          <w:color w:val="000000" w:themeColor="text1"/>
          <w:sz w:val="24"/>
          <w:szCs w:val="24"/>
        </w:rPr>
      </w:pPr>
    </w:p>
    <w:p w14:paraId="06B7DEEC" w14:textId="02582666" w:rsid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67918">
        <w:rPr>
          <w:color w:val="000000" w:themeColor="text1"/>
          <w:sz w:val="24"/>
          <w:szCs w:val="24"/>
        </w:rPr>
        <w:t xml:space="preserve">15 dias após a germinação, 75 plantas foram repicadas para sacos de mudas com substrato florestal, retirado do horizonte B latossólico da propriedade Rancho do Lago, localizado no bairro Santa Lídia, em Castanhal. </w:t>
      </w:r>
      <w:r w:rsidR="00D16D6D" w:rsidRPr="00D16D6D">
        <w:rPr>
          <w:color w:val="000000" w:themeColor="text1"/>
          <w:sz w:val="24"/>
          <w:szCs w:val="24"/>
        </w:rPr>
        <w:t>Os resultados das análises químicas dos substratos estão apresentados na Tabela 1, evidenciando diferenças significativas na disponibilidade de nutrientes.</w:t>
      </w:r>
      <w:r w:rsidRPr="00067918">
        <w:rPr>
          <w:color w:val="000000" w:themeColor="text1"/>
          <w:sz w:val="24"/>
          <w:szCs w:val="24"/>
        </w:rPr>
        <w:t xml:space="preserve"> </w:t>
      </w:r>
    </w:p>
    <w:p w14:paraId="7A4EA602" w14:textId="77777777" w:rsidR="00067918" w:rsidRP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56EFB569" w14:textId="6F59355A" w:rsidR="00067918" w:rsidRDefault="00067918" w:rsidP="00067918">
      <w:pPr>
        <w:jc w:val="both"/>
        <w:rPr>
          <w:rFonts w:eastAsia="Calibri"/>
        </w:rPr>
      </w:pPr>
      <w:r w:rsidRPr="003A5054">
        <w:rPr>
          <w:rFonts w:eastAsia="Calibri"/>
        </w:rPr>
        <w:t>Tabela 1 -</w:t>
      </w:r>
      <w:r>
        <w:rPr>
          <w:rFonts w:eastAsia="Calibri"/>
          <w:b/>
          <w:bCs/>
        </w:rPr>
        <w:t xml:space="preserve"> </w:t>
      </w:r>
      <w:r w:rsidRPr="541688DB">
        <w:rPr>
          <w:rFonts w:eastAsia="Calibri"/>
          <w:b/>
          <w:bCs/>
        </w:rPr>
        <w:t xml:space="preserve"> </w:t>
      </w:r>
      <w:r w:rsidR="00D16D6D" w:rsidRPr="00D16D6D">
        <w:rPr>
          <w:rFonts w:eastAsia="Calibri"/>
        </w:rPr>
        <w:t xml:space="preserve">Propriedades químicas dos substratos florestal e comercial utilizados na produção de mudas de </w:t>
      </w:r>
      <w:r w:rsidR="00D16D6D" w:rsidRPr="00D16D6D">
        <w:rPr>
          <w:rFonts w:eastAsia="Calibri"/>
          <w:i/>
          <w:iCs/>
        </w:rPr>
        <w:t>Theobroma speciosum</w:t>
      </w:r>
      <w:r w:rsidR="00D16D6D" w:rsidRPr="00D16D6D">
        <w:rPr>
          <w:rFonts w:eastAsia="Calibri"/>
        </w:rPr>
        <w:t>, analisadas no laboratório de solos da EMBRAPA.</w:t>
      </w:r>
    </w:p>
    <w:tbl>
      <w:tblPr>
        <w:tblpPr w:leftFromText="141" w:rightFromText="141" w:vertAnchor="text" w:horzAnchor="margin" w:tblpY="192"/>
        <w:tblW w:w="9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575"/>
        <w:gridCol w:w="754"/>
        <w:gridCol w:w="563"/>
        <w:gridCol w:w="566"/>
        <w:gridCol w:w="566"/>
        <w:gridCol w:w="8"/>
        <w:gridCol w:w="483"/>
        <w:gridCol w:w="8"/>
        <w:gridCol w:w="626"/>
        <w:gridCol w:w="9"/>
        <w:gridCol w:w="520"/>
        <w:gridCol w:w="9"/>
        <w:gridCol w:w="625"/>
        <w:gridCol w:w="9"/>
        <w:gridCol w:w="542"/>
        <w:gridCol w:w="597"/>
        <w:gridCol w:w="9"/>
        <w:gridCol w:w="648"/>
        <w:gridCol w:w="979"/>
        <w:gridCol w:w="6"/>
      </w:tblGrid>
      <w:tr w:rsidR="00067918" w:rsidRPr="00D67544" w14:paraId="7AFE56E5" w14:textId="77777777" w:rsidTr="00B60086">
        <w:trPr>
          <w:trHeight w:val="59"/>
        </w:trPr>
        <w:tc>
          <w:tcPr>
            <w:tcW w:w="9153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F6765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ANÁLISES QUÍMICAS DO SOLO</w:t>
            </w:r>
          </w:p>
        </w:tc>
      </w:tr>
      <w:tr w:rsidR="00067918" w:rsidRPr="00D67544" w14:paraId="719F7D20" w14:textId="77777777" w:rsidTr="00B60086">
        <w:trPr>
          <w:gridAfter w:val="1"/>
          <w:wAfter w:w="5" w:type="dxa"/>
          <w:trHeight w:val="59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87ACB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Amostra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B6AED" w14:textId="77777777" w:rsidR="00067918" w:rsidRPr="00D67544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N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F1F43E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P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3C8F7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K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1686D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Na</w:t>
            </w:r>
          </w:p>
        </w:tc>
        <w:tc>
          <w:tcPr>
            <w:tcW w:w="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FD605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Al</w:t>
            </w:r>
          </w:p>
        </w:tc>
        <w:tc>
          <w:tcPr>
            <w:tcW w:w="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C24F09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Ca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5F0893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Ca+Mg</w:t>
            </w:r>
          </w:p>
        </w:tc>
        <w:tc>
          <w:tcPr>
            <w:tcW w:w="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D8D66E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pH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3A70A6E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H+Al</w:t>
            </w:r>
          </w:p>
        </w:tc>
        <w:tc>
          <w:tcPr>
            <w:tcW w:w="11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A48214F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CTC</w:t>
            </w:r>
          </w:p>
        </w:tc>
        <w:tc>
          <w:tcPr>
            <w:tcW w:w="163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C32BD92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Saturação</w:t>
            </w:r>
          </w:p>
        </w:tc>
      </w:tr>
      <w:tr w:rsidR="00067918" w:rsidRPr="00922565" w14:paraId="79023BF5" w14:textId="77777777" w:rsidTr="00B60086">
        <w:trPr>
          <w:gridAfter w:val="1"/>
          <w:wAfter w:w="4" w:type="dxa"/>
          <w:trHeight w:val="59"/>
        </w:trPr>
        <w:tc>
          <w:tcPr>
            <w:tcW w:w="10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034D5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Identificação</w:t>
            </w:r>
          </w:p>
        </w:tc>
        <w:tc>
          <w:tcPr>
            <w:tcW w:w="5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D477AC3" w14:textId="77777777" w:rsidR="00067918" w:rsidRPr="00D67544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%</w:t>
            </w:r>
          </w:p>
        </w:tc>
        <w:tc>
          <w:tcPr>
            <w:tcW w:w="188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hideMark/>
          </w:tcPr>
          <w:p w14:paraId="4A3D6B33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mg/dm</w:t>
            </w:r>
            <w:r w:rsidRPr="00922565">
              <w:rPr>
                <w:rFonts w:eastAsia="Calibr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70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1464DA2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cmol</w:t>
            </w:r>
            <w:r w:rsidRPr="00922565">
              <w:rPr>
                <w:rFonts w:eastAsia="Calibri"/>
                <w:b/>
                <w:sz w:val="20"/>
                <w:szCs w:val="20"/>
                <w:vertAlign w:val="subscript"/>
              </w:rPr>
              <w:t>c</w:t>
            </w:r>
            <w:r w:rsidRPr="00922565">
              <w:rPr>
                <w:rFonts w:eastAsia="Calibri"/>
                <w:b/>
                <w:sz w:val="20"/>
                <w:szCs w:val="20"/>
              </w:rPr>
              <w:t>/dm</w:t>
            </w:r>
            <w:r w:rsidRPr="00922565">
              <w:rPr>
                <w:rFonts w:eastAsia="Calibr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1D0BFA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água</w:t>
            </w:r>
          </w:p>
        </w:tc>
        <w:tc>
          <w:tcPr>
            <w:tcW w:w="6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26164A5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cmolc/d</w:t>
            </w:r>
            <w:r w:rsidRPr="00922565">
              <w:rPr>
                <w:rFonts w:eastAsia="Calibri"/>
                <w:b/>
                <w:sz w:val="20"/>
                <w:szCs w:val="20"/>
              </w:rPr>
              <w:lastRenderedPageBreak/>
              <w:t>m</w:t>
            </w:r>
            <w:r w:rsidRPr="00922565">
              <w:rPr>
                <w:rFonts w:eastAsia="Calibr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5EB3ED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298ED2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Efetiva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590BA6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Base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208E5D" w14:textId="77777777" w:rsidR="00067918" w:rsidRPr="00922565" w:rsidRDefault="00067918" w:rsidP="00067918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Alumínio</w:t>
            </w:r>
          </w:p>
        </w:tc>
      </w:tr>
      <w:tr w:rsidR="00067918" w:rsidRPr="00922565" w14:paraId="33A49001" w14:textId="77777777" w:rsidTr="00B60086">
        <w:trPr>
          <w:gridAfter w:val="1"/>
          <w:wAfter w:w="3" w:type="dxa"/>
          <w:trHeight w:val="59"/>
        </w:trPr>
        <w:tc>
          <w:tcPr>
            <w:tcW w:w="10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30C5B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DDDB2" w14:textId="77777777" w:rsidR="00067918" w:rsidRPr="00D67544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884" w:type="dxa"/>
            <w:gridSpan w:val="3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EEB8F3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700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3A2077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2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FC3512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3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8CC416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14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24B63F2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cmol</w:t>
            </w:r>
            <w:r w:rsidRPr="00922565">
              <w:rPr>
                <w:rFonts w:eastAsia="Calibri"/>
                <w:b/>
                <w:sz w:val="20"/>
                <w:szCs w:val="20"/>
                <w:vertAlign w:val="subscript"/>
              </w:rPr>
              <w:t>c</w:t>
            </w:r>
            <w:r w:rsidRPr="00922565">
              <w:rPr>
                <w:rFonts w:eastAsia="Calibri"/>
                <w:b/>
                <w:sz w:val="20"/>
                <w:szCs w:val="20"/>
              </w:rPr>
              <w:t>/dm</w:t>
            </w:r>
            <w:r w:rsidRPr="00922565">
              <w:rPr>
                <w:rFonts w:eastAsia="Calibri"/>
                <w:b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1462097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V%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A5D2D6E" w14:textId="77777777" w:rsidR="00067918" w:rsidRPr="00922565" w:rsidRDefault="00067918" w:rsidP="00C048B1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922565">
              <w:rPr>
                <w:rFonts w:eastAsia="Calibri"/>
                <w:b/>
                <w:sz w:val="20"/>
                <w:szCs w:val="20"/>
              </w:rPr>
              <w:t>m%</w:t>
            </w:r>
          </w:p>
        </w:tc>
      </w:tr>
      <w:tr w:rsidR="00067918" w:rsidRPr="00922565" w14:paraId="34E1D16B" w14:textId="77777777" w:rsidTr="00B60086">
        <w:trPr>
          <w:gridAfter w:val="1"/>
          <w:wAfter w:w="6" w:type="dxa"/>
          <w:trHeight w:val="322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5554C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Substrato</w:t>
            </w:r>
          </w:p>
          <w:p w14:paraId="581623C4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Florestal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70A44" w14:textId="77777777" w:rsidR="00067918" w:rsidRPr="00D67544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0,03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1BA67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2,39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EA3E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13,48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F2AC9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2,27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927D4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0,73</w:t>
            </w:r>
          </w:p>
        </w:tc>
        <w:tc>
          <w:tcPr>
            <w:tcW w:w="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739BC7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CFF1F6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0,47</w:t>
            </w:r>
          </w:p>
        </w:tc>
        <w:tc>
          <w:tcPr>
            <w:tcW w:w="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263AE65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4,15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5263096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6,83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22A07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7,34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C71E080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1,24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BE52FB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7,01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B826822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58,66</w:t>
            </w:r>
          </w:p>
        </w:tc>
      </w:tr>
      <w:tr w:rsidR="00067918" w:rsidRPr="00922565" w14:paraId="0A9B26AE" w14:textId="77777777" w:rsidTr="00B60086">
        <w:trPr>
          <w:gridAfter w:val="1"/>
          <w:wAfter w:w="6" w:type="dxa"/>
          <w:trHeight w:val="106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BD36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Substrato</w:t>
            </w:r>
          </w:p>
          <w:p w14:paraId="6A592473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Comercial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84569" w14:textId="77777777" w:rsidR="00067918" w:rsidRPr="00D67544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0,08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EBD418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949,61</w:t>
            </w:r>
          </w:p>
        </w:tc>
        <w:tc>
          <w:tcPr>
            <w:tcW w:w="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4557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6086,96</w:t>
            </w:r>
          </w:p>
        </w:tc>
        <w:tc>
          <w:tcPr>
            <w:tcW w:w="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E96C9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90,06</w:t>
            </w:r>
          </w:p>
        </w:tc>
        <w:tc>
          <w:tcPr>
            <w:tcW w:w="5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B627B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0,34</w:t>
            </w:r>
          </w:p>
        </w:tc>
        <w:tc>
          <w:tcPr>
            <w:tcW w:w="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EDCAC5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3,19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88C95A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6,68</w:t>
            </w:r>
          </w:p>
        </w:tc>
        <w:tc>
          <w:tcPr>
            <w:tcW w:w="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A136BF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7,08</w:t>
            </w:r>
          </w:p>
        </w:tc>
        <w:tc>
          <w:tcPr>
            <w:tcW w:w="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4BE07F1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7,73</w:t>
            </w:r>
          </w:p>
        </w:tc>
        <w:tc>
          <w:tcPr>
            <w:tcW w:w="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943781F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30,40</w:t>
            </w:r>
          </w:p>
        </w:tc>
        <w:tc>
          <w:tcPr>
            <w:tcW w:w="6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6439B8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23,02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071672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74,59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6F4DBA5" w14:textId="77777777" w:rsidR="00067918" w:rsidRPr="00922565" w:rsidRDefault="00067918" w:rsidP="00067918">
            <w:pPr>
              <w:jc w:val="center"/>
              <w:rPr>
                <w:rFonts w:eastAsia="Calibri"/>
                <w:sz w:val="20"/>
                <w:szCs w:val="20"/>
              </w:rPr>
            </w:pPr>
            <w:r w:rsidRPr="00922565">
              <w:rPr>
                <w:rFonts w:eastAsia="Calibri"/>
                <w:sz w:val="20"/>
                <w:szCs w:val="20"/>
              </w:rPr>
              <w:t>1,48</w:t>
            </w:r>
          </w:p>
        </w:tc>
      </w:tr>
    </w:tbl>
    <w:p w14:paraId="0C1254EB" w14:textId="365060D6" w:rsidR="00D16D6D" w:rsidRDefault="00067918" w:rsidP="00067918">
      <w:pPr>
        <w:spacing w:after="200"/>
        <w:jc w:val="both"/>
        <w:rPr>
          <w:rFonts w:eastAsia="Calibri"/>
        </w:rPr>
      </w:pPr>
      <w:r w:rsidRPr="541688DB">
        <w:rPr>
          <w:rFonts w:eastAsia="Calibri"/>
        </w:rPr>
        <w:t xml:space="preserve"> </w:t>
      </w:r>
      <w:r w:rsidRPr="541688DB">
        <w:rPr>
          <w:rFonts w:eastAsia="Calibri"/>
          <w:i/>
          <w:iCs/>
        </w:rPr>
        <w:t>Nota.</w:t>
      </w:r>
      <w:r w:rsidRPr="541688DB">
        <w:rPr>
          <w:rFonts w:eastAsia="Calibri"/>
        </w:rPr>
        <w:t xml:space="preserve"> A carga de macronutrientes é maior no substrato comercial.</w:t>
      </w:r>
    </w:p>
    <w:p w14:paraId="44F44BB7" w14:textId="77777777" w:rsidR="003A5054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2D7E97F9" w14:textId="77777777" w:rsidR="003A5054" w:rsidRDefault="003A5054" w:rsidP="00867117">
      <w:pPr>
        <w:spacing w:after="200"/>
        <w:ind w:left="1440" w:hanging="1440"/>
        <w:jc w:val="both"/>
        <w:rPr>
          <w:rFonts w:eastAsia="Calibri"/>
        </w:rPr>
      </w:pPr>
    </w:p>
    <w:p w14:paraId="7DA2E059" w14:textId="4B1FF72F" w:rsid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 w:rsidRPr="00067918">
        <w:rPr>
          <w:color w:val="000000" w:themeColor="text1"/>
          <w:sz w:val="24"/>
          <w:szCs w:val="24"/>
        </w:rPr>
        <w:t xml:space="preserve">O delineamento experimental utilizado foi inteiramente casualizado, com seis tratamentos e vinte e cinco repetições, que consistem em combinações de dois tipos de substrato e três tipos de sombreamento (Tabela 2). </w:t>
      </w:r>
      <w:r w:rsidR="00D16D6D" w:rsidRPr="00D16D6D">
        <w:rPr>
          <w:color w:val="000000" w:themeColor="text1"/>
          <w:sz w:val="24"/>
          <w:szCs w:val="24"/>
        </w:rPr>
        <w:t>Todos os tratamentos foram irrigados manualmente uma vez ao dia, mantendo a umidade adequada ao desenvolvimento das mudas.</w:t>
      </w:r>
    </w:p>
    <w:p w14:paraId="7F052502" w14:textId="77777777" w:rsidR="00D16D6D" w:rsidRPr="00067918" w:rsidRDefault="00D16D6D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09A8CB1E" w14:textId="780AB350" w:rsidR="00067918" w:rsidRPr="00067918" w:rsidRDefault="00067918" w:rsidP="00067918">
      <w:pPr>
        <w:jc w:val="both"/>
        <w:rPr>
          <w:rFonts w:eastAsia="Calibri"/>
        </w:rPr>
      </w:pPr>
      <w:r w:rsidRPr="003A5054">
        <w:rPr>
          <w:rFonts w:eastAsia="Calibri"/>
        </w:rPr>
        <w:t>Tabela 2</w:t>
      </w:r>
      <w:r w:rsidR="003A5054">
        <w:rPr>
          <w:rFonts w:eastAsia="Calibri"/>
        </w:rPr>
        <w:t xml:space="preserve"> - </w:t>
      </w:r>
      <w:r w:rsidR="00D16D6D" w:rsidRPr="00D16D6D">
        <w:rPr>
          <w:rFonts w:eastAsia="Calibri"/>
        </w:rPr>
        <w:t xml:space="preserve">Tratamentos experimentais com diferentes combinações de substratos e níveis de sombreamento aplicados às mudas de </w:t>
      </w:r>
      <w:r w:rsidR="00D16D6D" w:rsidRPr="00D16D6D">
        <w:rPr>
          <w:rFonts w:eastAsia="Calibri"/>
          <w:i/>
          <w:iCs/>
        </w:rPr>
        <w:t>Theobroma speciosum.</w:t>
      </w:r>
    </w:p>
    <w:tbl>
      <w:tblPr>
        <w:tblStyle w:val="SimplesTabela2"/>
        <w:tblW w:w="9178" w:type="dxa"/>
        <w:tblLook w:val="0600" w:firstRow="0" w:lastRow="0" w:firstColumn="0" w:lastColumn="0" w:noHBand="1" w:noVBand="1"/>
      </w:tblPr>
      <w:tblGrid>
        <w:gridCol w:w="3060"/>
        <w:gridCol w:w="6118"/>
      </w:tblGrid>
      <w:tr w:rsidR="00067918" w14:paraId="3BC87147" w14:textId="77777777" w:rsidTr="00B60086">
        <w:trPr>
          <w:trHeight w:val="422"/>
        </w:trPr>
        <w:tc>
          <w:tcPr>
            <w:tcW w:w="306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B84E922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  <w:b/>
                <w:bCs/>
              </w:rPr>
            </w:pPr>
            <w:r w:rsidRPr="00067918">
              <w:rPr>
                <w:rFonts w:eastAsia="Calibri"/>
                <w:b/>
                <w:bCs/>
              </w:rPr>
              <w:t>Sigla</w:t>
            </w:r>
          </w:p>
        </w:tc>
        <w:tc>
          <w:tcPr>
            <w:tcW w:w="611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4F08FC6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  <w:b/>
                <w:bCs/>
              </w:rPr>
            </w:pPr>
            <w:r w:rsidRPr="00067918">
              <w:rPr>
                <w:rFonts w:eastAsia="Calibri"/>
                <w:b/>
                <w:bCs/>
              </w:rPr>
              <w:t>Legenda</w:t>
            </w:r>
          </w:p>
        </w:tc>
      </w:tr>
      <w:tr w:rsidR="00067918" w14:paraId="1C012B2C" w14:textId="77777777" w:rsidTr="00B60086">
        <w:trPr>
          <w:trHeight w:val="675"/>
        </w:trPr>
        <w:tc>
          <w:tcPr>
            <w:tcW w:w="3060" w:type="dxa"/>
            <w:tcBorders>
              <w:top w:val="single" w:sz="8" w:space="0" w:color="000000" w:themeColor="text1"/>
            </w:tcBorders>
          </w:tcPr>
          <w:p w14:paraId="13AE7C2D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SCPLS</w:t>
            </w:r>
          </w:p>
        </w:tc>
        <w:tc>
          <w:tcPr>
            <w:tcW w:w="6118" w:type="dxa"/>
            <w:tcBorders>
              <w:top w:val="single" w:sz="8" w:space="0" w:color="000000" w:themeColor="text1"/>
            </w:tcBorders>
          </w:tcPr>
          <w:p w14:paraId="27DE737C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comercial a pleno sol</w:t>
            </w:r>
          </w:p>
        </w:tc>
      </w:tr>
      <w:tr w:rsidR="00067918" w14:paraId="0AC4D431" w14:textId="77777777" w:rsidTr="00B60086">
        <w:trPr>
          <w:trHeight w:val="675"/>
        </w:trPr>
        <w:tc>
          <w:tcPr>
            <w:tcW w:w="3060" w:type="dxa"/>
          </w:tcPr>
          <w:p w14:paraId="73E209A1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SFPLS</w:t>
            </w:r>
          </w:p>
        </w:tc>
        <w:tc>
          <w:tcPr>
            <w:tcW w:w="6118" w:type="dxa"/>
          </w:tcPr>
          <w:p w14:paraId="41984CBD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florestal a pleno sol</w:t>
            </w:r>
          </w:p>
        </w:tc>
      </w:tr>
      <w:tr w:rsidR="00067918" w14:paraId="0CAA05BC" w14:textId="77777777" w:rsidTr="00B60086">
        <w:trPr>
          <w:trHeight w:val="675"/>
        </w:trPr>
        <w:tc>
          <w:tcPr>
            <w:tcW w:w="3060" w:type="dxa"/>
          </w:tcPr>
          <w:p w14:paraId="3C0D13FF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SC100%S</w:t>
            </w:r>
          </w:p>
        </w:tc>
        <w:tc>
          <w:tcPr>
            <w:tcW w:w="6118" w:type="dxa"/>
          </w:tcPr>
          <w:p w14:paraId="5CC50051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comercial com 100% de sombreamento</w:t>
            </w:r>
          </w:p>
        </w:tc>
      </w:tr>
      <w:tr w:rsidR="00067918" w14:paraId="4717B4FE" w14:textId="77777777" w:rsidTr="00B60086">
        <w:trPr>
          <w:trHeight w:val="675"/>
        </w:trPr>
        <w:tc>
          <w:tcPr>
            <w:tcW w:w="3060" w:type="dxa"/>
          </w:tcPr>
          <w:p w14:paraId="71AABCC2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SF100%S</w:t>
            </w:r>
          </w:p>
        </w:tc>
        <w:tc>
          <w:tcPr>
            <w:tcW w:w="6118" w:type="dxa"/>
          </w:tcPr>
          <w:p w14:paraId="3E1858E9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florestal com 100% de sombreamento</w:t>
            </w:r>
          </w:p>
        </w:tc>
      </w:tr>
      <w:tr w:rsidR="00067918" w14:paraId="254975D2" w14:textId="77777777" w:rsidTr="00B60086">
        <w:trPr>
          <w:trHeight w:val="675"/>
        </w:trPr>
        <w:tc>
          <w:tcPr>
            <w:tcW w:w="3060" w:type="dxa"/>
          </w:tcPr>
          <w:p w14:paraId="73873FA6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SC50%S</w:t>
            </w:r>
          </w:p>
        </w:tc>
        <w:tc>
          <w:tcPr>
            <w:tcW w:w="6118" w:type="dxa"/>
          </w:tcPr>
          <w:p w14:paraId="26A1B92B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comercial com 50% de sombreamento</w:t>
            </w:r>
          </w:p>
        </w:tc>
      </w:tr>
      <w:tr w:rsidR="00067918" w14:paraId="11E6711D" w14:textId="77777777" w:rsidTr="00B60086">
        <w:trPr>
          <w:trHeight w:val="730"/>
        </w:trPr>
        <w:tc>
          <w:tcPr>
            <w:tcW w:w="3060" w:type="dxa"/>
            <w:tcBorders>
              <w:bottom w:val="single" w:sz="8" w:space="0" w:color="000000" w:themeColor="text1"/>
            </w:tcBorders>
          </w:tcPr>
          <w:p w14:paraId="0E39D2E8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SF50%S</w:t>
            </w:r>
          </w:p>
        </w:tc>
        <w:tc>
          <w:tcPr>
            <w:tcW w:w="6118" w:type="dxa"/>
            <w:tcBorders>
              <w:bottom w:val="single" w:sz="8" w:space="0" w:color="000000" w:themeColor="text1"/>
            </w:tcBorders>
          </w:tcPr>
          <w:p w14:paraId="5B5CCB0C" w14:textId="77777777" w:rsidR="00067918" w:rsidRPr="00067918" w:rsidRDefault="00067918" w:rsidP="00067918">
            <w:pPr>
              <w:spacing w:after="200" w:line="360" w:lineRule="auto"/>
              <w:jc w:val="center"/>
              <w:rPr>
                <w:rFonts w:eastAsia="Calibri"/>
              </w:rPr>
            </w:pPr>
            <w:r w:rsidRPr="00067918">
              <w:rPr>
                <w:rFonts w:eastAsia="Calibri"/>
              </w:rPr>
              <w:t>Substrato florestal com 50% de</w:t>
            </w:r>
            <w:r>
              <w:rPr>
                <w:rFonts w:eastAsia="Calibri"/>
              </w:rPr>
              <w:t xml:space="preserve"> </w:t>
            </w:r>
            <w:r w:rsidRPr="00067918">
              <w:rPr>
                <w:rFonts w:eastAsia="Calibri"/>
              </w:rPr>
              <w:t>sombreamento</w:t>
            </w:r>
          </w:p>
        </w:tc>
      </w:tr>
    </w:tbl>
    <w:p w14:paraId="508E32A3" w14:textId="336E5B71" w:rsidR="00067918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7F75806A" w14:textId="77777777" w:rsidR="003A5054" w:rsidRPr="003A5054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</w:p>
    <w:p w14:paraId="23A6F0DE" w14:textId="7E4D43B5" w:rsidR="00067918" w:rsidRDefault="00067918" w:rsidP="00067918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5054B9">
        <w:rPr>
          <w:color w:val="000000" w:themeColor="text1"/>
          <w:sz w:val="24"/>
          <w:szCs w:val="24"/>
        </w:rPr>
        <w:t>1.</w:t>
      </w:r>
      <w:r>
        <w:rPr>
          <w:color w:val="000000" w:themeColor="text1"/>
          <w:sz w:val="24"/>
          <w:szCs w:val="24"/>
        </w:rPr>
        <w:t>2</w:t>
      </w:r>
      <w:r w:rsidRPr="005054B9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COLETA E ANÁLISE DE DADOS</w:t>
      </w:r>
    </w:p>
    <w:p w14:paraId="66C18CA0" w14:textId="77777777" w:rsidR="00067918" w:rsidRDefault="00067918" w:rsidP="00067918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51F21E0B" w14:textId="77777777" w:rsidR="00067918" w:rsidRDefault="00067918" w:rsidP="00067918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 w:rsidRPr="67A89CE3">
        <w:rPr>
          <w:rFonts w:eastAsia="Calibri"/>
          <w:sz w:val="24"/>
          <w:szCs w:val="24"/>
        </w:rPr>
        <w:t>Utilizando um paquímetro digital e uma régua</w:t>
      </w:r>
      <w:r>
        <w:rPr>
          <w:rFonts w:eastAsia="Calibri"/>
          <w:sz w:val="24"/>
          <w:szCs w:val="24"/>
        </w:rPr>
        <w:t>,</w:t>
      </w:r>
      <w:r w:rsidRPr="67A89CE3">
        <w:rPr>
          <w:rFonts w:eastAsia="Calibri"/>
          <w:sz w:val="24"/>
          <w:szCs w:val="24"/>
        </w:rPr>
        <w:t xml:space="preserve"> foram mensurad</w:t>
      </w:r>
      <w:r>
        <w:rPr>
          <w:rFonts w:eastAsia="Calibri"/>
          <w:sz w:val="24"/>
          <w:szCs w:val="24"/>
        </w:rPr>
        <w:t>as as seguintes variáveis:</w:t>
      </w:r>
      <w:r w:rsidRPr="67A89CE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a</w:t>
      </w:r>
      <w:r w:rsidRPr="67A89CE3">
        <w:rPr>
          <w:rFonts w:eastAsia="Calibri"/>
          <w:sz w:val="24"/>
          <w:szCs w:val="24"/>
        </w:rPr>
        <w:t>ltura da muda (H)</w:t>
      </w:r>
      <w:r>
        <w:rPr>
          <w:rFonts w:eastAsia="Calibri"/>
          <w:sz w:val="24"/>
          <w:szCs w:val="24"/>
        </w:rPr>
        <w:t xml:space="preserve"> e</w:t>
      </w:r>
      <w:r w:rsidRPr="67A89CE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d</w:t>
      </w:r>
      <w:r w:rsidRPr="67A89CE3">
        <w:rPr>
          <w:rFonts w:eastAsia="Calibri"/>
          <w:sz w:val="24"/>
          <w:szCs w:val="24"/>
        </w:rPr>
        <w:t>iâmetro do coleto (DC)</w:t>
      </w:r>
      <w:r w:rsidRPr="00644919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(Figura 3)</w:t>
      </w:r>
      <w:r w:rsidRPr="67A89CE3">
        <w:rPr>
          <w:rFonts w:eastAsia="Calibri"/>
          <w:sz w:val="24"/>
          <w:szCs w:val="24"/>
        </w:rPr>
        <w:t xml:space="preserve">. As coletas foram realizadas a cada 30 </w:t>
      </w:r>
      <w:r w:rsidRPr="67A89CE3">
        <w:rPr>
          <w:rFonts w:eastAsia="Calibri"/>
          <w:sz w:val="24"/>
          <w:szCs w:val="24"/>
        </w:rPr>
        <w:lastRenderedPageBreak/>
        <w:t>dias</w:t>
      </w:r>
      <w:r>
        <w:rPr>
          <w:rFonts w:eastAsia="Calibri"/>
          <w:sz w:val="24"/>
          <w:szCs w:val="24"/>
        </w:rPr>
        <w:t xml:space="preserve">, </w:t>
      </w:r>
      <w:r w:rsidRPr="67A89CE3">
        <w:rPr>
          <w:rFonts w:eastAsia="Calibri"/>
          <w:sz w:val="24"/>
          <w:szCs w:val="24"/>
        </w:rPr>
        <w:t xml:space="preserve">resultando em </w:t>
      </w:r>
      <w:r>
        <w:rPr>
          <w:rFonts w:eastAsia="Calibri"/>
          <w:sz w:val="24"/>
          <w:szCs w:val="24"/>
        </w:rPr>
        <w:t>6</w:t>
      </w:r>
      <w:r w:rsidRPr="67A89CE3">
        <w:rPr>
          <w:rFonts w:eastAsia="Calibri"/>
          <w:sz w:val="24"/>
          <w:szCs w:val="24"/>
        </w:rPr>
        <w:t xml:space="preserve"> medições (dia 30, 60, 90, 120</w:t>
      </w:r>
      <w:r>
        <w:rPr>
          <w:rFonts w:eastAsia="Calibri"/>
          <w:sz w:val="24"/>
          <w:szCs w:val="24"/>
        </w:rPr>
        <w:t xml:space="preserve">, </w:t>
      </w:r>
      <w:r w:rsidRPr="67A89CE3">
        <w:rPr>
          <w:rFonts w:eastAsia="Calibri"/>
          <w:sz w:val="24"/>
          <w:szCs w:val="24"/>
        </w:rPr>
        <w:t>150</w:t>
      </w:r>
      <w:r>
        <w:rPr>
          <w:rFonts w:eastAsia="Calibri"/>
          <w:sz w:val="24"/>
          <w:szCs w:val="24"/>
        </w:rPr>
        <w:t xml:space="preserve"> e 180</w:t>
      </w:r>
      <w:r w:rsidRPr="67A89CE3">
        <w:rPr>
          <w:rFonts w:eastAsia="Calibri"/>
          <w:sz w:val="24"/>
          <w:szCs w:val="24"/>
        </w:rPr>
        <w:t>).</w:t>
      </w:r>
      <w:r w:rsidRPr="00CD5776">
        <w:rPr>
          <w:rFonts w:eastAsia="Calibri"/>
          <w:sz w:val="24"/>
          <w:szCs w:val="24"/>
        </w:rPr>
        <w:t xml:space="preserve"> </w:t>
      </w:r>
      <w:r w:rsidRPr="67A89CE3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 xml:space="preserve">  </w:t>
      </w:r>
    </w:p>
    <w:p w14:paraId="20AF868C" w14:textId="2C083551" w:rsidR="00067918" w:rsidRDefault="00067918" w:rsidP="00067918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14:paraId="3520C4C7" w14:textId="145E3CE8" w:rsidR="00067918" w:rsidRDefault="00067918" w:rsidP="00067918">
      <w:pPr>
        <w:spacing w:line="360" w:lineRule="auto"/>
        <w:jc w:val="both"/>
        <w:rPr>
          <w:rFonts w:eastAsia="Calibri"/>
          <w:sz w:val="24"/>
          <w:szCs w:val="24"/>
        </w:rPr>
      </w:pPr>
      <w:r w:rsidRPr="003A5054">
        <w:rPr>
          <w:rFonts w:eastAsia="Calibri"/>
        </w:rPr>
        <w:t>Figura 3</w:t>
      </w:r>
      <w:r w:rsidR="003A5054">
        <w:rPr>
          <w:rFonts w:eastAsia="Calibri"/>
        </w:rPr>
        <w:t xml:space="preserve"> - </w:t>
      </w:r>
      <w:r w:rsidR="00D16D6D" w:rsidRPr="00D16D6D">
        <w:rPr>
          <w:rFonts w:eastAsia="Calibri"/>
        </w:rPr>
        <w:t xml:space="preserve">Procedimentos de mensuração da altura e do diâmetro do coleto das mudas de </w:t>
      </w:r>
      <w:r w:rsidR="00D16D6D" w:rsidRPr="00D16D6D">
        <w:rPr>
          <w:rFonts w:eastAsia="Calibri"/>
          <w:i/>
          <w:iCs/>
        </w:rPr>
        <w:t>Theobroma speciosum</w:t>
      </w:r>
      <w:r w:rsidR="00D16D6D" w:rsidRPr="00D16D6D">
        <w:rPr>
          <w:rFonts w:eastAsia="Calibri"/>
        </w:rPr>
        <w:t xml:space="preserve"> utilizando régua graduada e paquímetro digital.</w:t>
      </w:r>
    </w:p>
    <w:p w14:paraId="4529E18E" w14:textId="77777777" w:rsidR="00067918" w:rsidRDefault="00067918" w:rsidP="00067918">
      <w:pPr>
        <w:spacing w:after="200" w:line="360" w:lineRule="auto"/>
        <w:jc w:val="both"/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 wp14:anchorId="20C67D7E" wp14:editId="75218400">
            <wp:extent cx="5699547" cy="3188473"/>
            <wp:effectExtent l="0" t="0" r="0" b="0"/>
            <wp:docPr id="180843655" name="Imagem 1" descr="Interface gráfica do usuári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3655" name="Imagem 1" descr="Interface gráfica do usuário&#10;&#10;O conteúdo gerado por IA pode estar incorreto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1" t="5981" r="19322" b="1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79" cy="3288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CC11D9" w14:textId="47AC68A9" w:rsidR="003A5054" w:rsidRDefault="003A5054" w:rsidP="00B01136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7067415D" w14:textId="77777777" w:rsidR="00B01136" w:rsidRPr="00B01136" w:rsidRDefault="00B01136" w:rsidP="00B01136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</w:p>
    <w:p w14:paraId="770F122C" w14:textId="77777777" w:rsidR="00067918" w:rsidRDefault="00067918" w:rsidP="00067918">
      <w:pPr>
        <w:spacing w:after="200"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ab/>
      </w:r>
      <w:r w:rsidRPr="67A89CE3">
        <w:rPr>
          <w:rFonts w:eastAsia="Calibri"/>
          <w:sz w:val="24"/>
          <w:szCs w:val="24"/>
        </w:rPr>
        <w:t xml:space="preserve">Os dados obtidos foram organizados em planilha no </w:t>
      </w:r>
      <w:r>
        <w:rPr>
          <w:rFonts w:eastAsia="Calibri"/>
          <w:sz w:val="24"/>
          <w:szCs w:val="24"/>
        </w:rPr>
        <w:t>E</w:t>
      </w:r>
      <w:r w:rsidRPr="67A89CE3">
        <w:rPr>
          <w:rFonts w:eastAsia="Calibri"/>
          <w:sz w:val="24"/>
          <w:szCs w:val="24"/>
        </w:rPr>
        <w:t xml:space="preserve">xcel e </w:t>
      </w:r>
      <w:r>
        <w:rPr>
          <w:rFonts w:eastAsia="Calibri"/>
          <w:sz w:val="24"/>
          <w:szCs w:val="24"/>
        </w:rPr>
        <w:t xml:space="preserve">a </w:t>
      </w:r>
      <w:r w:rsidRPr="67A89CE3">
        <w:rPr>
          <w:rFonts w:eastAsia="Calibri"/>
          <w:sz w:val="24"/>
          <w:szCs w:val="24"/>
        </w:rPr>
        <w:t>partir dela, realizaram-se os procedimentos de tratamento estatístico e a elaboração dos gráficos, visando uma melhor representação e interpretação dos resultados.</w:t>
      </w:r>
    </w:p>
    <w:p w14:paraId="37122977" w14:textId="1839093D" w:rsidR="003949CE" w:rsidRPr="00067918" w:rsidRDefault="003949CE" w:rsidP="00067918">
      <w:pPr>
        <w:spacing w:line="360" w:lineRule="auto"/>
        <w:jc w:val="both"/>
        <w:rPr>
          <w:rFonts w:eastAsia="Calibri"/>
          <w:b/>
          <w:bCs/>
          <w:sz w:val="24"/>
          <w:szCs w:val="24"/>
        </w:rPr>
      </w:pPr>
      <w:r w:rsidRPr="00067918">
        <w:rPr>
          <w:rFonts w:eastAsia="Calibri"/>
          <w:b/>
          <w:bCs/>
          <w:sz w:val="24"/>
          <w:szCs w:val="24"/>
        </w:rPr>
        <w:t xml:space="preserve">3. RESULTADOS E DISCUSSÃO </w:t>
      </w:r>
    </w:p>
    <w:p w14:paraId="4ECD85E8" w14:textId="77777777" w:rsidR="003949CE" w:rsidRPr="00067918" w:rsidRDefault="003949CE" w:rsidP="00067918">
      <w:pPr>
        <w:spacing w:line="360" w:lineRule="auto"/>
        <w:ind w:firstLine="709"/>
        <w:jc w:val="both"/>
        <w:rPr>
          <w:rFonts w:eastAsia="Calibri"/>
          <w:sz w:val="24"/>
          <w:szCs w:val="24"/>
        </w:rPr>
      </w:pPr>
    </w:p>
    <w:p w14:paraId="4FC0B1C6" w14:textId="7AD2DE52" w:rsidR="00067918" w:rsidRP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67918">
        <w:rPr>
          <w:color w:val="000000" w:themeColor="text1"/>
          <w:sz w:val="24"/>
          <w:szCs w:val="24"/>
        </w:rPr>
        <w:t xml:space="preserve">As mudas cultivadas em substrato comercial apresentaram maior crescimento em altura e diâmetro quando comparadas às do substrato florestal. </w:t>
      </w:r>
      <w:r w:rsidR="00CB7912" w:rsidRPr="00CB7912">
        <w:rPr>
          <w:color w:val="000000" w:themeColor="text1"/>
          <w:sz w:val="24"/>
          <w:szCs w:val="24"/>
        </w:rPr>
        <w:t>Esse desempenho superior está diretamente relacionado à maior disponibilidade de nutrientes, especialmente fósforo e potássio, fundamentais para o crescimento radicular e para a fotossíntese (Tabela 1).</w:t>
      </w:r>
      <w:r w:rsidRPr="00067918">
        <w:rPr>
          <w:color w:val="000000" w:themeColor="text1"/>
          <w:sz w:val="24"/>
          <w:szCs w:val="24"/>
        </w:rPr>
        <w:t xml:space="preserve"> Souza et al. (2020) observaram maior vigor e qualidade para plantio de mudas de Theobroma grandiflorum, cultivadas em substratos enriquecidos com fósforo.</w:t>
      </w:r>
    </w:p>
    <w:p w14:paraId="2E70DF6F" w14:textId="77777777" w:rsidR="00067918" w:rsidRPr="00067918" w:rsidRDefault="00067918" w:rsidP="00067918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  <w:r w:rsidRPr="00067918">
        <w:rPr>
          <w:color w:val="000000" w:themeColor="text1"/>
          <w:sz w:val="24"/>
          <w:szCs w:val="24"/>
        </w:rPr>
        <w:lastRenderedPageBreak/>
        <w:t xml:space="preserve">O crescimento em altura ao longo dos 180 dias revela que o tratamento SC50% apresentou as maiores médias de altura e diâmetro ao final do período (Figura 4). Resultados semelhantes foram observados por Araújo </w:t>
      </w:r>
      <w:r w:rsidRPr="00B60086">
        <w:rPr>
          <w:i/>
          <w:iCs/>
          <w:color w:val="000000" w:themeColor="text1"/>
          <w:sz w:val="24"/>
          <w:szCs w:val="24"/>
        </w:rPr>
        <w:t>et al</w:t>
      </w:r>
      <w:r w:rsidRPr="00067918">
        <w:rPr>
          <w:color w:val="000000" w:themeColor="text1"/>
          <w:sz w:val="24"/>
          <w:szCs w:val="24"/>
        </w:rPr>
        <w:t xml:space="preserve">. (2019) ao verificar que mudas de </w:t>
      </w:r>
      <w:r w:rsidRPr="00B01136">
        <w:rPr>
          <w:i/>
          <w:iCs/>
          <w:color w:val="000000" w:themeColor="text1"/>
          <w:sz w:val="24"/>
          <w:szCs w:val="24"/>
        </w:rPr>
        <w:t>Theobroma cacao</w:t>
      </w:r>
      <w:r w:rsidRPr="00067918">
        <w:rPr>
          <w:color w:val="000000" w:themeColor="text1"/>
          <w:sz w:val="24"/>
          <w:szCs w:val="24"/>
        </w:rPr>
        <w:t xml:space="preserve"> apresentaram melhor desenvolvimento sob 50% de sombreamento, ressaltando que o excesso de radiação solar reduz a taxa fotossintética e o crescimento</w:t>
      </w:r>
    </w:p>
    <w:p w14:paraId="033E6EA8" w14:textId="77777777" w:rsidR="003949CE" w:rsidRDefault="003949CE" w:rsidP="00B01136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432" w:lineRule="auto"/>
        <w:jc w:val="both"/>
        <w:rPr>
          <w:sz w:val="24"/>
          <w:szCs w:val="24"/>
        </w:rPr>
      </w:pPr>
    </w:p>
    <w:p w14:paraId="593A3308" w14:textId="5BF160AF" w:rsidR="00255576" w:rsidRDefault="00255576" w:rsidP="003A5054">
      <w:pPr>
        <w:spacing w:line="360" w:lineRule="auto"/>
        <w:jc w:val="center"/>
        <w:rPr>
          <w:rFonts w:eastAsia="Calibri"/>
        </w:rPr>
      </w:pPr>
      <w:r w:rsidRPr="003A5054">
        <w:rPr>
          <w:rFonts w:eastAsia="Calibri"/>
        </w:rPr>
        <w:t>Figura 4</w:t>
      </w:r>
      <w:r w:rsidR="003A5054">
        <w:rPr>
          <w:rFonts w:eastAsia="Calibri"/>
        </w:rPr>
        <w:t xml:space="preserve"> -</w:t>
      </w:r>
      <w:r w:rsidRPr="003A5054">
        <w:rPr>
          <w:rFonts w:eastAsia="Calibri"/>
        </w:rPr>
        <w:t xml:space="preserve"> </w:t>
      </w:r>
      <w:r w:rsidR="00D16D6D" w:rsidRPr="00D16D6D">
        <w:rPr>
          <w:rFonts w:eastAsia="Calibri"/>
        </w:rPr>
        <w:t xml:space="preserve">Altura média (± desvio padrão) das mudas de </w:t>
      </w:r>
      <w:r w:rsidR="00D16D6D" w:rsidRPr="00D16D6D">
        <w:rPr>
          <w:rFonts w:eastAsia="Calibri"/>
          <w:i/>
          <w:iCs/>
        </w:rPr>
        <w:t>Theobroma speciosum</w:t>
      </w:r>
      <w:r w:rsidR="00D16D6D" w:rsidRPr="00D16D6D">
        <w:rPr>
          <w:rFonts w:eastAsia="Calibri"/>
        </w:rPr>
        <w:t xml:space="preserve"> ao longo de 180 dias sob diferentes combinações de substrato e sombreamento.</w:t>
      </w:r>
    </w:p>
    <w:p w14:paraId="28C4AC2C" w14:textId="77777777" w:rsidR="00255576" w:rsidRDefault="00255576" w:rsidP="00255576">
      <w:pPr>
        <w:spacing w:line="360" w:lineRule="auto"/>
        <w:jc w:val="both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inline distT="0" distB="0" distL="0" distR="0" wp14:anchorId="11B85841" wp14:editId="3FBCB721">
            <wp:extent cx="5707820" cy="2798859"/>
            <wp:effectExtent l="0" t="0" r="7620" b="1905"/>
            <wp:docPr id="1001121902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21902" name="Imagem 1" descr="Gráfico, Gráfico de barras&#10;&#10;O conteúdo gerado por IA pode estar incorre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" t="7274" r="8561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27" cy="287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7BB7C" w14:textId="77777777" w:rsidR="003A5054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4C415777" w14:textId="77777777" w:rsidR="003A5054" w:rsidRDefault="003A5054" w:rsidP="0025557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14:paraId="1C0DEDE7" w14:textId="2B6E9470" w:rsidR="00255576" w:rsidRDefault="00CB7912" w:rsidP="0025557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B7912">
        <w:rPr>
          <w:rFonts w:eastAsia="Calibri"/>
          <w:sz w:val="24"/>
          <w:szCs w:val="24"/>
        </w:rPr>
        <w:t xml:space="preserve">Esses resultados reforçam que </w:t>
      </w:r>
      <w:r w:rsidRPr="00CB7912">
        <w:rPr>
          <w:rFonts w:eastAsia="Calibri"/>
          <w:i/>
          <w:iCs/>
          <w:sz w:val="24"/>
          <w:szCs w:val="24"/>
        </w:rPr>
        <w:t>T. speciosum</w:t>
      </w:r>
      <w:r w:rsidRPr="00CB7912">
        <w:rPr>
          <w:rFonts w:eastAsia="Calibri"/>
          <w:sz w:val="24"/>
          <w:szCs w:val="24"/>
        </w:rPr>
        <w:t xml:space="preserve"> apresenta comportamento típico de espécies tolerantes à sombra parcial, com desempenho reduzido sob extremos de luminosidade.</w:t>
      </w:r>
      <w:r w:rsidR="00255576" w:rsidRPr="007E2589">
        <w:rPr>
          <w:rFonts w:eastAsia="Calibri"/>
          <w:sz w:val="24"/>
          <w:szCs w:val="24"/>
        </w:rPr>
        <w:t xml:space="preserve"> Já nos tratamentos de 100% de sombreamento, o desenvolvimento foi limitado, o que pode estar associado à baixa taxa fotossintética decorrente da insuficiência luminosa. Esse resultado reforça a hipótese de que a espécie, por ocorrer naturalmente sob dossel parcial, responde negativamente tanto ao excesso de luz (pleno sol) quanto à ausência total de radiação (100% de sombreamento).</w:t>
      </w:r>
    </w:p>
    <w:p w14:paraId="4B685432" w14:textId="2C0753AE" w:rsidR="00D16D6D" w:rsidRDefault="00CB7912" w:rsidP="00B0113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CB7912">
        <w:rPr>
          <w:rFonts w:eastAsia="Calibri"/>
          <w:sz w:val="24"/>
          <w:szCs w:val="24"/>
        </w:rPr>
        <w:t>O diâmetro do coleto constitui um dos principais indicadores de qualidade de mudas, pois reflete diretamente a robustez estrutural e a capacidade de sobrevivência após o transplantio.</w:t>
      </w:r>
      <w:r w:rsidR="00B01136">
        <w:rPr>
          <w:rFonts w:eastAsia="Calibri"/>
          <w:sz w:val="24"/>
          <w:szCs w:val="24"/>
        </w:rPr>
        <w:t xml:space="preserve"> </w:t>
      </w:r>
      <w:r w:rsidR="00255576" w:rsidRPr="005E00FB">
        <w:rPr>
          <w:rFonts w:eastAsia="Calibri"/>
          <w:sz w:val="24"/>
          <w:szCs w:val="24"/>
        </w:rPr>
        <w:lastRenderedPageBreak/>
        <w:t xml:space="preserve">Nesse sentido, os resultados </w:t>
      </w:r>
      <w:r w:rsidR="00255576">
        <w:rPr>
          <w:rFonts w:eastAsia="Calibri"/>
          <w:sz w:val="24"/>
          <w:szCs w:val="24"/>
        </w:rPr>
        <w:t>m</w:t>
      </w:r>
      <w:r w:rsidR="00255576" w:rsidRPr="005E00FB">
        <w:rPr>
          <w:rFonts w:eastAsia="Calibri"/>
          <w:sz w:val="24"/>
          <w:szCs w:val="24"/>
        </w:rPr>
        <w:t xml:space="preserve">ostram que o </w:t>
      </w:r>
      <w:r w:rsidR="00255576">
        <w:rPr>
          <w:rFonts w:eastAsia="Calibri"/>
          <w:sz w:val="24"/>
          <w:szCs w:val="24"/>
        </w:rPr>
        <w:t xml:space="preserve">tratamento SC50% </w:t>
      </w:r>
      <w:r w:rsidR="00255576" w:rsidRPr="005E00FB">
        <w:rPr>
          <w:rFonts w:eastAsia="Calibri"/>
          <w:sz w:val="24"/>
          <w:szCs w:val="24"/>
        </w:rPr>
        <w:t>garante</w:t>
      </w:r>
      <w:r w:rsidR="00255576">
        <w:rPr>
          <w:rFonts w:eastAsia="Calibri"/>
          <w:sz w:val="24"/>
          <w:szCs w:val="24"/>
        </w:rPr>
        <w:t>m</w:t>
      </w:r>
      <w:r w:rsidR="00255576" w:rsidRPr="005E00FB">
        <w:rPr>
          <w:rFonts w:eastAsia="Calibri"/>
          <w:sz w:val="24"/>
          <w:szCs w:val="24"/>
        </w:rPr>
        <w:t xml:space="preserve"> mudas mais robustas, com maior diâmetro e, portanto, com maior potencial de estabelecimento e desenvolvimento em ambientes naturais ou cultivados</w:t>
      </w:r>
      <w:r w:rsidR="00255576">
        <w:rPr>
          <w:rFonts w:eastAsia="Calibri"/>
          <w:sz w:val="24"/>
          <w:szCs w:val="24"/>
        </w:rPr>
        <w:t xml:space="preserve"> (Figura 5</w:t>
      </w:r>
      <w:r w:rsidR="003A5054">
        <w:rPr>
          <w:rFonts w:eastAsia="Calibri"/>
          <w:sz w:val="24"/>
          <w:szCs w:val="24"/>
        </w:rPr>
        <w:t>).</w:t>
      </w:r>
    </w:p>
    <w:p w14:paraId="77ECE2C4" w14:textId="77777777" w:rsidR="00B01136" w:rsidRDefault="00B01136" w:rsidP="00B0113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14:paraId="230C786F" w14:textId="0D14835B" w:rsidR="00255576" w:rsidRPr="00D16D6D" w:rsidRDefault="00255576" w:rsidP="003A5054">
      <w:pPr>
        <w:spacing w:line="360" w:lineRule="auto"/>
        <w:jc w:val="center"/>
        <w:rPr>
          <w:rFonts w:eastAsia="Calibri"/>
          <w:sz w:val="24"/>
          <w:szCs w:val="24"/>
        </w:rPr>
      </w:pPr>
      <w:r w:rsidRPr="003A5054">
        <w:rPr>
          <w:rFonts w:eastAsia="Calibri"/>
        </w:rPr>
        <w:t>Figura 5</w:t>
      </w:r>
      <w:r w:rsidR="003A5054">
        <w:rPr>
          <w:rFonts w:eastAsia="Calibri"/>
        </w:rPr>
        <w:t xml:space="preserve"> - </w:t>
      </w:r>
      <w:r w:rsidR="00D16D6D" w:rsidRPr="00D16D6D">
        <w:rPr>
          <w:rFonts w:eastAsia="Calibri"/>
        </w:rPr>
        <w:t xml:space="preserve">Diâmetro médio (± desvio padrão) do coleto das mudas de </w:t>
      </w:r>
      <w:r w:rsidR="00D16D6D" w:rsidRPr="00D16D6D">
        <w:rPr>
          <w:rFonts w:eastAsia="Calibri"/>
          <w:i/>
          <w:iCs/>
        </w:rPr>
        <w:t>Theobroma speciosum</w:t>
      </w:r>
      <w:r w:rsidR="00D16D6D" w:rsidRPr="00D16D6D">
        <w:rPr>
          <w:rFonts w:eastAsia="Calibri"/>
        </w:rPr>
        <w:t xml:space="preserve"> sob diferentes tratamentos de substrato e sombreamento durante 180 dias de cultivo.</w:t>
      </w:r>
    </w:p>
    <w:p w14:paraId="307508ED" w14:textId="77777777" w:rsidR="00255576" w:rsidRPr="005E00FB" w:rsidRDefault="00255576" w:rsidP="00B60086">
      <w:pPr>
        <w:spacing w:after="200" w:line="360" w:lineRule="auto"/>
        <w:jc w:val="center"/>
        <w:rPr>
          <w:rFonts w:eastAsia="Calibri"/>
          <w:sz w:val="24"/>
          <w:szCs w:val="24"/>
        </w:rPr>
      </w:pPr>
      <w:r>
        <w:rPr>
          <w:noProof/>
        </w:rPr>
        <w:drawing>
          <wp:inline distT="0" distB="0" distL="0" distR="0" wp14:anchorId="730879A2" wp14:editId="1C8F1E79">
            <wp:extent cx="5467823" cy="2827020"/>
            <wp:effectExtent l="0" t="0" r="0" b="0"/>
            <wp:docPr id="1408355816" name="Imagem 3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355816" name="Imagem 3" descr="Gráfico, Gráfico de barras&#10;&#10;O conteúdo gerado por IA pode estar incorreto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1" r="8843" b="9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238" cy="2860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0A16A" w14:textId="77777777" w:rsidR="003A5054" w:rsidRDefault="003A5054" w:rsidP="003A5054">
      <w:pPr>
        <w:pBdr>
          <w:bottom w:val="none" w:sz="0" w:space="8" w:color="000000"/>
        </w:pBdr>
        <w:shd w:val="clear" w:color="auto" w:fill="FFFFFF"/>
        <w:tabs>
          <w:tab w:val="left" w:pos="2500"/>
        </w:tabs>
      </w:pPr>
      <w:r>
        <w:rPr>
          <w:highlight w:val="white"/>
        </w:rPr>
        <w:t xml:space="preserve">Fonte: Autores, 2025. </w:t>
      </w:r>
    </w:p>
    <w:p w14:paraId="220E33C2" w14:textId="77777777" w:rsidR="003A5054" w:rsidRDefault="003A5054" w:rsidP="0025557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14:paraId="14E43455" w14:textId="1E6BA10D" w:rsidR="00255576" w:rsidRDefault="00255576" w:rsidP="00255576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7E2589">
        <w:rPr>
          <w:rFonts w:eastAsia="Calibri"/>
          <w:sz w:val="24"/>
          <w:szCs w:val="24"/>
        </w:rPr>
        <w:t xml:space="preserve">Assim, os resultados indicam que a produção de mudas de </w:t>
      </w:r>
      <w:r w:rsidRPr="007E2589">
        <w:rPr>
          <w:rFonts w:eastAsia="Calibri"/>
          <w:i/>
          <w:iCs/>
          <w:sz w:val="24"/>
          <w:szCs w:val="24"/>
        </w:rPr>
        <w:t>T. speciosum</w:t>
      </w:r>
      <w:r w:rsidRPr="007E2589">
        <w:rPr>
          <w:rFonts w:eastAsia="Calibri"/>
          <w:sz w:val="24"/>
          <w:szCs w:val="24"/>
        </w:rPr>
        <w:t xml:space="preserve"> deve ser realizada preferencialmente em substrato comercial e sob 50% de sombreamento, condições que maximizam o equilíbrio entre disponibilidade de nutrientes e intensidade luminosa.</w:t>
      </w:r>
    </w:p>
    <w:p w14:paraId="087E438F" w14:textId="77777777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b/>
          <w:sz w:val="24"/>
          <w:szCs w:val="24"/>
        </w:rPr>
      </w:pPr>
    </w:p>
    <w:p w14:paraId="6EF26A43" w14:textId="4BA6BA9D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sz w:val="28"/>
          <w:szCs w:val="28"/>
        </w:rPr>
      </w:pPr>
      <w:r>
        <w:rPr>
          <w:b/>
          <w:sz w:val="24"/>
          <w:szCs w:val="24"/>
        </w:rPr>
        <w:t xml:space="preserve">4. CONCLUSÃO </w:t>
      </w:r>
    </w:p>
    <w:p w14:paraId="12005979" w14:textId="12BEF3FB" w:rsidR="00CB7912" w:rsidRDefault="003949CE" w:rsidP="00CB7912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sz w:val="24"/>
          <w:szCs w:val="24"/>
        </w:rPr>
        <w:tab/>
      </w:r>
      <w:r w:rsidR="00255576">
        <w:rPr>
          <w:rFonts w:eastAsia="Calibri"/>
          <w:sz w:val="24"/>
          <w:szCs w:val="24"/>
        </w:rPr>
        <w:t xml:space="preserve">O tipo de </w:t>
      </w:r>
      <w:r w:rsidR="00255576" w:rsidRPr="007E2589">
        <w:rPr>
          <w:rFonts w:eastAsia="Calibri"/>
          <w:sz w:val="24"/>
          <w:szCs w:val="24"/>
        </w:rPr>
        <w:t xml:space="preserve">substrato </w:t>
      </w:r>
      <w:r w:rsidR="00255576">
        <w:rPr>
          <w:rFonts w:eastAsia="Calibri"/>
          <w:sz w:val="24"/>
          <w:szCs w:val="24"/>
        </w:rPr>
        <w:t>e</w:t>
      </w:r>
      <w:r w:rsidR="00255576" w:rsidRPr="007E2589">
        <w:rPr>
          <w:rFonts w:eastAsia="Calibri"/>
          <w:sz w:val="24"/>
          <w:szCs w:val="24"/>
        </w:rPr>
        <w:t xml:space="preserve"> o nível de sombreamento influenciam significativamente o </w:t>
      </w:r>
      <w:r w:rsidR="00255576">
        <w:rPr>
          <w:rFonts w:eastAsia="Calibri"/>
          <w:sz w:val="24"/>
          <w:szCs w:val="24"/>
        </w:rPr>
        <w:t xml:space="preserve">desenvolvimento </w:t>
      </w:r>
      <w:r w:rsidR="00255576" w:rsidRPr="007E2589">
        <w:rPr>
          <w:rFonts w:eastAsia="Calibri"/>
          <w:sz w:val="24"/>
          <w:szCs w:val="24"/>
        </w:rPr>
        <w:t xml:space="preserve">das mudas de </w:t>
      </w:r>
      <w:r w:rsidR="00255576" w:rsidRPr="007E2589">
        <w:rPr>
          <w:rFonts w:eastAsia="Calibri"/>
          <w:i/>
          <w:iCs/>
          <w:sz w:val="24"/>
          <w:szCs w:val="24"/>
        </w:rPr>
        <w:t>T</w:t>
      </w:r>
      <w:r w:rsidR="00255576">
        <w:rPr>
          <w:rFonts w:eastAsia="Calibri"/>
          <w:i/>
          <w:iCs/>
          <w:sz w:val="24"/>
          <w:szCs w:val="24"/>
        </w:rPr>
        <w:t>.</w:t>
      </w:r>
      <w:r w:rsidR="00255576" w:rsidRPr="007E2589">
        <w:rPr>
          <w:rFonts w:eastAsia="Calibri"/>
          <w:i/>
          <w:iCs/>
          <w:sz w:val="24"/>
          <w:szCs w:val="24"/>
        </w:rPr>
        <w:t xml:space="preserve"> speciosum</w:t>
      </w:r>
      <w:r w:rsidR="00255576" w:rsidRPr="007E2589">
        <w:rPr>
          <w:rFonts w:eastAsia="Calibri"/>
          <w:sz w:val="24"/>
          <w:szCs w:val="24"/>
        </w:rPr>
        <w:t>.</w:t>
      </w:r>
      <w:r w:rsidR="00255576">
        <w:rPr>
          <w:rFonts w:eastAsia="Calibri"/>
          <w:sz w:val="24"/>
          <w:szCs w:val="24"/>
        </w:rPr>
        <w:t xml:space="preserve"> As mudas com maior incremento em altura e diâmetro, e com mais vigor para o plantio em campo, foram as do tratamento SC50</w:t>
      </w:r>
      <w:r w:rsidR="00CB7912">
        <w:rPr>
          <w:rFonts w:eastAsia="Calibri"/>
          <w:sz w:val="24"/>
          <w:szCs w:val="24"/>
        </w:rPr>
        <w:t xml:space="preserve">%. </w:t>
      </w:r>
      <w:r w:rsidR="00CB7912" w:rsidRPr="00CB7912">
        <w:rPr>
          <w:rFonts w:eastAsia="Calibri"/>
          <w:sz w:val="24"/>
          <w:szCs w:val="24"/>
        </w:rPr>
        <w:t xml:space="preserve">Esses resultados contribuem para o aprimoramento das práticas de cultivo de </w:t>
      </w:r>
      <w:r w:rsidR="00CB7912" w:rsidRPr="00CB7912">
        <w:rPr>
          <w:rFonts w:eastAsia="Calibri"/>
          <w:i/>
          <w:iCs/>
          <w:sz w:val="24"/>
          <w:szCs w:val="24"/>
        </w:rPr>
        <w:t>Theobroma speciosum</w:t>
      </w:r>
      <w:r w:rsidR="00CB7912" w:rsidRPr="00CB7912">
        <w:rPr>
          <w:rFonts w:eastAsia="Calibri"/>
          <w:sz w:val="24"/>
          <w:szCs w:val="24"/>
        </w:rPr>
        <w:t xml:space="preserve">, fornecendo subsídios técnicos para viveiristas e pesquisadores na definição de protocolos </w:t>
      </w:r>
      <w:r w:rsidR="00CB7912" w:rsidRPr="00CB7912">
        <w:rPr>
          <w:rFonts w:eastAsia="Calibri"/>
          <w:sz w:val="24"/>
          <w:szCs w:val="24"/>
        </w:rPr>
        <w:lastRenderedPageBreak/>
        <w:t>eficientes de produção de mudas.</w:t>
      </w:r>
    </w:p>
    <w:p w14:paraId="3BA91C19" w14:textId="77777777" w:rsidR="00CB7912" w:rsidRPr="00CB7912" w:rsidRDefault="00CB7912" w:rsidP="00CB7912">
      <w:pPr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14:paraId="5D816746" w14:textId="3C683EC3" w:rsidR="003949CE" w:rsidRDefault="003949CE" w:rsidP="003949CE">
      <w:pPr>
        <w:widowControl/>
        <w:tabs>
          <w:tab w:val="left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00BDB35D" w14:textId="2B8DAB0B" w:rsidR="00867117" w:rsidRDefault="00867117" w:rsidP="00867117">
      <w:pPr>
        <w:rPr>
          <w:lang w:val="pt-BR"/>
        </w:rPr>
      </w:pPr>
      <w:bookmarkStart w:id="0" w:name="_gjdgxs" w:colFirst="0" w:colLast="0"/>
      <w:bookmarkEnd w:id="0"/>
      <w:r w:rsidRPr="00867117">
        <w:rPr>
          <w:lang w:val="pt-BR"/>
        </w:rPr>
        <w:t xml:space="preserve">ARAÚJO, A. C. S.; PEREIRA, D. S.; LIMA, R. A. </w:t>
      </w:r>
      <w:r w:rsidRPr="00867117">
        <w:rPr>
          <w:i/>
          <w:iCs/>
          <w:lang w:val="pt-BR"/>
        </w:rPr>
        <w:t xml:space="preserve">Crescimento inicial de mudas de </w:t>
      </w:r>
      <w:proofErr w:type="spellStart"/>
      <w:r w:rsidRPr="00867117">
        <w:rPr>
          <w:i/>
          <w:iCs/>
          <w:lang w:val="pt-BR"/>
        </w:rPr>
        <w:t>Theobroma</w:t>
      </w:r>
      <w:proofErr w:type="spellEnd"/>
      <w:r w:rsidRPr="00867117">
        <w:rPr>
          <w:i/>
          <w:iCs/>
          <w:lang w:val="pt-BR"/>
        </w:rPr>
        <w:t xml:space="preserve"> cacao sob diferentes níveis de sombreamento.</w:t>
      </w:r>
      <w:r w:rsidRPr="00867117">
        <w:rPr>
          <w:lang w:val="pt-BR"/>
        </w:rPr>
        <w:t xml:space="preserve"> Revista </w:t>
      </w:r>
      <w:proofErr w:type="spellStart"/>
      <w:r w:rsidRPr="00867117">
        <w:rPr>
          <w:lang w:val="pt-BR"/>
        </w:rPr>
        <w:t>Agro@</w:t>
      </w:r>
      <w:r w:rsidR="00B60086" w:rsidRPr="00867117">
        <w:rPr>
          <w:lang w:val="pt-BR"/>
        </w:rPr>
        <w:t>mbiente</w:t>
      </w:r>
      <w:proofErr w:type="spellEnd"/>
      <w:r w:rsidR="00B60086" w:rsidRPr="00867117">
        <w:rPr>
          <w:lang w:val="pt-BR"/>
        </w:rPr>
        <w:t xml:space="preserve"> on-line-</w:t>
      </w:r>
      <w:proofErr w:type="spellStart"/>
      <w:r w:rsidR="00B60086" w:rsidRPr="00867117">
        <w:rPr>
          <w:lang w:val="pt-BR"/>
        </w:rPr>
        <w:t>line</w:t>
      </w:r>
      <w:proofErr w:type="spellEnd"/>
      <w:r w:rsidRPr="00867117">
        <w:rPr>
          <w:lang w:val="pt-BR"/>
        </w:rPr>
        <w:t>, v. 13, n. 2, p. 101–110, 2019.</w:t>
      </w:r>
    </w:p>
    <w:p w14:paraId="163D0018" w14:textId="77777777" w:rsidR="00867117" w:rsidRPr="00867117" w:rsidRDefault="00867117" w:rsidP="00867117">
      <w:pPr>
        <w:rPr>
          <w:lang w:val="pt-BR"/>
        </w:rPr>
      </w:pPr>
    </w:p>
    <w:p w14:paraId="0896ABEA" w14:textId="38573D39" w:rsidR="00867117" w:rsidRDefault="00867117" w:rsidP="00867117">
      <w:r w:rsidRPr="00867117">
        <w:rPr>
          <w:lang w:val="pt-BR"/>
        </w:rPr>
        <w:t xml:space="preserve">CABREIRA, G. V. </w:t>
      </w:r>
      <w:r w:rsidRPr="00867117">
        <w:rPr>
          <w:i/>
          <w:iCs/>
          <w:lang w:val="pt-BR"/>
        </w:rPr>
        <w:t>et al.</w:t>
      </w:r>
      <w:r w:rsidRPr="00867117">
        <w:rPr>
          <w:lang w:val="pt-BR"/>
        </w:rPr>
        <w:t xml:space="preserve"> </w:t>
      </w:r>
      <w:r w:rsidRPr="00867117">
        <w:rPr>
          <w:i/>
          <w:iCs/>
          <w:lang w:val="pt-BR"/>
        </w:rPr>
        <w:t xml:space="preserve">Fertilização e recipientes na produção de mudas e sobrevivência pós-plantio de </w:t>
      </w:r>
      <w:proofErr w:type="spellStart"/>
      <w:r w:rsidRPr="00867117">
        <w:rPr>
          <w:i/>
          <w:iCs/>
          <w:lang w:val="pt-BR"/>
        </w:rPr>
        <w:t>Schizolobium</w:t>
      </w:r>
      <w:proofErr w:type="spellEnd"/>
      <w:r w:rsidRPr="00867117">
        <w:rPr>
          <w:i/>
          <w:iCs/>
          <w:lang w:val="pt-BR"/>
        </w:rPr>
        <w:t xml:space="preserve"> </w:t>
      </w:r>
      <w:proofErr w:type="spellStart"/>
      <w:r w:rsidRPr="00867117">
        <w:rPr>
          <w:i/>
          <w:iCs/>
          <w:lang w:val="pt-BR"/>
        </w:rPr>
        <w:t>parahyba</w:t>
      </w:r>
      <w:proofErr w:type="spellEnd"/>
      <w:r w:rsidRPr="00867117">
        <w:rPr>
          <w:i/>
          <w:iCs/>
          <w:lang w:val="pt-BR"/>
        </w:rPr>
        <w:t>.</w:t>
      </w:r>
      <w:r w:rsidRPr="00867117">
        <w:rPr>
          <w:lang w:val="pt-BR"/>
        </w:rPr>
        <w:t xml:space="preserve"> Ciência Florestal, v. 29, n. 4, p. 1644-1657, 2019. https://doi.org/10.5902/1980509833261</w:t>
      </w:r>
    </w:p>
    <w:p w14:paraId="598BF314" w14:textId="77777777" w:rsidR="00867117" w:rsidRPr="00867117" w:rsidRDefault="00867117" w:rsidP="00867117">
      <w:pPr>
        <w:rPr>
          <w:lang w:val="pt-BR"/>
        </w:rPr>
      </w:pPr>
    </w:p>
    <w:p w14:paraId="174DDB2C" w14:textId="3B592740" w:rsidR="00867117" w:rsidRPr="00B60086" w:rsidRDefault="00867117" w:rsidP="00867117">
      <w:pPr>
        <w:rPr>
          <w:lang w:val="en-US"/>
        </w:rPr>
      </w:pPr>
      <w:r w:rsidRPr="00867117">
        <w:rPr>
          <w:lang w:val="pt-BR"/>
        </w:rPr>
        <w:t xml:space="preserve">DARDENGO, J. F. E. </w:t>
      </w:r>
      <w:r w:rsidRPr="00867117">
        <w:rPr>
          <w:i/>
          <w:iCs/>
          <w:lang w:val="pt-BR"/>
        </w:rPr>
        <w:t>et al.</w:t>
      </w:r>
      <w:r w:rsidRPr="00867117">
        <w:rPr>
          <w:lang w:val="pt-BR"/>
        </w:rPr>
        <w:t xml:space="preserve"> </w:t>
      </w:r>
      <w:r w:rsidRPr="00867117">
        <w:rPr>
          <w:i/>
          <w:iCs/>
          <w:lang w:val="pt-BR"/>
        </w:rPr>
        <w:t xml:space="preserve">Estrutura e diversidade genética de </w:t>
      </w:r>
      <w:proofErr w:type="spellStart"/>
      <w:r w:rsidRPr="00867117">
        <w:rPr>
          <w:i/>
          <w:iCs/>
          <w:lang w:val="pt-BR"/>
        </w:rPr>
        <w:t>Theobroma</w:t>
      </w:r>
      <w:proofErr w:type="spellEnd"/>
      <w:r w:rsidRPr="00867117">
        <w:rPr>
          <w:i/>
          <w:iCs/>
          <w:lang w:val="pt-BR"/>
        </w:rPr>
        <w:t xml:space="preserve"> </w:t>
      </w:r>
      <w:proofErr w:type="spellStart"/>
      <w:r w:rsidRPr="00867117">
        <w:rPr>
          <w:i/>
          <w:iCs/>
          <w:lang w:val="pt-BR"/>
        </w:rPr>
        <w:t>speciosum</w:t>
      </w:r>
      <w:proofErr w:type="spellEnd"/>
      <w:r w:rsidRPr="00867117">
        <w:rPr>
          <w:i/>
          <w:iCs/>
          <w:lang w:val="pt-BR"/>
        </w:rPr>
        <w:t xml:space="preserve"> (Malvaceae) e implicações para a conservação da Amazônia brasileira.</w:t>
      </w:r>
      <w:r w:rsidRPr="00867117">
        <w:rPr>
          <w:lang w:val="pt-BR"/>
        </w:rPr>
        <w:t xml:space="preserve"> </w:t>
      </w:r>
      <w:proofErr w:type="spellStart"/>
      <w:r w:rsidRPr="00B60086">
        <w:rPr>
          <w:lang w:val="en-US"/>
        </w:rPr>
        <w:t>Rodriguésia</w:t>
      </w:r>
      <w:proofErr w:type="spellEnd"/>
      <w:r w:rsidRPr="00B60086">
        <w:rPr>
          <w:lang w:val="en-US"/>
        </w:rPr>
        <w:t>, v. 72, e02022018, 2021. http://dx.doi.org/10.1590/2175-7860202172023</w:t>
      </w:r>
    </w:p>
    <w:p w14:paraId="4AF08D13" w14:textId="77777777" w:rsidR="00867117" w:rsidRPr="00B60086" w:rsidRDefault="00867117" w:rsidP="00867117">
      <w:pPr>
        <w:rPr>
          <w:lang w:val="en-US"/>
        </w:rPr>
      </w:pPr>
    </w:p>
    <w:p w14:paraId="20DDD794" w14:textId="69B83D0F" w:rsidR="00867117" w:rsidRPr="00C048B1" w:rsidRDefault="00867117" w:rsidP="00867117">
      <w:pPr>
        <w:rPr>
          <w:lang w:val="fr-CA"/>
        </w:rPr>
      </w:pPr>
      <w:r w:rsidRPr="00B60086">
        <w:rPr>
          <w:lang w:val="en-US"/>
        </w:rPr>
        <w:t xml:space="preserve">LÜTTGE, U. </w:t>
      </w:r>
      <w:r w:rsidRPr="00B60086">
        <w:rPr>
          <w:i/>
          <w:iCs/>
          <w:lang w:val="en-US"/>
        </w:rPr>
        <w:t>Physiological ecology of tropical plants.</w:t>
      </w:r>
      <w:r w:rsidRPr="00B60086">
        <w:rPr>
          <w:lang w:val="en-US"/>
        </w:rPr>
        <w:t xml:space="preserve"> </w:t>
      </w:r>
      <w:r w:rsidRPr="00C048B1">
        <w:rPr>
          <w:lang w:val="fr-CA"/>
        </w:rPr>
        <w:t>Berlin: Springer-</w:t>
      </w:r>
      <w:proofErr w:type="spellStart"/>
      <w:r w:rsidRPr="00C048B1">
        <w:rPr>
          <w:lang w:val="fr-CA"/>
        </w:rPr>
        <w:t>Verlag</w:t>
      </w:r>
      <w:proofErr w:type="spellEnd"/>
      <w:r w:rsidRPr="00C048B1">
        <w:rPr>
          <w:lang w:val="fr-CA"/>
        </w:rPr>
        <w:t>, 1997. https://doi.org/10.1007/978-3-540-71793-5</w:t>
      </w:r>
    </w:p>
    <w:p w14:paraId="77D69EA6" w14:textId="77777777" w:rsidR="00867117" w:rsidRPr="00C048B1" w:rsidRDefault="00867117" w:rsidP="00867117">
      <w:pPr>
        <w:rPr>
          <w:lang w:val="fr-CA"/>
        </w:rPr>
      </w:pPr>
    </w:p>
    <w:p w14:paraId="79A40784" w14:textId="77777777" w:rsidR="00867117" w:rsidRDefault="00867117" w:rsidP="00867117">
      <w:pPr>
        <w:rPr>
          <w:lang w:val="pt-BR"/>
        </w:rPr>
      </w:pPr>
      <w:r w:rsidRPr="00867117">
        <w:rPr>
          <w:lang w:val="pt-BR"/>
        </w:rPr>
        <w:t xml:space="preserve">MAJEROWICZ, N. </w:t>
      </w:r>
      <w:r w:rsidRPr="00867117">
        <w:rPr>
          <w:i/>
          <w:iCs/>
          <w:lang w:val="pt-BR"/>
        </w:rPr>
        <w:t>Fotossíntese.</w:t>
      </w:r>
      <w:r w:rsidRPr="00867117">
        <w:rPr>
          <w:lang w:val="pt-BR"/>
        </w:rPr>
        <w:t xml:space="preserve"> In: KERBAUY, G. B. (Ed.). </w:t>
      </w:r>
      <w:r w:rsidRPr="00867117">
        <w:rPr>
          <w:i/>
          <w:iCs/>
          <w:lang w:val="pt-BR"/>
        </w:rPr>
        <w:t>Fisiologia vegetal.</w:t>
      </w:r>
      <w:r w:rsidRPr="00867117">
        <w:rPr>
          <w:lang w:val="pt-BR"/>
        </w:rPr>
        <w:t xml:space="preserve"> Rio de Janeiro: Guanabara Koogan, 2004. p. 200–233.</w:t>
      </w:r>
    </w:p>
    <w:p w14:paraId="2DC1040C" w14:textId="77777777" w:rsidR="00867117" w:rsidRPr="00867117" w:rsidRDefault="00867117" w:rsidP="00867117">
      <w:pPr>
        <w:rPr>
          <w:lang w:val="pt-BR"/>
        </w:rPr>
      </w:pPr>
    </w:p>
    <w:p w14:paraId="24C144BC" w14:textId="6B324488" w:rsidR="00867117" w:rsidRPr="00C048B1" w:rsidRDefault="00867117" w:rsidP="00867117">
      <w:pPr>
        <w:rPr>
          <w:lang w:val="fr-CA"/>
        </w:rPr>
      </w:pPr>
      <w:r w:rsidRPr="00867117">
        <w:rPr>
          <w:lang w:val="pt-BR"/>
        </w:rPr>
        <w:t xml:space="preserve">MAR, J. M. </w:t>
      </w:r>
      <w:r w:rsidRPr="00867117">
        <w:rPr>
          <w:i/>
          <w:iCs/>
          <w:lang w:val="pt-BR"/>
        </w:rPr>
        <w:t>et al.</w:t>
      </w:r>
      <w:r w:rsidRPr="00867117">
        <w:rPr>
          <w:lang w:val="pt-BR"/>
        </w:rPr>
        <w:t xml:space="preserve"> </w:t>
      </w:r>
      <w:r w:rsidRPr="00867117">
        <w:rPr>
          <w:i/>
          <w:iCs/>
          <w:lang w:val="pt-BR"/>
        </w:rPr>
        <w:t>Theobroma spp.: Uma revisão do seu potencial químico e de inovação para a indústria alimentícia.</w:t>
      </w:r>
      <w:r w:rsidRPr="00867117">
        <w:rPr>
          <w:lang w:val="pt-BR"/>
        </w:rPr>
        <w:t xml:space="preserve"> </w:t>
      </w:r>
      <w:r w:rsidRPr="00C048B1">
        <w:rPr>
          <w:lang w:val="fr-CA"/>
        </w:rPr>
        <w:t>Food Chemistry Advances, v. 4, 100683, 2024. https://doi.org/10.1016/j.focha.2024.100683</w:t>
      </w:r>
    </w:p>
    <w:p w14:paraId="049C3E6E" w14:textId="77777777" w:rsidR="00867117" w:rsidRPr="00C048B1" w:rsidRDefault="00867117" w:rsidP="00867117">
      <w:pPr>
        <w:rPr>
          <w:lang w:val="fr-CA"/>
        </w:rPr>
      </w:pPr>
    </w:p>
    <w:p w14:paraId="2576A036" w14:textId="1BD452C0" w:rsidR="00867117" w:rsidRDefault="00867117" w:rsidP="00867117">
      <w:pPr>
        <w:rPr>
          <w:lang w:val="pt-BR"/>
        </w:rPr>
      </w:pPr>
      <w:r w:rsidRPr="00C048B1">
        <w:rPr>
          <w:lang w:val="fr-CA"/>
        </w:rPr>
        <w:t xml:space="preserve">RODRIGUES, J. C. W. </w:t>
      </w:r>
      <w:r w:rsidRPr="00C048B1">
        <w:rPr>
          <w:i/>
          <w:iCs/>
          <w:lang w:val="fr-CA"/>
        </w:rPr>
        <w:t>et al.</w:t>
      </w:r>
      <w:r w:rsidRPr="00C048B1">
        <w:rPr>
          <w:lang w:val="fr-CA"/>
        </w:rPr>
        <w:t xml:space="preserve"> </w:t>
      </w:r>
      <w:r w:rsidRPr="00867117">
        <w:rPr>
          <w:i/>
          <w:iCs/>
          <w:lang w:val="pt-BR"/>
        </w:rPr>
        <w:t>A importância da produção de mudas de essências florestais na Região Amazônica: uma revisão sistemática.</w:t>
      </w:r>
      <w:r w:rsidRPr="00867117">
        <w:rPr>
          <w:lang w:val="pt-BR"/>
        </w:rPr>
        <w:t xml:space="preserve"> Revista Científica da Faculdade de Educação e Meio Ambiente, v. 14, n. 1, p. 10–24, 2023. https://doi.org/10.31072/rcf.v14i1.1144</w:t>
      </w:r>
    </w:p>
    <w:p w14:paraId="4D770CB0" w14:textId="77777777" w:rsidR="00867117" w:rsidRPr="00867117" w:rsidRDefault="00867117" w:rsidP="00867117">
      <w:pPr>
        <w:rPr>
          <w:lang w:val="pt-BR"/>
        </w:rPr>
      </w:pPr>
    </w:p>
    <w:p w14:paraId="52ED0F22" w14:textId="360160BC" w:rsidR="00867117" w:rsidRDefault="00867117" w:rsidP="00867117">
      <w:pPr>
        <w:rPr>
          <w:lang w:val="pt-BR"/>
        </w:rPr>
      </w:pPr>
      <w:r w:rsidRPr="00867117">
        <w:rPr>
          <w:lang w:val="pt-BR"/>
        </w:rPr>
        <w:t xml:space="preserve">SILVA, L. M.; ALQUINI, Y.; CAVALLET, V. J. </w:t>
      </w:r>
      <w:r w:rsidRPr="00867117">
        <w:rPr>
          <w:i/>
          <w:iCs/>
          <w:lang w:val="pt-BR"/>
        </w:rPr>
        <w:t>Inter-relações entre a anatomia vegetal e a produção vegetal.</w:t>
      </w:r>
      <w:r w:rsidRPr="00867117">
        <w:rPr>
          <w:lang w:val="pt-BR"/>
        </w:rPr>
        <w:t xml:space="preserve"> Acta Botânica Brasílica, v. 19, n. 1, p. 183–194, 2005. https://doi.org/10.1590/S0102-33062005000100018</w:t>
      </w:r>
    </w:p>
    <w:p w14:paraId="6DD44E39" w14:textId="77777777" w:rsidR="00867117" w:rsidRPr="00867117" w:rsidRDefault="00867117" w:rsidP="00867117">
      <w:pPr>
        <w:rPr>
          <w:lang w:val="pt-BR"/>
        </w:rPr>
      </w:pPr>
    </w:p>
    <w:p w14:paraId="6B6A6B2F" w14:textId="77777777" w:rsidR="00867117" w:rsidRDefault="00867117" w:rsidP="00867117">
      <w:pPr>
        <w:rPr>
          <w:lang w:val="pt-BR"/>
        </w:rPr>
      </w:pPr>
      <w:r w:rsidRPr="00867117">
        <w:rPr>
          <w:lang w:val="pt-BR"/>
        </w:rPr>
        <w:t xml:space="preserve">SOUZA, R. F.; MOURA, F. B.; GOMES, A. S. </w:t>
      </w:r>
      <w:r w:rsidRPr="00867117">
        <w:rPr>
          <w:i/>
          <w:iCs/>
          <w:lang w:val="pt-BR"/>
        </w:rPr>
        <w:t xml:space="preserve">Produção de mudas de </w:t>
      </w:r>
      <w:proofErr w:type="spellStart"/>
      <w:r w:rsidRPr="00867117">
        <w:rPr>
          <w:i/>
          <w:iCs/>
          <w:lang w:val="pt-BR"/>
        </w:rPr>
        <w:t>Theobroma</w:t>
      </w:r>
      <w:proofErr w:type="spellEnd"/>
      <w:r w:rsidRPr="00867117">
        <w:rPr>
          <w:i/>
          <w:iCs/>
          <w:lang w:val="pt-BR"/>
        </w:rPr>
        <w:t xml:space="preserve"> </w:t>
      </w:r>
      <w:proofErr w:type="spellStart"/>
      <w:r w:rsidRPr="00867117">
        <w:rPr>
          <w:i/>
          <w:iCs/>
          <w:lang w:val="pt-BR"/>
        </w:rPr>
        <w:t>grandiflorum</w:t>
      </w:r>
      <w:proofErr w:type="spellEnd"/>
      <w:r w:rsidRPr="00867117">
        <w:rPr>
          <w:i/>
          <w:iCs/>
          <w:lang w:val="pt-BR"/>
        </w:rPr>
        <w:t xml:space="preserve"> em diferentes substratos.</w:t>
      </w:r>
      <w:r w:rsidRPr="00867117">
        <w:rPr>
          <w:lang w:val="pt-BR"/>
        </w:rPr>
        <w:t xml:space="preserve"> Acta Amazonica, v. 50, n. 3, p. 221–230, 2020.</w:t>
      </w:r>
    </w:p>
    <w:p w14:paraId="281D5524" w14:textId="77777777" w:rsidR="00867117" w:rsidRPr="00867117" w:rsidRDefault="00867117" w:rsidP="00867117">
      <w:pPr>
        <w:rPr>
          <w:lang w:val="pt-BR"/>
        </w:rPr>
      </w:pPr>
    </w:p>
    <w:p w14:paraId="6C9ED020" w14:textId="3198858E" w:rsidR="00867117" w:rsidRPr="00867117" w:rsidRDefault="00867117" w:rsidP="00867117">
      <w:pPr>
        <w:rPr>
          <w:lang w:val="pt-BR"/>
        </w:rPr>
      </w:pPr>
      <w:r w:rsidRPr="00867117">
        <w:rPr>
          <w:lang w:val="pt-BR"/>
        </w:rPr>
        <w:t xml:space="preserve">ZAVISTANOVICZ, T. C. </w:t>
      </w:r>
      <w:r w:rsidRPr="00867117">
        <w:rPr>
          <w:i/>
          <w:iCs/>
          <w:lang w:val="pt-BR"/>
        </w:rPr>
        <w:t>et al.</w:t>
      </w:r>
      <w:r w:rsidRPr="00867117">
        <w:rPr>
          <w:lang w:val="pt-BR"/>
        </w:rPr>
        <w:t xml:space="preserve"> </w:t>
      </w:r>
      <w:r w:rsidRPr="00867117">
        <w:rPr>
          <w:i/>
          <w:iCs/>
          <w:lang w:val="pt-BR"/>
        </w:rPr>
        <w:t xml:space="preserve">Técnicas de produção de mudas de espécies arbóreas e uso de </w:t>
      </w:r>
      <w:proofErr w:type="spellStart"/>
      <w:r w:rsidRPr="00867117">
        <w:rPr>
          <w:i/>
          <w:iCs/>
          <w:lang w:val="pt-BR"/>
        </w:rPr>
        <w:t>mulching</w:t>
      </w:r>
      <w:proofErr w:type="spellEnd"/>
      <w:r w:rsidRPr="00867117">
        <w:rPr>
          <w:i/>
          <w:iCs/>
          <w:lang w:val="pt-BR"/>
        </w:rPr>
        <w:t xml:space="preserve"> em área alterada.</w:t>
      </w:r>
      <w:r w:rsidRPr="00867117">
        <w:rPr>
          <w:lang w:val="pt-BR"/>
        </w:rPr>
        <w:t xml:space="preserve"> Revista Árvore, v. 45, n. 1, 2021. https://doi.org/10.1590/1806-908820210000020</w:t>
      </w:r>
    </w:p>
    <w:p w14:paraId="74D32050" w14:textId="28F745B6" w:rsidR="00DB5854" w:rsidRPr="003949CE" w:rsidRDefault="00DB5854" w:rsidP="003949CE"/>
    <w:p w14:paraId="50B418C0" w14:textId="77777777" w:rsidR="00867117" w:rsidRPr="003949CE" w:rsidRDefault="00867117"/>
    <w:sectPr w:rsidR="00867117" w:rsidRPr="003949CE" w:rsidSect="005A1575">
      <w:headerReference w:type="default" r:id="rId12"/>
      <w:footerReference w:type="default" r:id="rId13"/>
      <w:type w:val="continuous"/>
      <w:pgSz w:w="1191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CE552" w14:textId="77777777" w:rsidR="00B3429B" w:rsidRDefault="00B3429B" w:rsidP="005A1575">
      <w:r>
        <w:separator/>
      </w:r>
    </w:p>
  </w:endnote>
  <w:endnote w:type="continuationSeparator" w:id="0">
    <w:p w14:paraId="465B3C2A" w14:textId="77777777" w:rsidR="00B3429B" w:rsidRDefault="00B3429B" w:rsidP="005A1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7E4EA" w14:textId="134574BA" w:rsidR="005A1575" w:rsidRDefault="004B3806">
    <w:pPr>
      <w:pStyle w:val="Rodap"/>
    </w:pPr>
    <w:r>
      <w:rPr>
        <w:noProof/>
      </w:rPr>
      <w:drawing>
        <wp:anchor distT="0" distB="0" distL="114300" distR="114300" simplePos="0" relativeHeight="251624960" behindDoc="0" locked="0" layoutInCell="1" allowOverlap="1" wp14:anchorId="38BD3C9F" wp14:editId="6A9BCEB9">
          <wp:simplePos x="0" y="0"/>
          <wp:positionH relativeFrom="margin">
            <wp:align>left</wp:align>
          </wp:positionH>
          <wp:positionV relativeFrom="page">
            <wp:posOffset>9994265</wp:posOffset>
          </wp:positionV>
          <wp:extent cx="600075" cy="191770"/>
          <wp:effectExtent l="0" t="0" r="0" b="0"/>
          <wp:wrapSquare wrapText="bothSides"/>
          <wp:docPr id="13333586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191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184" behindDoc="0" locked="0" layoutInCell="1" allowOverlap="1" wp14:anchorId="133CF920" wp14:editId="4948997F">
          <wp:simplePos x="0" y="0"/>
          <wp:positionH relativeFrom="column">
            <wp:posOffset>2644140</wp:posOffset>
          </wp:positionH>
          <wp:positionV relativeFrom="page">
            <wp:posOffset>9987915</wp:posOffset>
          </wp:positionV>
          <wp:extent cx="419100" cy="241935"/>
          <wp:effectExtent l="0" t="0" r="0" b="0"/>
          <wp:wrapSquare wrapText="bothSides"/>
          <wp:docPr id="954548022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241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1575">
      <w:rPr>
        <w:noProof/>
      </w:rPr>
      <w:drawing>
        <wp:anchor distT="0" distB="0" distL="114300" distR="114300" simplePos="0" relativeHeight="251653632" behindDoc="0" locked="0" layoutInCell="1" allowOverlap="1" wp14:anchorId="0D209678" wp14:editId="6C20E5A0">
          <wp:simplePos x="0" y="0"/>
          <wp:positionH relativeFrom="column">
            <wp:posOffset>850900</wp:posOffset>
          </wp:positionH>
          <wp:positionV relativeFrom="page">
            <wp:posOffset>10152380</wp:posOffset>
          </wp:positionV>
          <wp:extent cx="1231265" cy="384175"/>
          <wp:effectExtent l="0" t="0" r="6985" b="0"/>
          <wp:wrapSquare wrapText="bothSides"/>
          <wp:docPr id="121878881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693568" behindDoc="0" locked="0" layoutInCell="1" allowOverlap="1" wp14:anchorId="31A1BFA6" wp14:editId="2E91DF3C">
          <wp:simplePos x="0" y="0"/>
          <wp:positionH relativeFrom="column">
            <wp:posOffset>3139440</wp:posOffset>
          </wp:positionH>
          <wp:positionV relativeFrom="page">
            <wp:posOffset>10172700</wp:posOffset>
          </wp:positionV>
          <wp:extent cx="542290" cy="384175"/>
          <wp:effectExtent l="0" t="0" r="0" b="0"/>
          <wp:wrapSquare wrapText="bothSides"/>
          <wp:docPr id="2023691315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29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08928" behindDoc="0" locked="0" layoutInCell="1" allowOverlap="1" wp14:anchorId="2AE4657F" wp14:editId="21F15F58">
          <wp:simplePos x="0" y="0"/>
          <wp:positionH relativeFrom="column">
            <wp:posOffset>3910965</wp:posOffset>
          </wp:positionH>
          <wp:positionV relativeFrom="page">
            <wp:posOffset>10176510</wp:posOffset>
          </wp:positionV>
          <wp:extent cx="914400" cy="353695"/>
          <wp:effectExtent l="0" t="0" r="0" b="8255"/>
          <wp:wrapSquare wrapText="bothSides"/>
          <wp:docPr id="12310397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A1575">
      <w:rPr>
        <w:noProof/>
      </w:rPr>
      <w:drawing>
        <wp:anchor distT="0" distB="0" distL="114300" distR="114300" simplePos="0" relativeHeight="251721216" behindDoc="0" locked="0" layoutInCell="1" allowOverlap="1" wp14:anchorId="5853B3B1" wp14:editId="5C9D517F">
          <wp:simplePos x="0" y="0"/>
          <wp:positionH relativeFrom="column">
            <wp:posOffset>5006340</wp:posOffset>
          </wp:positionH>
          <wp:positionV relativeFrom="page">
            <wp:posOffset>10182225</wp:posOffset>
          </wp:positionV>
          <wp:extent cx="756285" cy="335280"/>
          <wp:effectExtent l="0" t="0" r="5715" b="7620"/>
          <wp:wrapSquare wrapText="bothSides"/>
          <wp:docPr id="1212957140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DA3A4" w14:textId="77777777" w:rsidR="00B3429B" w:rsidRDefault="00B3429B" w:rsidP="005A1575">
      <w:r>
        <w:separator/>
      </w:r>
    </w:p>
  </w:footnote>
  <w:footnote w:type="continuationSeparator" w:id="0">
    <w:p w14:paraId="2A9F9E4E" w14:textId="77777777" w:rsidR="00B3429B" w:rsidRDefault="00B3429B" w:rsidP="005A1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287E9" w14:textId="281CD96B" w:rsidR="005A1575" w:rsidRPr="005A1575" w:rsidRDefault="00177FDF" w:rsidP="005A1575">
    <w:pPr>
      <w:pStyle w:val="Cabealho"/>
      <w:jc w:val="center"/>
    </w:pPr>
    <w:r>
      <w:rPr>
        <w:noProof/>
      </w:rPr>
      <w:drawing>
        <wp:inline distT="0" distB="0" distL="0" distR="0" wp14:anchorId="75CDB71C" wp14:editId="6FF693D2">
          <wp:extent cx="3253105" cy="1610360"/>
          <wp:effectExtent l="0" t="0" r="0" b="0"/>
          <wp:docPr id="1222666444" name="Imagem 1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2666444" name="Imagem 1" descr="Logotipo, nome da empresa&#10;&#10;O conteúdo gerado por IA pode estar incorreto.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65" t="33993" r="-2172" b="26667"/>
                  <a:stretch>
                    <a:fillRect/>
                  </a:stretch>
                </pic:blipFill>
                <pic:spPr bwMode="auto"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097"/>
    <w:multiLevelType w:val="hybridMultilevel"/>
    <w:tmpl w:val="F4366B92"/>
    <w:lvl w:ilvl="0" w:tplc="48DEDE6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pt-PT" w:eastAsia="en-US" w:bidi="ar-SA"/>
      </w:rPr>
    </w:lvl>
    <w:lvl w:ilvl="1" w:tplc="67DCBFB4">
      <w:numFmt w:val="bullet"/>
      <w:lvlText w:val="•"/>
      <w:lvlJc w:val="left"/>
      <w:pPr>
        <w:ind w:left="1610" w:hanging="360"/>
      </w:pPr>
      <w:rPr>
        <w:rFonts w:hint="default"/>
        <w:lang w:val="pt-PT" w:eastAsia="en-US" w:bidi="ar-SA"/>
      </w:rPr>
    </w:lvl>
    <w:lvl w:ilvl="2" w:tplc="E18AFBE4">
      <w:numFmt w:val="bullet"/>
      <w:lvlText w:val="•"/>
      <w:lvlJc w:val="left"/>
      <w:pPr>
        <w:ind w:left="2401" w:hanging="360"/>
      </w:pPr>
      <w:rPr>
        <w:rFonts w:hint="default"/>
        <w:lang w:val="pt-PT" w:eastAsia="en-US" w:bidi="ar-SA"/>
      </w:rPr>
    </w:lvl>
    <w:lvl w:ilvl="3" w:tplc="F5CAE5BC">
      <w:numFmt w:val="bullet"/>
      <w:lvlText w:val="•"/>
      <w:lvlJc w:val="left"/>
      <w:pPr>
        <w:ind w:left="3191" w:hanging="360"/>
      </w:pPr>
      <w:rPr>
        <w:rFonts w:hint="default"/>
        <w:lang w:val="pt-PT" w:eastAsia="en-US" w:bidi="ar-SA"/>
      </w:rPr>
    </w:lvl>
    <w:lvl w:ilvl="4" w:tplc="173CB834">
      <w:numFmt w:val="bullet"/>
      <w:lvlText w:val="•"/>
      <w:lvlJc w:val="left"/>
      <w:pPr>
        <w:ind w:left="3982" w:hanging="360"/>
      </w:pPr>
      <w:rPr>
        <w:rFonts w:hint="default"/>
        <w:lang w:val="pt-PT" w:eastAsia="en-US" w:bidi="ar-SA"/>
      </w:rPr>
    </w:lvl>
    <w:lvl w:ilvl="5" w:tplc="4D0EA188">
      <w:numFmt w:val="bullet"/>
      <w:lvlText w:val="•"/>
      <w:lvlJc w:val="left"/>
      <w:pPr>
        <w:ind w:left="4773" w:hanging="360"/>
      </w:pPr>
      <w:rPr>
        <w:rFonts w:hint="default"/>
        <w:lang w:val="pt-PT" w:eastAsia="en-US" w:bidi="ar-SA"/>
      </w:rPr>
    </w:lvl>
    <w:lvl w:ilvl="6" w:tplc="7B6C660E">
      <w:numFmt w:val="bullet"/>
      <w:lvlText w:val="•"/>
      <w:lvlJc w:val="left"/>
      <w:pPr>
        <w:ind w:left="5563" w:hanging="360"/>
      </w:pPr>
      <w:rPr>
        <w:rFonts w:hint="default"/>
        <w:lang w:val="pt-PT" w:eastAsia="en-US" w:bidi="ar-SA"/>
      </w:rPr>
    </w:lvl>
    <w:lvl w:ilvl="7" w:tplc="B296967C">
      <w:numFmt w:val="bullet"/>
      <w:lvlText w:val="•"/>
      <w:lvlJc w:val="left"/>
      <w:pPr>
        <w:ind w:left="6354" w:hanging="360"/>
      </w:pPr>
      <w:rPr>
        <w:rFonts w:hint="default"/>
        <w:lang w:val="pt-PT" w:eastAsia="en-US" w:bidi="ar-SA"/>
      </w:rPr>
    </w:lvl>
    <w:lvl w:ilvl="8" w:tplc="989AD612">
      <w:numFmt w:val="bullet"/>
      <w:lvlText w:val="•"/>
      <w:lvlJc w:val="left"/>
      <w:pPr>
        <w:ind w:left="714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21E6363A"/>
    <w:multiLevelType w:val="hybridMultilevel"/>
    <w:tmpl w:val="BB3474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408314">
    <w:abstractNumId w:val="0"/>
  </w:num>
  <w:num w:numId="2" w16cid:durableId="4313207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854"/>
    <w:rsid w:val="000436E8"/>
    <w:rsid w:val="00050A98"/>
    <w:rsid w:val="00067918"/>
    <w:rsid w:val="000A1B4B"/>
    <w:rsid w:val="000E6288"/>
    <w:rsid w:val="00177FDF"/>
    <w:rsid w:val="001D4FA5"/>
    <w:rsid w:val="002109F7"/>
    <w:rsid w:val="002221E7"/>
    <w:rsid w:val="00255576"/>
    <w:rsid w:val="00265B08"/>
    <w:rsid w:val="0027091F"/>
    <w:rsid w:val="00293C4C"/>
    <w:rsid w:val="002F3682"/>
    <w:rsid w:val="0031571D"/>
    <w:rsid w:val="00340B04"/>
    <w:rsid w:val="003949CE"/>
    <w:rsid w:val="003A5054"/>
    <w:rsid w:val="00405309"/>
    <w:rsid w:val="004B3806"/>
    <w:rsid w:val="004E409D"/>
    <w:rsid w:val="005054B9"/>
    <w:rsid w:val="00540EBD"/>
    <w:rsid w:val="005A1575"/>
    <w:rsid w:val="00645BA4"/>
    <w:rsid w:val="006B7D8F"/>
    <w:rsid w:val="007701A8"/>
    <w:rsid w:val="007A3840"/>
    <w:rsid w:val="007B00E2"/>
    <w:rsid w:val="00836259"/>
    <w:rsid w:val="00867117"/>
    <w:rsid w:val="009613E3"/>
    <w:rsid w:val="00962C69"/>
    <w:rsid w:val="00A16D63"/>
    <w:rsid w:val="00A85EA2"/>
    <w:rsid w:val="00B01136"/>
    <w:rsid w:val="00B3429B"/>
    <w:rsid w:val="00B60086"/>
    <w:rsid w:val="00B71963"/>
    <w:rsid w:val="00B91FF3"/>
    <w:rsid w:val="00C048B1"/>
    <w:rsid w:val="00C25714"/>
    <w:rsid w:val="00C64BE4"/>
    <w:rsid w:val="00CA1AEA"/>
    <w:rsid w:val="00CB7912"/>
    <w:rsid w:val="00CE2B1C"/>
    <w:rsid w:val="00D16D6D"/>
    <w:rsid w:val="00DB5854"/>
    <w:rsid w:val="00DB719F"/>
    <w:rsid w:val="00DE04D3"/>
    <w:rsid w:val="00E66C8E"/>
    <w:rsid w:val="00F46632"/>
    <w:rsid w:val="00F9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BC7DD"/>
  <w15:docId w15:val="{38903907-1200-4329-BC66-725619F5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821" w:right="115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A1575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5A157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575"/>
    <w:rPr>
      <w:rFonts w:ascii="Times New Roman" w:eastAsia="Times New Roman" w:hAnsi="Times New Roman" w:cs="Times New Roman"/>
      <w:lang w:val="pt-PT"/>
    </w:rPr>
  </w:style>
  <w:style w:type="table" w:styleId="SimplesTabela2">
    <w:name w:val="Plain Table 2"/>
    <w:basedOn w:val="Tabelanormal"/>
    <w:uiPriority w:val="42"/>
    <w:rsid w:val="00067918"/>
    <w:pPr>
      <w:widowControl/>
      <w:autoSpaceDE/>
      <w:autoSpaceDN/>
    </w:pPr>
    <w:rPr>
      <w:rFonts w:ascii="Arial" w:eastAsia="Arial" w:hAnsi="Arial" w:cs="Arial"/>
      <w:lang w:val="pt-BR" w:eastAsia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fase">
    <w:name w:val="Emphasis"/>
    <w:basedOn w:val="Fontepargpadro"/>
    <w:uiPriority w:val="20"/>
    <w:qFormat/>
    <w:rsid w:val="00067918"/>
    <w:rPr>
      <w:i/>
      <w:iCs/>
    </w:rPr>
  </w:style>
  <w:style w:type="character" w:styleId="Hyperlink">
    <w:name w:val="Hyperlink"/>
    <w:basedOn w:val="Fontepargpadro"/>
    <w:uiPriority w:val="99"/>
    <w:unhideWhenUsed/>
    <w:rsid w:val="00255576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D16D6D"/>
    <w:pPr>
      <w:widowControl/>
      <w:autoSpaceDE/>
      <w:autoSpaceDN/>
    </w:pPr>
    <w:rPr>
      <w:rFonts w:ascii="Times New Roman" w:eastAsia="Times New Roman" w:hAnsi="Times New Roman" w:cs="Times New Roman"/>
      <w:lang w:val="pt-PT"/>
    </w:rPr>
  </w:style>
  <w:style w:type="character" w:styleId="MenoPendente">
    <w:name w:val="Unresolved Mention"/>
    <w:basedOn w:val="Fontepargpadro"/>
    <w:uiPriority w:val="99"/>
    <w:semiHidden/>
    <w:unhideWhenUsed/>
    <w:rsid w:val="00867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2203</Words>
  <Characters>11898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Lísias Faria</dc:creator>
  <cp:lastModifiedBy>Marcos Vinicius Afonso Cabral</cp:lastModifiedBy>
  <cp:revision>2</cp:revision>
  <dcterms:created xsi:type="dcterms:W3CDTF">2025-11-28T19:56:00Z</dcterms:created>
  <dcterms:modified xsi:type="dcterms:W3CDTF">2025-11-28T19:56:00Z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2023-08-30T00:00:00Z</vt:filetime>
  </property>
</Properties>
</file>