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05" w:rsidRPr="0069193B" w:rsidRDefault="00CA4305" w:rsidP="00CA4305">
      <w:pPr>
        <w:shd w:val="clear" w:color="auto" w:fill="FFFFFF"/>
        <w:rPr>
          <w:rFonts w:ascii="Arial" w:eastAsia="Times New Roman" w:hAnsi="Arial" w:cs="Arial"/>
          <w:b/>
          <w:lang w:eastAsia="pt-BR"/>
        </w:rPr>
      </w:pPr>
    </w:p>
    <w:p w:rsidR="00CA4305" w:rsidRPr="0069193B" w:rsidRDefault="00CA4305" w:rsidP="0069193B">
      <w:pPr>
        <w:pStyle w:val="NormalWeb"/>
        <w:shd w:val="clear" w:color="auto" w:fill="FFFFFF"/>
        <w:spacing w:before="240" w:beforeAutospacing="0" w:after="240" w:afterAutospacing="0"/>
        <w:jc w:val="both"/>
        <w:rPr>
          <w:rFonts w:ascii="Arial" w:hAnsi="Arial" w:cs="Arial"/>
        </w:rPr>
      </w:pPr>
      <w:r w:rsidRPr="0069193B">
        <w:rPr>
          <w:rFonts w:ascii="Arial" w:hAnsi="Arial" w:cs="Arial"/>
          <w:b/>
        </w:rPr>
        <w:t>EIXO TEMÁTICO:</w:t>
      </w:r>
      <w:r w:rsidR="0069193B" w:rsidRPr="0069193B">
        <w:rPr>
          <w:rFonts w:ascii="Arial" w:hAnsi="Arial" w:cs="Arial"/>
          <w:i/>
          <w:color w:val="FF0000"/>
        </w:rPr>
        <w:t xml:space="preserve"> </w:t>
      </w:r>
      <w:r w:rsidR="0069193B" w:rsidRPr="0069193B">
        <w:rPr>
          <w:rFonts w:ascii="Arial" w:hAnsi="Arial" w:cs="Arial"/>
          <w:color w:val="000000"/>
          <w:szCs w:val="22"/>
        </w:rPr>
        <w:t>Biotecnologia, Inovação e Saúde - Eixo Temático 3</w:t>
      </w:r>
    </w:p>
    <w:p w:rsidR="00CA4305" w:rsidRPr="0069193B" w:rsidRDefault="00CA4305" w:rsidP="00CA4305">
      <w:pPr>
        <w:rPr>
          <w:rFonts w:ascii="Arial" w:hAnsi="Arial" w:cs="Arial"/>
          <w:i/>
          <w:iCs/>
          <w:color w:val="FF0000"/>
        </w:rPr>
      </w:pPr>
    </w:p>
    <w:p w:rsidR="00CA4305" w:rsidRPr="0069193B" w:rsidRDefault="0069193B" w:rsidP="0069193B">
      <w:pPr>
        <w:pStyle w:val="Ttulo2"/>
        <w:shd w:val="clear" w:color="auto" w:fill="FFFFFF"/>
        <w:spacing w:before="0" w:beforeAutospacing="0" w:after="0" w:afterAutospacing="0"/>
        <w:ind w:right="238"/>
        <w:jc w:val="center"/>
        <w:rPr>
          <w:rFonts w:ascii="Arial" w:hAnsi="Arial" w:cs="Arial"/>
          <w:bCs w:val="0"/>
          <w:sz w:val="32"/>
          <w:szCs w:val="32"/>
        </w:rPr>
      </w:pPr>
      <w:r w:rsidRPr="0069193B">
        <w:rPr>
          <w:rFonts w:ascii="Arial" w:hAnsi="Arial" w:cs="Arial"/>
          <w:bCs w:val="0"/>
          <w:sz w:val="32"/>
          <w:szCs w:val="32"/>
        </w:rPr>
        <w:t>HIPERSENSIBILIDADE NA PELE: SÍNDROME DE STEVENS-JOHNSON</w:t>
      </w:r>
    </w:p>
    <w:p w:rsidR="00CA4305" w:rsidRPr="0069193B" w:rsidRDefault="00CA4305" w:rsidP="00CA4305">
      <w:pPr>
        <w:widowControl w:val="0"/>
        <w:tabs>
          <w:tab w:val="left" w:pos="8505"/>
        </w:tabs>
        <w:autoSpaceDE w:val="0"/>
        <w:autoSpaceDN w:val="0"/>
        <w:adjustRightInd w:val="0"/>
        <w:ind w:right="49"/>
        <w:jc w:val="right"/>
        <w:rPr>
          <w:rFonts w:ascii="Arial" w:hAnsi="Arial" w:cs="Arial"/>
          <w:i/>
          <w:iCs/>
          <w:color w:val="FF0000"/>
          <w:lang w:val="en-US"/>
        </w:rPr>
      </w:pPr>
    </w:p>
    <w:p w:rsidR="00CA4305" w:rsidRPr="0069193B" w:rsidRDefault="0069193B" w:rsidP="0069193B">
      <w:pPr>
        <w:pStyle w:val="NormalWeb"/>
        <w:spacing w:before="240" w:beforeAutospacing="0" w:after="240" w:afterAutospacing="0"/>
        <w:ind w:right="40"/>
        <w:jc w:val="right"/>
        <w:rPr>
          <w:rFonts w:ascii="Arial" w:hAnsi="Arial" w:cs="Arial"/>
        </w:rPr>
      </w:pPr>
      <w:r w:rsidRPr="0069193B">
        <w:rPr>
          <w:rFonts w:ascii="Arial" w:hAnsi="Arial" w:cs="Arial"/>
          <w:color w:val="000000"/>
        </w:rPr>
        <w:t>COSTA, A. M. B.</w:t>
      </w:r>
      <w:r w:rsidRPr="0069193B">
        <w:rPr>
          <w:rFonts w:ascii="Arial" w:hAnsi="Arial" w:cs="Arial"/>
          <w:color w:val="000000"/>
          <w:sz w:val="14"/>
          <w:szCs w:val="14"/>
          <w:vertAlign w:val="superscript"/>
        </w:rPr>
        <w:t>1</w:t>
      </w:r>
      <w:r w:rsidRPr="0069193B">
        <w:rPr>
          <w:rFonts w:ascii="Arial" w:hAnsi="Arial" w:cs="Arial"/>
          <w:color w:val="000000"/>
        </w:rPr>
        <w:t>, LISBOA, C. de O.</w:t>
      </w:r>
      <w:r w:rsidRPr="0069193B">
        <w:rPr>
          <w:rFonts w:ascii="Arial" w:hAnsi="Arial" w:cs="Arial"/>
          <w:color w:val="000000"/>
          <w:sz w:val="14"/>
          <w:szCs w:val="14"/>
          <w:vertAlign w:val="superscript"/>
        </w:rPr>
        <w:t>1</w:t>
      </w:r>
      <w:r w:rsidRPr="0069193B">
        <w:rPr>
          <w:rFonts w:ascii="Arial" w:hAnsi="Arial" w:cs="Arial"/>
          <w:color w:val="000000"/>
        </w:rPr>
        <w:t xml:space="preserve">, ARAUJO, I. M. de </w:t>
      </w:r>
      <w:r w:rsidRPr="0069193B">
        <w:rPr>
          <w:rFonts w:ascii="Arial" w:hAnsi="Arial" w:cs="Arial"/>
          <w:color w:val="000000"/>
          <w:sz w:val="14"/>
          <w:szCs w:val="14"/>
          <w:vertAlign w:val="superscript"/>
        </w:rPr>
        <w:t>1</w:t>
      </w:r>
      <w:r w:rsidRPr="0069193B">
        <w:rPr>
          <w:rFonts w:ascii="Arial" w:hAnsi="Arial" w:cs="Arial"/>
          <w:color w:val="000000"/>
        </w:rPr>
        <w:t>, PINTO, A. C. A.</w:t>
      </w:r>
      <w:r w:rsidRPr="0069193B">
        <w:rPr>
          <w:rFonts w:ascii="Arial" w:hAnsi="Arial" w:cs="Arial"/>
          <w:color w:val="000000"/>
          <w:sz w:val="14"/>
          <w:szCs w:val="14"/>
          <w:vertAlign w:val="superscript"/>
        </w:rPr>
        <w:t>1</w:t>
      </w:r>
      <w:r w:rsidRPr="0069193B">
        <w:rPr>
          <w:rFonts w:ascii="Arial" w:hAnsi="Arial" w:cs="Arial"/>
          <w:color w:val="000000"/>
        </w:rPr>
        <w:t>,</w:t>
      </w:r>
      <w:r w:rsidRPr="0069193B">
        <w:rPr>
          <w:rFonts w:ascii="Arial" w:hAnsi="Arial" w:cs="Arial"/>
          <w:b/>
          <w:bCs/>
          <w:color w:val="000000"/>
        </w:rPr>
        <w:t xml:space="preserve"> </w:t>
      </w:r>
      <w:r w:rsidRPr="0069193B">
        <w:rPr>
          <w:rFonts w:ascii="Arial" w:hAnsi="Arial" w:cs="Arial"/>
          <w:color w:val="000000"/>
        </w:rPr>
        <w:t>QUEIROZ, A. V. B.</w:t>
      </w:r>
      <w:r w:rsidRPr="0069193B">
        <w:rPr>
          <w:rFonts w:ascii="Arial" w:hAnsi="Arial" w:cs="Arial"/>
          <w:color w:val="000000"/>
          <w:sz w:val="14"/>
          <w:szCs w:val="14"/>
          <w:vertAlign w:val="superscript"/>
        </w:rPr>
        <w:t>1</w:t>
      </w:r>
      <w:r w:rsidRPr="0069193B">
        <w:rPr>
          <w:rFonts w:ascii="Arial" w:hAnsi="Arial" w:cs="Arial"/>
          <w:color w:val="000000"/>
        </w:rPr>
        <w:t>, SOBRINHO, C. M. T. R.</w:t>
      </w:r>
      <w:r w:rsidRPr="0069193B">
        <w:rPr>
          <w:rFonts w:ascii="Arial" w:hAnsi="Arial" w:cs="Arial"/>
          <w:color w:val="000000"/>
          <w:sz w:val="14"/>
          <w:szCs w:val="14"/>
          <w:vertAlign w:val="superscript"/>
        </w:rPr>
        <w:t>1</w:t>
      </w:r>
      <w:r w:rsidRPr="0069193B">
        <w:rPr>
          <w:rFonts w:ascii="Arial" w:hAnsi="Arial" w:cs="Arial"/>
          <w:color w:val="000000"/>
        </w:rPr>
        <w:t>, FIGUEIRA, J. R. R.</w:t>
      </w:r>
      <w:r w:rsidRPr="0069193B">
        <w:rPr>
          <w:rFonts w:ascii="Arial" w:hAnsi="Arial" w:cs="Arial"/>
          <w:color w:val="000000"/>
          <w:sz w:val="14"/>
          <w:szCs w:val="14"/>
          <w:vertAlign w:val="superscript"/>
        </w:rPr>
        <w:t>1</w:t>
      </w:r>
      <w:r w:rsidRPr="0069193B">
        <w:rPr>
          <w:rFonts w:ascii="Arial" w:hAnsi="Arial" w:cs="Arial"/>
          <w:color w:val="000000"/>
        </w:rPr>
        <w:t>, NOVAES, M. E. G. L.</w:t>
      </w:r>
      <w:r w:rsidRPr="0069193B">
        <w:rPr>
          <w:rFonts w:ascii="Arial" w:hAnsi="Arial" w:cs="Arial"/>
          <w:color w:val="000000"/>
          <w:sz w:val="14"/>
          <w:szCs w:val="14"/>
          <w:vertAlign w:val="superscript"/>
        </w:rPr>
        <w:t>1</w:t>
      </w:r>
      <w:r w:rsidRPr="0069193B">
        <w:rPr>
          <w:rFonts w:ascii="Arial" w:hAnsi="Arial" w:cs="Arial"/>
          <w:color w:val="000000"/>
        </w:rPr>
        <w:t>, NOBRE, M. E. W.</w:t>
      </w:r>
      <w:r w:rsidRPr="0069193B">
        <w:rPr>
          <w:rFonts w:ascii="Arial" w:hAnsi="Arial" w:cs="Arial"/>
          <w:color w:val="000000"/>
          <w:sz w:val="14"/>
          <w:szCs w:val="14"/>
          <w:vertAlign w:val="superscript"/>
        </w:rPr>
        <w:t>1</w:t>
      </w:r>
      <w:r w:rsidRPr="0069193B">
        <w:rPr>
          <w:rFonts w:ascii="Arial" w:hAnsi="Arial" w:cs="Arial"/>
          <w:color w:val="000000"/>
        </w:rPr>
        <w:t>, LIMA, C. M. F.</w:t>
      </w:r>
      <w:r w:rsidRPr="0069193B">
        <w:rPr>
          <w:rFonts w:ascii="Arial" w:hAnsi="Arial" w:cs="Arial"/>
          <w:color w:val="000000"/>
          <w:sz w:val="14"/>
          <w:szCs w:val="14"/>
          <w:vertAlign w:val="superscript"/>
        </w:rPr>
        <w:t>2,3</w:t>
      </w:r>
      <w:r w:rsidRPr="0069193B">
        <w:rPr>
          <w:rFonts w:ascii="Arial" w:hAnsi="Arial" w:cs="Arial"/>
          <w:color w:val="000000"/>
        </w:rPr>
        <w:t>, GONÇALVES, M. R.</w:t>
      </w:r>
      <w:r w:rsidRPr="0069193B">
        <w:rPr>
          <w:rFonts w:ascii="Arial" w:hAnsi="Arial" w:cs="Arial"/>
          <w:color w:val="000000"/>
          <w:sz w:val="14"/>
          <w:szCs w:val="14"/>
          <w:vertAlign w:val="superscript"/>
        </w:rPr>
        <w:t>4</w:t>
      </w:r>
      <w:r w:rsidRPr="0069193B">
        <w:rPr>
          <w:rFonts w:ascii="Arial" w:hAnsi="Arial" w:cs="Arial"/>
          <w:color w:val="000000"/>
        </w:rPr>
        <w:t xml:space="preserve">, CRUZ, C. M </w:t>
      </w:r>
      <w:r w:rsidRPr="0069193B">
        <w:rPr>
          <w:rFonts w:ascii="Arial" w:hAnsi="Arial" w:cs="Arial"/>
          <w:color w:val="000000"/>
          <w:sz w:val="14"/>
          <w:szCs w:val="14"/>
          <w:vertAlign w:val="superscript"/>
        </w:rPr>
        <w:t>2</w:t>
      </w:r>
    </w:p>
    <w:p w:rsidR="0069193B" w:rsidRPr="0069193B" w:rsidRDefault="0069193B" w:rsidP="0069193B">
      <w:pPr>
        <w:ind w:right="40"/>
        <w:jc w:val="right"/>
        <w:rPr>
          <w:rFonts w:ascii="Arial" w:eastAsia="Times New Roman" w:hAnsi="Arial" w:cs="Arial"/>
          <w:lang w:eastAsia="pt-BR"/>
        </w:rPr>
      </w:pPr>
      <w:r w:rsidRPr="0069193B">
        <w:rPr>
          <w:rFonts w:ascii="Arial" w:eastAsia="Times New Roman" w:hAnsi="Arial" w:cs="Arial"/>
          <w:color w:val="000000"/>
          <w:vertAlign w:val="superscript"/>
          <w:lang w:eastAsia="pt-BR"/>
        </w:rPr>
        <w:t xml:space="preserve">1 </w:t>
      </w:r>
      <w:r w:rsidRPr="0069193B">
        <w:rPr>
          <w:rFonts w:ascii="Arial" w:eastAsia="Times New Roman" w:hAnsi="Arial" w:cs="Arial"/>
          <w:color w:val="000000"/>
          <w:lang w:eastAsia="pt-BR"/>
        </w:rPr>
        <w:t>Centro Universitário Cesmac, Discente do Curso de Medicina</w:t>
      </w:r>
    </w:p>
    <w:p w:rsidR="0069193B" w:rsidRPr="0069193B" w:rsidRDefault="0069193B" w:rsidP="0069193B">
      <w:pPr>
        <w:ind w:right="40"/>
        <w:jc w:val="right"/>
        <w:rPr>
          <w:rFonts w:ascii="Arial" w:eastAsia="Times New Roman" w:hAnsi="Arial" w:cs="Arial"/>
          <w:lang w:eastAsia="pt-BR"/>
        </w:rPr>
      </w:pPr>
      <w:r w:rsidRPr="0069193B">
        <w:rPr>
          <w:rFonts w:ascii="Arial" w:eastAsia="Times New Roman" w:hAnsi="Arial" w:cs="Arial"/>
          <w:color w:val="000000"/>
          <w:vertAlign w:val="superscript"/>
          <w:lang w:eastAsia="pt-BR"/>
        </w:rPr>
        <w:t xml:space="preserve">2 </w:t>
      </w:r>
      <w:r w:rsidRPr="0069193B">
        <w:rPr>
          <w:rFonts w:ascii="Arial" w:eastAsia="Times New Roman" w:hAnsi="Arial" w:cs="Arial"/>
          <w:color w:val="000000"/>
          <w:lang w:eastAsia="pt-BR"/>
        </w:rPr>
        <w:t>Centro Universitário Cesmac, Docente do curso de Medicina</w:t>
      </w:r>
    </w:p>
    <w:p w:rsidR="0069193B" w:rsidRPr="0069193B" w:rsidRDefault="0069193B" w:rsidP="0069193B">
      <w:pPr>
        <w:ind w:right="40"/>
        <w:jc w:val="right"/>
        <w:rPr>
          <w:rFonts w:ascii="Arial" w:eastAsia="Times New Roman" w:hAnsi="Arial" w:cs="Arial"/>
          <w:lang w:eastAsia="pt-BR"/>
        </w:rPr>
      </w:pPr>
      <w:r w:rsidRPr="0069193B">
        <w:rPr>
          <w:rFonts w:ascii="Arial" w:eastAsia="Times New Roman" w:hAnsi="Arial" w:cs="Arial"/>
          <w:color w:val="000000"/>
          <w:vertAlign w:val="superscript"/>
          <w:lang w:eastAsia="pt-BR"/>
        </w:rPr>
        <w:t xml:space="preserve">3 </w:t>
      </w:r>
      <w:r w:rsidRPr="0069193B">
        <w:rPr>
          <w:rFonts w:ascii="Arial" w:eastAsia="Times New Roman" w:hAnsi="Arial" w:cs="Arial"/>
          <w:color w:val="000000"/>
          <w:lang w:eastAsia="pt-BR"/>
        </w:rPr>
        <w:t>Universidade Federal de Alagoas, Docente do Curso de Medicina</w:t>
      </w:r>
    </w:p>
    <w:p w:rsidR="0069193B" w:rsidRPr="0069193B" w:rsidRDefault="0069193B" w:rsidP="0069193B">
      <w:pPr>
        <w:ind w:right="40"/>
        <w:jc w:val="right"/>
        <w:rPr>
          <w:rFonts w:ascii="Arial" w:eastAsia="Times New Roman" w:hAnsi="Arial" w:cs="Arial"/>
          <w:lang w:eastAsia="pt-BR"/>
        </w:rPr>
      </w:pPr>
      <w:r w:rsidRPr="0069193B">
        <w:rPr>
          <w:rFonts w:ascii="Arial" w:eastAsia="Times New Roman" w:hAnsi="Arial" w:cs="Arial"/>
          <w:color w:val="000000"/>
          <w:vertAlign w:val="superscript"/>
          <w:lang w:eastAsia="pt-BR"/>
        </w:rPr>
        <w:t>4</w:t>
      </w:r>
      <w:r w:rsidRPr="0069193B">
        <w:rPr>
          <w:rFonts w:ascii="Arial" w:eastAsia="Times New Roman" w:hAnsi="Arial" w:cs="Arial"/>
          <w:color w:val="000000"/>
          <w:lang w:eastAsia="pt-BR"/>
        </w:rPr>
        <w:t xml:space="preserve"> Centro Universitário UNIT, Docente do Curso de Medicina</w:t>
      </w:r>
    </w:p>
    <w:p w:rsidR="0069193B" w:rsidRPr="0069193B" w:rsidRDefault="0069193B" w:rsidP="0069193B">
      <w:pPr>
        <w:widowControl w:val="0"/>
        <w:autoSpaceDE w:val="0"/>
        <w:autoSpaceDN w:val="0"/>
        <w:adjustRightInd w:val="0"/>
        <w:ind w:right="49"/>
        <w:jc w:val="right"/>
        <w:rPr>
          <w:rFonts w:ascii="Arial" w:hAnsi="Arial" w:cs="Arial"/>
          <w:i/>
          <w:iCs/>
          <w:color w:val="FF0000"/>
        </w:rPr>
      </w:pPr>
      <w:r w:rsidRPr="0069193B">
        <w:rPr>
          <w:rFonts w:ascii="Arial" w:eastAsia="Times New Roman" w:hAnsi="Arial" w:cs="Arial"/>
          <w:color w:val="000000"/>
          <w:lang w:eastAsia="pt-BR"/>
        </w:rPr>
        <w:t xml:space="preserve">E-mail do apresentador: </w:t>
      </w:r>
      <w:hyperlink r:id="rId6" w:history="1">
        <w:r w:rsidR="00DB3FBF" w:rsidRPr="00D452CD">
          <w:rPr>
            <w:rStyle w:val="Hyperlink"/>
            <w:rFonts w:ascii="Arial" w:eastAsia="Times New Roman" w:hAnsi="Arial" w:cs="Arial"/>
            <w:lang w:eastAsia="pt-BR"/>
          </w:rPr>
          <w:t>moisaalessa@gmail.com</w:t>
        </w:r>
      </w:hyperlink>
    </w:p>
    <w:p w:rsidR="00CA4305" w:rsidRPr="005E09F6" w:rsidRDefault="0069193B" w:rsidP="00CA4305">
      <w:pPr>
        <w:widowControl w:val="0"/>
        <w:autoSpaceDE w:val="0"/>
        <w:autoSpaceDN w:val="0"/>
        <w:adjustRightInd w:val="0"/>
        <w:ind w:right="49"/>
        <w:jc w:val="right"/>
        <w:rPr>
          <w:rFonts w:ascii="Arial" w:hAnsi="Arial" w:cs="Arial"/>
          <w:i/>
          <w:iCs/>
          <w:color w:val="FF0000"/>
        </w:rPr>
      </w:pPr>
      <w:r w:rsidRPr="005E09F6">
        <w:rPr>
          <w:rFonts w:ascii="Arial" w:hAnsi="Arial" w:cs="Arial"/>
          <w:i/>
          <w:iCs/>
          <w:color w:val="FF0000"/>
        </w:rPr>
        <w:t xml:space="preserve"> </w:t>
      </w:r>
    </w:p>
    <w:p w:rsidR="00CA4305" w:rsidRPr="005E09F6" w:rsidRDefault="00CA4305" w:rsidP="00CA4305">
      <w:pPr>
        <w:widowControl w:val="0"/>
        <w:tabs>
          <w:tab w:val="left" w:pos="8505"/>
        </w:tabs>
        <w:autoSpaceDE w:val="0"/>
        <w:autoSpaceDN w:val="0"/>
        <w:adjustRightInd w:val="0"/>
        <w:ind w:right="49"/>
        <w:jc w:val="right"/>
        <w:rPr>
          <w:rFonts w:ascii="Arial" w:hAnsi="Arial" w:cs="Arial"/>
          <w:i/>
          <w:iCs/>
          <w:color w:val="FF0000"/>
        </w:rPr>
      </w:pPr>
    </w:p>
    <w:p w:rsidR="00CA4305" w:rsidRPr="0069193B" w:rsidRDefault="00CA4305" w:rsidP="00CA4305">
      <w:pPr>
        <w:widowControl w:val="0"/>
        <w:autoSpaceDE w:val="0"/>
        <w:autoSpaceDN w:val="0"/>
        <w:adjustRightInd w:val="0"/>
        <w:ind w:right="135"/>
        <w:jc w:val="both"/>
        <w:rPr>
          <w:rFonts w:ascii="Arial" w:hAnsi="Arial" w:cs="Arial"/>
          <w:b/>
        </w:rPr>
      </w:pPr>
      <w:r w:rsidRPr="0069193B">
        <w:rPr>
          <w:rFonts w:ascii="Arial" w:hAnsi="Arial" w:cs="Arial"/>
          <w:b/>
        </w:rPr>
        <w:t xml:space="preserve">RESUMO EXPANDIDO </w:t>
      </w:r>
    </w:p>
    <w:p w:rsidR="0069193B" w:rsidRPr="0069193B" w:rsidRDefault="0069193B" w:rsidP="0029632C">
      <w:pPr>
        <w:pStyle w:val="NormalWeb"/>
        <w:spacing w:before="240" w:beforeAutospacing="0" w:after="0" w:afterAutospacing="0"/>
        <w:ind w:right="142"/>
        <w:jc w:val="both"/>
      </w:pPr>
      <w:r>
        <w:rPr>
          <w:rFonts w:ascii="Arial" w:hAnsi="Arial" w:cs="Arial"/>
          <w:b/>
          <w:bCs/>
          <w:color w:val="000000"/>
        </w:rPr>
        <w:t>Introdução:</w:t>
      </w:r>
      <w:r>
        <w:rPr>
          <w:rFonts w:ascii="Arial" w:hAnsi="Arial" w:cs="Arial"/>
          <w:color w:val="000000"/>
        </w:rPr>
        <w:t xml:space="preserve"> A Síndrome de Stevens-Johnson (SSJ) caracteriza-se por erupções cutâneas induzidas por medicamentos, que apresentam alto risco de morbimortalidade. Sabe-se que os sintomas da doença apresentam-se como descolamento epidérmico acompanhado de bolhas, erosões e lesões na mucosa, os quais se iniciam dentro de uma a três semanas da administração do medicamento. Dessa forma, o reconhecimento precoce e o gerenciamento imediato das condições clínicas são essenciais para um melhor prognóstico da doença. </w:t>
      </w:r>
      <w:r>
        <w:rPr>
          <w:rFonts w:ascii="Arial" w:hAnsi="Arial" w:cs="Arial"/>
          <w:b/>
          <w:bCs/>
          <w:color w:val="000000"/>
        </w:rPr>
        <w:t>Objetivo:</w:t>
      </w:r>
      <w:r>
        <w:rPr>
          <w:rFonts w:ascii="Arial" w:hAnsi="Arial" w:cs="Arial"/>
          <w:color w:val="000000"/>
        </w:rPr>
        <w:t xml:space="preserve"> Analisar as principais formas de manejo da Síndrome de Stevens-Johnson. </w:t>
      </w:r>
      <w:r>
        <w:rPr>
          <w:rFonts w:ascii="Arial" w:hAnsi="Arial" w:cs="Arial"/>
          <w:b/>
          <w:bCs/>
          <w:color w:val="000000"/>
        </w:rPr>
        <w:t xml:space="preserve">Metodologia: </w:t>
      </w:r>
      <w:r>
        <w:rPr>
          <w:rFonts w:ascii="Arial" w:hAnsi="Arial" w:cs="Arial"/>
          <w:color w:val="000000"/>
        </w:rPr>
        <w:t xml:space="preserve">Trata-se de uma revisão integrativa da literatura, realizada na base de dados Medline (via PubMed). Utilizou-se a estratégia de busca: “Stevens Johnson Syndrome AND Hypersensitivity AND Management”, com o filtro de artigos publicados durante o período de 2015 a 2020, sem mais restrições. </w:t>
      </w:r>
      <w:r>
        <w:rPr>
          <w:rFonts w:ascii="Arial" w:hAnsi="Arial" w:cs="Arial"/>
          <w:b/>
          <w:bCs/>
          <w:color w:val="000000"/>
        </w:rPr>
        <w:t>Resultados:</w:t>
      </w:r>
      <w:r>
        <w:rPr>
          <w:rFonts w:ascii="Arial" w:hAnsi="Arial" w:cs="Arial"/>
          <w:color w:val="000000"/>
        </w:rPr>
        <w:t xml:space="preserve"> Após a aplicação do filtro, 213 artigos foram encontrados na base de dados, dos quais 4,69% foram selecionados. </w:t>
      </w:r>
      <w:r>
        <w:rPr>
          <w:rFonts w:ascii="Arial" w:hAnsi="Arial" w:cs="Arial"/>
          <w:color w:val="000000"/>
          <w:shd w:val="clear" w:color="auto" w:fill="FFFFFF"/>
        </w:rPr>
        <w:t xml:space="preserve">As reações cutâneas graves de hipersensibilidade a medicamentos envolvem mecanismos diversos, portanto diferentes formas de tratamento e resposta a esta. A cascata imunológica desencadeada pelo reconhecimento do complexo droga-peptídeo pelos receptores de célula T resulta na citotoxicidade mediada por células TCD8+ e NK, além da expressão de citocinas, o que impulsiona a patogênese da doença. Os cuidados na SSJ devem considerar a patogenia, as manifestações sistêmicas e os achados na pele e mucosas. Não existe um consenso em relação ao manejo definitivo, porém medidas de suporte podem </w:t>
      </w:r>
      <w:r>
        <w:rPr>
          <w:rFonts w:ascii="Arial" w:hAnsi="Arial" w:cs="Arial"/>
          <w:color w:val="000000"/>
          <w:shd w:val="clear" w:color="auto" w:fill="FFFFFF"/>
        </w:rPr>
        <w:lastRenderedPageBreak/>
        <w:t xml:space="preserve">ser decisivas no aumento da sobrevida, a partir da identificação e retirada precoce dos medicamentos agressores. Seguindo-se cuidados com a ferida, manutenção da temperatura, bem como monitoramento de entrada e saída de fluidos e eletrólitos. Em relação às terapias adjuvantes, os resultados são conflitantes, destacando-se a imunoglobulina intravenosa, o inibidor de TNF ou a ciclosporina A. </w:t>
      </w:r>
      <w:r>
        <w:rPr>
          <w:rFonts w:ascii="Arial" w:hAnsi="Arial" w:cs="Arial"/>
          <w:b/>
          <w:bCs/>
          <w:color w:val="000000"/>
          <w:shd w:val="clear" w:color="auto" w:fill="FFFFFF"/>
        </w:rPr>
        <w:t>Conclusão:</w:t>
      </w:r>
      <w:r>
        <w:rPr>
          <w:rFonts w:ascii="Arial" w:hAnsi="Arial" w:cs="Arial"/>
          <w:color w:val="000000"/>
          <w:shd w:val="clear" w:color="auto" w:fill="FFFFFF"/>
        </w:rPr>
        <w:t xml:space="preserve"> O manejo da SSJ requer medidas intervencionistas com maior impacto. Além disso, ainda não existe uma abordagem padronizada dos pacientes com SSJ com base nos dados atuais. Desta forma, cada caso deve ser analisado de forma singular até que haja um tratamento padrão. </w:t>
      </w:r>
    </w:p>
    <w:p w:rsidR="00CA4305" w:rsidRPr="005E09F6" w:rsidRDefault="00CA4305" w:rsidP="00CA4305">
      <w:pPr>
        <w:widowControl w:val="0"/>
        <w:autoSpaceDE w:val="0"/>
        <w:autoSpaceDN w:val="0"/>
        <w:adjustRightInd w:val="0"/>
        <w:ind w:right="49"/>
        <w:jc w:val="right"/>
        <w:rPr>
          <w:rFonts w:ascii="Arial" w:hAnsi="Arial" w:cs="Arial"/>
          <w:i/>
          <w:iCs/>
          <w:color w:val="FF0000"/>
        </w:rPr>
      </w:pPr>
    </w:p>
    <w:p w:rsidR="00CA4305" w:rsidRPr="005E09F6" w:rsidRDefault="00CA4305" w:rsidP="00CA4305">
      <w:pPr>
        <w:widowControl w:val="0"/>
        <w:autoSpaceDE w:val="0"/>
        <w:autoSpaceDN w:val="0"/>
        <w:adjustRightInd w:val="0"/>
        <w:ind w:right="135"/>
        <w:jc w:val="both"/>
        <w:rPr>
          <w:rFonts w:ascii="Arial" w:hAnsi="Arial" w:cs="Arial"/>
          <w:i/>
        </w:rPr>
      </w:pPr>
      <w:r w:rsidRPr="005E09F6">
        <w:rPr>
          <w:rFonts w:ascii="Arial" w:hAnsi="Arial" w:cs="Arial"/>
        </w:rPr>
        <w:t>PALAVRAS-CHAVE:</w:t>
      </w:r>
      <w:r w:rsidR="0069193B">
        <w:rPr>
          <w:rFonts w:ascii="Arial" w:hAnsi="Arial" w:cs="Arial"/>
        </w:rPr>
        <w:t xml:space="preserve"> </w:t>
      </w:r>
      <w:r w:rsidR="0029632C" w:rsidRPr="0029632C">
        <w:rPr>
          <w:rFonts w:ascii="Arial" w:hAnsi="Arial" w:cs="Arial"/>
        </w:rPr>
        <w:t>Síndrome de Stevens-Johnson. Hipersensibilidade. Manejo. Imunologia.</w:t>
      </w:r>
    </w:p>
    <w:p w:rsidR="00A25696" w:rsidRPr="00CA4305" w:rsidRDefault="00A25696" w:rsidP="00CA4305"/>
    <w:sectPr w:rsidR="00A25696" w:rsidRPr="00CA4305" w:rsidSect="00773673">
      <w:headerReference w:type="default" r:id="rId7"/>
      <w:footerReference w:type="default" r:id="rId8"/>
      <w:pgSz w:w="11906" w:h="16838"/>
      <w:pgMar w:top="1417" w:right="1701"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E4C" w:rsidRDefault="000E7E4C" w:rsidP="00B81AEA">
      <w:r>
        <w:separator/>
      </w:r>
    </w:p>
  </w:endnote>
  <w:endnote w:type="continuationSeparator" w:id="1">
    <w:p w:rsidR="000E7E4C" w:rsidRDefault="000E7E4C" w:rsidP="00B81A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Jaapokki">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7F" w:rsidRPr="00616D7F" w:rsidRDefault="00E86C80" w:rsidP="00616D7F">
    <w:pPr>
      <w:pStyle w:val="Rodap"/>
      <w:jc w:val="center"/>
      <w:rPr>
        <w:rFonts w:ascii="Jaapokki" w:hAnsi="Jaapokki"/>
        <w:color w:val="0070C0"/>
        <w:sz w:val="24"/>
        <w:szCs w:val="24"/>
      </w:rPr>
    </w:pPr>
    <w:r>
      <w:rPr>
        <w:rFonts w:ascii="Jaapokki" w:hAnsi="Jaapokki"/>
        <w:noProof/>
        <w:color w:val="0070C0"/>
        <w:sz w:val="24"/>
        <w:szCs w:val="24"/>
        <w:lang w:eastAsia="pt-BR"/>
      </w:rPr>
      <w:pict>
        <v:rect id="Retângulo 2" o:spid="_x0000_s4097" style="position:absolute;left:0;text-align:left;margin-left:-25.65pt;margin-top:-8.2pt;width:488.4pt;height:3.6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w:r>
    <w:r w:rsidR="005036DA">
      <w:rPr>
        <w:rFonts w:ascii="Jaapokki" w:hAnsi="Jaapokki"/>
        <w:color w:val="0070C0"/>
        <w:sz w:val="24"/>
        <w:szCs w:val="24"/>
      </w:rPr>
      <w:t>congresso.academico</w:t>
    </w:r>
    <w:r w:rsidR="00043247">
      <w:rPr>
        <w:rFonts w:ascii="Jaapokki" w:hAnsi="Jaapokki"/>
        <w:color w:val="0070C0"/>
        <w:sz w:val="24"/>
        <w:szCs w:val="24"/>
      </w:rPr>
      <w:t>@cesmac.edu.br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E4C" w:rsidRDefault="000E7E4C" w:rsidP="00B81AEA">
      <w:r>
        <w:separator/>
      </w:r>
    </w:p>
  </w:footnote>
  <w:footnote w:type="continuationSeparator" w:id="1">
    <w:p w:rsidR="000E7E4C" w:rsidRDefault="000E7E4C" w:rsidP="00B81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7F" w:rsidRDefault="00773673" w:rsidP="00773673">
    <w:pPr>
      <w:pStyle w:val="Cabealho"/>
      <w:tabs>
        <w:tab w:val="left" w:pos="6840"/>
      </w:tabs>
    </w:pPr>
    <w:r>
      <w:tab/>
    </w:r>
    <w:r w:rsidR="00AD7A2C">
      <w:rPr>
        <w:noProof/>
        <w:lang w:eastAsia="pt-BR"/>
      </w:rPr>
      <w:drawing>
        <wp:inline distT="0" distB="0" distL="0" distR="0">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34884" cy="1312717"/>
                  </a:xfrm>
                  <a:prstGeom prst="rect">
                    <a:avLst/>
                  </a:prstGeom>
                </pic:spPr>
              </pic:pic>
            </a:graphicData>
          </a:graphic>
        </wp:inline>
      </w:drawing>
    </w:r>
    <w:r>
      <w:tab/>
    </w:r>
  </w:p>
  <w:p w:rsidR="00B81AEA" w:rsidRDefault="00B81AE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B81AEA"/>
    <w:rsid w:val="00043247"/>
    <w:rsid w:val="000E7E4C"/>
    <w:rsid w:val="0012419F"/>
    <w:rsid w:val="0029632C"/>
    <w:rsid w:val="002D12A0"/>
    <w:rsid w:val="005015FF"/>
    <w:rsid w:val="005036DA"/>
    <w:rsid w:val="005440E7"/>
    <w:rsid w:val="005724A9"/>
    <w:rsid w:val="00590581"/>
    <w:rsid w:val="00616D7F"/>
    <w:rsid w:val="0069193B"/>
    <w:rsid w:val="006D1E4C"/>
    <w:rsid w:val="00742C44"/>
    <w:rsid w:val="00773673"/>
    <w:rsid w:val="00797050"/>
    <w:rsid w:val="007D2A46"/>
    <w:rsid w:val="007E1030"/>
    <w:rsid w:val="008674AA"/>
    <w:rsid w:val="00A25696"/>
    <w:rsid w:val="00AD7A2C"/>
    <w:rsid w:val="00B81AEA"/>
    <w:rsid w:val="00BE7BDA"/>
    <w:rsid w:val="00CA4305"/>
    <w:rsid w:val="00CA4A0A"/>
    <w:rsid w:val="00D3297C"/>
    <w:rsid w:val="00D42D3D"/>
    <w:rsid w:val="00DB3FBF"/>
    <w:rsid w:val="00DC74A1"/>
    <w:rsid w:val="00DD1539"/>
    <w:rsid w:val="00E86C80"/>
    <w:rsid w:val="00FE4F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305"/>
    <w:pPr>
      <w:spacing w:after="0" w:line="240" w:lineRule="auto"/>
    </w:pPr>
    <w:rPr>
      <w:rFonts w:ascii="Cambria" w:eastAsia="MS Mincho" w:hAnsi="Cambria" w:cs="Times New Roman"/>
      <w:sz w:val="24"/>
      <w:szCs w:val="24"/>
    </w:rPr>
  </w:style>
  <w:style w:type="paragraph" w:styleId="Ttulo2">
    <w:name w:val="heading 2"/>
    <w:basedOn w:val="Normal"/>
    <w:link w:val="Ttulo2Char"/>
    <w:uiPriority w:val="9"/>
    <w:qFormat/>
    <w:rsid w:val="00CA4305"/>
    <w:pPr>
      <w:spacing w:before="100" w:beforeAutospacing="1" w:after="100" w:afterAutospacing="1"/>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B81AEA"/>
  </w:style>
  <w:style w:type="character" w:customStyle="1" w:styleId="Ttulo2Char">
    <w:name w:val="Título 2 Char"/>
    <w:basedOn w:val="Fontepargpadro"/>
    <w:link w:val="Ttulo2"/>
    <w:uiPriority w:val="9"/>
    <w:rsid w:val="00CA4305"/>
    <w:rPr>
      <w:rFonts w:ascii="Times New Roman" w:eastAsia="Times New Roman" w:hAnsi="Times New Roman" w:cs="Times New Roman"/>
      <w:b/>
      <w:bCs/>
      <w:sz w:val="36"/>
      <w:szCs w:val="36"/>
      <w:lang w:eastAsia="pt-BR"/>
    </w:rPr>
  </w:style>
  <w:style w:type="paragraph" w:styleId="Textodebalo">
    <w:name w:val="Balloon Text"/>
    <w:basedOn w:val="Normal"/>
    <w:link w:val="TextodebaloChar"/>
    <w:uiPriority w:val="99"/>
    <w:semiHidden/>
    <w:unhideWhenUsed/>
    <w:rsid w:val="0069193B"/>
    <w:rPr>
      <w:rFonts w:ascii="Tahoma" w:hAnsi="Tahoma" w:cs="Tahoma"/>
      <w:sz w:val="16"/>
      <w:szCs w:val="16"/>
    </w:rPr>
  </w:style>
  <w:style w:type="character" w:customStyle="1" w:styleId="TextodebaloChar">
    <w:name w:val="Texto de balão Char"/>
    <w:basedOn w:val="Fontepargpadro"/>
    <w:link w:val="Textodebalo"/>
    <w:uiPriority w:val="99"/>
    <w:semiHidden/>
    <w:rsid w:val="0069193B"/>
    <w:rPr>
      <w:rFonts w:ascii="Tahoma" w:eastAsia="MS Mincho" w:hAnsi="Tahoma" w:cs="Tahoma"/>
      <w:sz w:val="16"/>
      <w:szCs w:val="16"/>
    </w:rPr>
  </w:style>
  <w:style w:type="paragraph" w:styleId="NormalWeb">
    <w:name w:val="Normal (Web)"/>
    <w:basedOn w:val="Normal"/>
    <w:uiPriority w:val="99"/>
    <w:unhideWhenUsed/>
    <w:rsid w:val="0069193B"/>
    <w:pPr>
      <w:spacing w:before="100" w:beforeAutospacing="1" w:after="100" w:afterAutospacing="1"/>
    </w:pPr>
    <w:rPr>
      <w:rFonts w:ascii="Times New Roman" w:eastAsia="Times New Roman" w:hAnsi="Times New Roman"/>
      <w:lang w:eastAsia="pt-BR"/>
    </w:rPr>
  </w:style>
  <w:style w:type="character" w:styleId="Hyperlink">
    <w:name w:val="Hyperlink"/>
    <w:basedOn w:val="Fontepargpadro"/>
    <w:uiPriority w:val="99"/>
    <w:unhideWhenUsed/>
    <w:rsid w:val="0069193B"/>
    <w:rPr>
      <w:color w:val="0000FF"/>
      <w:u w:val="single"/>
    </w:rPr>
  </w:style>
</w:styles>
</file>

<file path=word/webSettings.xml><?xml version="1.0" encoding="utf-8"?>
<w:webSettings xmlns:r="http://schemas.openxmlformats.org/officeDocument/2006/relationships" xmlns:w="http://schemas.openxmlformats.org/wordprocessingml/2006/main">
  <w:divs>
    <w:div w:id="89938023">
      <w:bodyDiv w:val="1"/>
      <w:marLeft w:val="0"/>
      <w:marRight w:val="0"/>
      <w:marTop w:val="0"/>
      <w:marBottom w:val="0"/>
      <w:divBdr>
        <w:top w:val="none" w:sz="0" w:space="0" w:color="auto"/>
        <w:left w:val="none" w:sz="0" w:space="0" w:color="auto"/>
        <w:bottom w:val="none" w:sz="0" w:space="0" w:color="auto"/>
        <w:right w:val="none" w:sz="0" w:space="0" w:color="auto"/>
      </w:divBdr>
    </w:div>
    <w:div w:id="115956651">
      <w:bodyDiv w:val="1"/>
      <w:marLeft w:val="0"/>
      <w:marRight w:val="0"/>
      <w:marTop w:val="0"/>
      <w:marBottom w:val="0"/>
      <w:divBdr>
        <w:top w:val="none" w:sz="0" w:space="0" w:color="auto"/>
        <w:left w:val="none" w:sz="0" w:space="0" w:color="auto"/>
        <w:bottom w:val="none" w:sz="0" w:space="0" w:color="auto"/>
        <w:right w:val="none" w:sz="0" w:space="0" w:color="auto"/>
      </w:divBdr>
    </w:div>
    <w:div w:id="424349912">
      <w:bodyDiv w:val="1"/>
      <w:marLeft w:val="0"/>
      <w:marRight w:val="0"/>
      <w:marTop w:val="0"/>
      <w:marBottom w:val="0"/>
      <w:divBdr>
        <w:top w:val="none" w:sz="0" w:space="0" w:color="auto"/>
        <w:left w:val="none" w:sz="0" w:space="0" w:color="auto"/>
        <w:bottom w:val="none" w:sz="0" w:space="0" w:color="auto"/>
        <w:right w:val="none" w:sz="0" w:space="0" w:color="auto"/>
      </w:divBdr>
    </w:div>
    <w:div w:id="515508401">
      <w:bodyDiv w:val="1"/>
      <w:marLeft w:val="0"/>
      <w:marRight w:val="0"/>
      <w:marTop w:val="0"/>
      <w:marBottom w:val="0"/>
      <w:divBdr>
        <w:top w:val="none" w:sz="0" w:space="0" w:color="auto"/>
        <w:left w:val="none" w:sz="0" w:space="0" w:color="auto"/>
        <w:bottom w:val="none" w:sz="0" w:space="0" w:color="auto"/>
        <w:right w:val="none" w:sz="0" w:space="0" w:color="auto"/>
      </w:divBdr>
    </w:div>
    <w:div w:id="731391699">
      <w:bodyDiv w:val="1"/>
      <w:marLeft w:val="0"/>
      <w:marRight w:val="0"/>
      <w:marTop w:val="0"/>
      <w:marBottom w:val="0"/>
      <w:divBdr>
        <w:top w:val="none" w:sz="0" w:space="0" w:color="auto"/>
        <w:left w:val="none" w:sz="0" w:space="0" w:color="auto"/>
        <w:bottom w:val="none" w:sz="0" w:space="0" w:color="auto"/>
        <w:right w:val="none" w:sz="0" w:space="0" w:color="auto"/>
      </w:divBdr>
    </w:div>
    <w:div w:id="1649633410">
      <w:bodyDiv w:val="1"/>
      <w:marLeft w:val="0"/>
      <w:marRight w:val="0"/>
      <w:marTop w:val="0"/>
      <w:marBottom w:val="0"/>
      <w:divBdr>
        <w:top w:val="none" w:sz="0" w:space="0" w:color="auto"/>
        <w:left w:val="none" w:sz="0" w:space="0" w:color="auto"/>
        <w:bottom w:val="none" w:sz="0" w:space="0" w:color="auto"/>
        <w:right w:val="none" w:sz="0" w:space="0" w:color="auto"/>
      </w:divBdr>
    </w:div>
    <w:div w:id="17160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isaalessa@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2599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2020-12-15T18:12:00Z</dcterms:created>
  <dcterms:modified xsi:type="dcterms:W3CDTF">2020-12-26T18:06:00Z</dcterms:modified>
</cp:coreProperties>
</file>