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63EBC" w14:textId="77777777" w:rsidR="00442A47" w:rsidRPr="001C57AB" w:rsidRDefault="00442A47" w:rsidP="00442A47">
      <w:pPr>
        <w:rPr>
          <w:rFonts w:ascii="Arial" w:hAnsi="Arial" w:cs="Arial"/>
          <w:b/>
          <w:bCs/>
        </w:rPr>
      </w:pPr>
    </w:p>
    <w:p w14:paraId="4C31009A" w14:textId="146E69CA" w:rsidR="00442A47" w:rsidRPr="001C57AB" w:rsidRDefault="00B178CD" w:rsidP="00AC463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C57AB">
        <w:rPr>
          <w:rFonts w:ascii="Arial" w:hAnsi="Arial" w:cs="Arial"/>
          <w:b/>
          <w:bCs/>
          <w:sz w:val="28"/>
          <w:szCs w:val="28"/>
        </w:rPr>
        <w:t>O DIGITAL NOS CURSOS DE PEDAGOGIA: UM OLHAR PARA OS CURRÍCULOS</w:t>
      </w:r>
    </w:p>
    <w:p w14:paraId="1D3A3D3B" w14:textId="322FC82A" w:rsidR="00171F71" w:rsidRPr="001C57AB" w:rsidRDefault="00171F71" w:rsidP="00905EB5">
      <w:pPr>
        <w:spacing w:after="0" w:line="240" w:lineRule="auto"/>
        <w:jc w:val="right"/>
        <w:rPr>
          <w:rFonts w:ascii="Arial" w:hAnsi="Arial" w:cs="Arial"/>
        </w:rPr>
      </w:pPr>
    </w:p>
    <w:p w14:paraId="7FA9C27D" w14:textId="0B4F4546" w:rsidR="00651D23" w:rsidRPr="001C57AB" w:rsidRDefault="00CF1F64" w:rsidP="00171F71">
      <w:pPr>
        <w:spacing w:after="0" w:line="360" w:lineRule="auto"/>
        <w:jc w:val="both"/>
        <w:rPr>
          <w:rFonts w:ascii="Arial" w:hAnsi="Arial" w:cs="Arial"/>
          <w:b/>
        </w:rPr>
      </w:pPr>
      <w:r w:rsidRPr="001C57AB">
        <w:rPr>
          <w:rFonts w:ascii="Arial" w:hAnsi="Arial" w:cs="Arial"/>
          <w:b/>
        </w:rPr>
        <w:t>Introdução</w:t>
      </w:r>
    </w:p>
    <w:p w14:paraId="7B214E91" w14:textId="73551010" w:rsidR="00CF1F64" w:rsidRPr="001C57AB" w:rsidRDefault="00CF1F64" w:rsidP="00171F71">
      <w:pPr>
        <w:spacing w:after="0" w:line="360" w:lineRule="auto"/>
        <w:jc w:val="both"/>
        <w:rPr>
          <w:rFonts w:ascii="Arial" w:hAnsi="Arial" w:cs="Arial"/>
        </w:rPr>
      </w:pPr>
    </w:p>
    <w:p w14:paraId="42EE5972" w14:textId="690E8887" w:rsidR="00796B91" w:rsidRPr="001C57AB" w:rsidRDefault="000969B6" w:rsidP="006C1F2B">
      <w:pPr>
        <w:spacing w:after="0" w:line="360" w:lineRule="auto"/>
        <w:jc w:val="both"/>
        <w:rPr>
          <w:rFonts w:ascii="Arial" w:hAnsi="Arial" w:cs="Arial"/>
        </w:rPr>
      </w:pPr>
      <w:r w:rsidRPr="001C57AB">
        <w:rPr>
          <w:rFonts w:ascii="Arial" w:hAnsi="Arial" w:cs="Arial"/>
        </w:rPr>
        <w:t>Na contemporaneidade, as práticas sociais t</w:t>
      </w:r>
      <w:r w:rsidR="00201FF0" w:rsidRPr="001C57AB">
        <w:rPr>
          <w:rFonts w:ascii="Arial" w:hAnsi="Arial" w:cs="Arial"/>
        </w:rPr>
        <w:t>ê</w:t>
      </w:r>
      <w:r w:rsidRPr="001C57AB">
        <w:rPr>
          <w:rFonts w:ascii="Arial" w:hAnsi="Arial" w:cs="Arial"/>
        </w:rPr>
        <w:t xml:space="preserve">m sido cada </w:t>
      </w:r>
      <w:r w:rsidR="00975F19" w:rsidRPr="001C57AB">
        <w:rPr>
          <w:rFonts w:ascii="Arial" w:hAnsi="Arial" w:cs="Arial"/>
        </w:rPr>
        <w:t>vez mais mediada</w:t>
      </w:r>
      <w:r w:rsidR="00610716" w:rsidRPr="001C57AB">
        <w:rPr>
          <w:rFonts w:ascii="Arial" w:hAnsi="Arial" w:cs="Arial"/>
        </w:rPr>
        <w:t>s</w:t>
      </w:r>
      <w:r w:rsidR="00975F19" w:rsidRPr="001C57AB">
        <w:rPr>
          <w:rFonts w:ascii="Arial" w:hAnsi="Arial" w:cs="Arial"/>
        </w:rPr>
        <w:t xml:space="preserve"> </w:t>
      </w:r>
      <w:r w:rsidR="00D374AC" w:rsidRPr="001C57AB">
        <w:rPr>
          <w:rFonts w:ascii="Arial" w:hAnsi="Arial" w:cs="Arial"/>
        </w:rPr>
        <w:t>pelas Tecnologias Digitais de Informação e Comunicação (TDIC)</w:t>
      </w:r>
      <w:r w:rsidR="00854ABE" w:rsidRPr="001C57AB">
        <w:rPr>
          <w:rFonts w:ascii="Arial" w:hAnsi="Arial" w:cs="Arial"/>
        </w:rPr>
        <w:t xml:space="preserve"> com uma intensa</w:t>
      </w:r>
      <w:r w:rsidR="00292612" w:rsidRPr="001C57AB">
        <w:rPr>
          <w:rFonts w:ascii="Arial" w:hAnsi="Arial" w:cs="Arial"/>
        </w:rPr>
        <w:t xml:space="preserve"> produção e circulação de informações e conhecimentos</w:t>
      </w:r>
      <w:r w:rsidR="00E631E6" w:rsidRPr="001C57AB">
        <w:rPr>
          <w:rFonts w:ascii="Arial" w:hAnsi="Arial" w:cs="Arial"/>
        </w:rPr>
        <w:t xml:space="preserve"> em rede</w:t>
      </w:r>
      <w:r w:rsidR="00610716" w:rsidRPr="001C57AB">
        <w:rPr>
          <w:rFonts w:ascii="Arial" w:hAnsi="Arial" w:cs="Arial"/>
        </w:rPr>
        <w:t xml:space="preserve">. </w:t>
      </w:r>
      <w:r w:rsidR="001503C2" w:rsidRPr="001C57AB">
        <w:rPr>
          <w:rFonts w:ascii="Arial" w:hAnsi="Arial" w:cs="Arial"/>
        </w:rPr>
        <w:t>Seja para comunicação, trabalho, consumo, relacionamentos e</w:t>
      </w:r>
      <w:r w:rsidR="001745C9" w:rsidRPr="001C57AB">
        <w:rPr>
          <w:rFonts w:ascii="Arial" w:hAnsi="Arial" w:cs="Arial"/>
        </w:rPr>
        <w:t xml:space="preserve"> </w:t>
      </w:r>
      <w:r w:rsidR="001503C2" w:rsidRPr="001C57AB">
        <w:rPr>
          <w:rFonts w:ascii="Arial" w:hAnsi="Arial" w:cs="Arial"/>
        </w:rPr>
        <w:t>processos de aprendizagem</w:t>
      </w:r>
      <w:r w:rsidR="00201FF0" w:rsidRPr="001C57AB">
        <w:rPr>
          <w:rFonts w:ascii="Arial" w:hAnsi="Arial" w:cs="Arial"/>
        </w:rPr>
        <w:t>,</w:t>
      </w:r>
      <w:r w:rsidR="001503C2" w:rsidRPr="001C57AB">
        <w:rPr>
          <w:rFonts w:ascii="Arial" w:hAnsi="Arial" w:cs="Arial"/>
        </w:rPr>
        <w:t xml:space="preserve"> o digital se tornou presença indispensável. </w:t>
      </w:r>
    </w:p>
    <w:p w14:paraId="6D988366" w14:textId="77777777" w:rsidR="00F6184A" w:rsidRPr="001C57AB" w:rsidRDefault="00F6184A" w:rsidP="006C1F2B">
      <w:pPr>
        <w:spacing w:after="0" w:line="360" w:lineRule="auto"/>
        <w:jc w:val="both"/>
        <w:rPr>
          <w:rFonts w:ascii="Arial" w:hAnsi="Arial" w:cs="Arial"/>
        </w:rPr>
      </w:pPr>
    </w:p>
    <w:p w14:paraId="76EB7A92" w14:textId="2CC4C551" w:rsidR="009C26A6" w:rsidRPr="001C57AB" w:rsidRDefault="006C1F2B" w:rsidP="006C1F2B">
      <w:pPr>
        <w:spacing w:after="0" w:line="360" w:lineRule="auto"/>
        <w:jc w:val="both"/>
        <w:rPr>
          <w:rFonts w:ascii="Arial" w:hAnsi="Arial" w:cs="Arial"/>
        </w:rPr>
      </w:pPr>
      <w:r w:rsidRPr="001C57AB">
        <w:rPr>
          <w:rFonts w:ascii="Arial" w:hAnsi="Arial" w:cs="Arial"/>
        </w:rPr>
        <w:t>Nesse contexto, a Educação</w:t>
      </w:r>
      <w:r w:rsidR="008366BC" w:rsidRPr="001C57AB">
        <w:rPr>
          <w:rFonts w:ascii="Arial" w:hAnsi="Arial" w:cs="Arial"/>
        </w:rPr>
        <w:t xml:space="preserve"> para o uso</w:t>
      </w:r>
      <w:r w:rsidR="00AA22FC" w:rsidRPr="001C57AB">
        <w:rPr>
          <w:rFonts w:ascii="Arial" w:hAnsi="Arial" w:cs="Arial"/>
        </w:rPr>
        <w:t xml:space="preserve"> consciente</w:t>
      </w:r>
      <w:r w:rsidR="008366BC" w:rsidRPr="001C57AB">
        <w:rPr>
          <w:rFonts w:ascii="Arial" w:hAnsi="Arial" w:cs="Arial"/>
        </w:rPr>
        <w:t xml:space="preserve"> das mídias</w:t>
      </w:r>
      <w:r w:rsidR="00AA22FC" w:rsidRPr="001C57AB">
        <w:rPr>
          <w:rFonts w:ascii="Arial" w:hAnsi="Arial" w:cs="Arial"/>
        </w:rPr>
        <w:t xml:space="preserve"> e no contexto contemporâneo</w:t>
      </w:r>
      <w:r w:rsidRPr="001C57AB">
        <w:rPr>
          <w:rFonts w:ascii="Arial" w:hAnsi="Arial" w:cs="Arial"/>
        </w:rPr>
        <w:t xml:space="preserve"> </w:t>
      </w:r>
      <w:r w:rsidR="000969B6" w:rsidRPr="001C57AB">
        <w:rPr>
          <w:rFonts w:ascii="Arial" w:hAnsi="Arial" w:cs="Arial"/>
        </w:rPr>
        <w:t>assume um</w:t>
      </w:r>
      <w:r w:rsidRPr="001C57AB">
        <w:rPr>
          <w:rFonts w:ascii="Arial" w:hAnsi="Arial" w:cs="Arial"/>
        </w:rPr>
        <w:t xml:space="preserve"> </w:t>
      </w:r>
      <w:r w:rsidR="000969B6" w:rsidRPr="001C57AB">
        <w:rPr>
          <w:rFonts w:ascii="Arial" w:hAnsi="Arial" w:cs="Arial"/>
        </w:rPr>
        <w:t xml:space="preserve">papel fundamental </w:t>
      </w:r>
      <w:r w:rsidR="00796B91" w:rsidRPr="001C57AB">
        <w:rPr>
          <w:rFonts w:ascii="Arial" w:hAnsi="Arial" w:cs="Arial"/>
        </w:rPr>
        <w:t xml:space="preserve">na formação </w:t>
      </w:r>
      <w:r w:rsidR="008366BC" w:rsidRPr="001C57AB">
        <w:rPr>
          <w:rFonts w:ascii="Arial" w:hAnsi="Arial" w:cs="Arial"/>
        </w:rPr>
        <w:t xml:space="preserve">dos sujeitos </w:t>
      </w:r>
      <w:r w:rsidR="00796B91" w:rsidRPr="001C57AB">
        <w:rPr>
          <w:rFonts w:ascii="Arial" w:hAnsi="Arial" w:cs="Arial"/>
        </w:rPr>
        <w:t>(</w:t>
      </w:r>
      <w:r w:rsidR="00A43C9C" w:rsidRPr="001C57AB">
        <w:rPr>
          <w:rFonts w:ascii="Arial" w:hAnsi="Arial" w:cs="Arial"/>
        </w:rPr>
        <w:t>Rojo, 2012)</w:t>
      </w:r>
      <w:r w:rsidR="00796B91" w:rsidRPr="001C57AB">
        <w:rPr>
          <w:rFonts w:ascii="Arial" w:hAnsi="Arial" w:cs="Arial"/>
        </w:rPr>
        <w:t>, tornando-se</w:t>
      </w:r>
      <w:r w:rsidR="00E631E6" w:rsidRPr="001C57AB">
        <w:rPr>
          <w:rFonts w:ascii="Arial" w:hAnsi="Arial" w:cs="Arial"/>
        </w:rPr>
        <w:t xml:space="preserve"> </w:t>
      </w:r>
      <w:r w:rsidR="00796B91" w:rsidRPr="001C57AB">
        <w:rPr>
          <w:rFonts w:ascii="Arial" w:hAnsi="Arial" w:cs="Arial"/>
        </w:rPr>
        <w:t xml:space="preserve">prerrogativa para </w:t>
      </w:r>
      <w:r w:rsidR="00AA22FC" w:rsidRPr="001C57AB">
        <w:rPr>
          <w:rFonts w:ascii="Arial" w:hAnsi="Arial" w:cs="Arial"/>
        </w:rPr>
        <w:t xml:space="preserve">o desenvolvimento de uma sociedade </w:t>
      </w:r>
      <w:r w:rsidR="008366BC" w:rsidRPr="001C57AB">
        <w:rPr>
          <w:rFonts w:ascii="Arial" w:hAnsi="Arial" w:cs="Arial"/>
        </w:rPr>
        <w:t>crítica, reflexiva e ética</w:t>
      </w:r>
      <w:r w:rsidR="00AA22FC" w:rsidRPr="001C57AB">
        <w:rPr>
          <w:rFonts w:ascii="Arial" w:hAnsi="Arial" w:cs="Arial"/>
        </w:rPr>
        <w:t>.</w:t>
      </w:r>
      <w:r w:rsidR="008366BC" w:rsidRPr="001C57AB">
        <w:rPr>
          <w:rFonts w:ascii="Arial" w:hAnsi="Arial" w:cs="Arial"/>
        </w:rPr>
        <w:t xml:space="preserve"> </w:t>
      </w:r>
      <w:r w:rsidR="009C26A6" w:rsidRPr="001C57AB">
        <w:rPr>
          <w:rFonts w:ascii="Arial" w:hAnsi="Arial" w:cs="Arial"/>
        </w:rPr>
        <w:t xml:space="preserve">De acordo com Santos (2019), é fundamental que os professores e os demais profissionais da educação dialoguem com os objetos técnicos, artefatos culturais e outros praticantes culturais em contextos multirreferenciais de trabalho e aprendizagem. </w:t>
      </w:r>
    </w:p>
    <w:p w14:paraId="3510B1BB" w14:textId="77777777" w:rsidR="005556A4" w:rsidRPr="001C57AB" w:rsidRDefault="005556A4" w:rsidP="006C1F2B">
      <w:pPr>
        <w:spacing w:after="0" w:line="360" w:lineRule="auto"/>
        <w:jc w:val="both"/>
        <w:rPr>
          <w:rFonts w:ascii="Arial" w:hAnsi="Arial" w:cs="Arial"/>
        </w:rPr>
      </w:pPr>
    </w:p>
    <w:p w14:paraId="10A10734" w14:textId="0D54829A" w:rsidR="004469F9" w:rsidRPr="001C57AB" w:rsidRDefault="004F7670" w:rsidP="006C1F2B">
      <w:pPr>
        <w:spacing w:after="0" w:line="360" w:lineRule="auto"/>
        <w:jc w:val="both"/>
        <w:rPr>
          <w:rFonts w:ascii="Arial" w:hAnsi="Arial" w:cs="Arial"/>
        </w:rPr>
      </w:pPr>
      <w:r w:rsidRPr="001C57AB">
        <w:rPr>
          <w:rFonts w:ascii="Arial" w:hAnsi="Arial" w:cs="Arial"/>
        </w:rPr>
        <w:t xml:space="preserve">Considerando essa assertiva, nos propusemos a </w:t>
      </w:r>
      <w:r w:rsidR="000F38A2" w:rsidRPr="001C57AB">
        <w:rPr>
          <w:rFonts w:ascii="Arial" w:hAnsi="Arial" w:cs="Arial"/>
        </w:rPr>
        <w:t>entender um pouco mais</w:t>
      </w:r>
      <w:r w:rsidRPr="001C57AB">
        <w:rPr>
          <w:rFonts w:ascii="Arial" w:hAnsi="Arial" w:cs="Arial"/>
        </w:rPr>
        <w:t xml:space="preserve"> a formação inicial de pedagogos para uso pedagógico das tecnologias digitais. </w:t>
      </w:r>
      <w:r w:rsidR="00117C7C" w:rsidRPr="001C57AB">
        <w:rPr>
          <w:rFonts w:ascii="Arial" w:hAnsi="Arial" w:cs="Arial"/>
        </w:rPr>
        <w:t>Assim</w:t>
      </w:r>
      <w:r w:rsidR="000F38A2" w:rsidRPr="001C57AB">
        <w:rPr>
          <w:rFonts w:ascii="Arial" w:hAnsi="Arial" w:cs="Arial"/>
        </w:rPr>
        <w:t>, analisamos os Projetos Pedagógicos de Curso (</w:t>
      </w:r>
      <w:r w:rsidR="00117C7C" w:rsidRPr="001C57AB">
        <w:rPr>
          <w:rFonts w:ascii="Arial" w:hAnsi="Arial" w:cs="Arial"/>
        </w:rPr>
        <w:t>PPC) dos cinco cursos de Pedagogia de universidades federais mais bem ranqueados no Censo da Educação Superior</w:t>
      </w:r>
      <w:r w:rsidR="00484FA0" w:rsidRPr="001C57AB">
        <w:rPr>
          <w:rFonts w:ascii="Arial" w:hAnsi="Arial" w:cs="Arial"/>
        </w:rPr>
        <w:t>, um de cada região do país,</w:t>
      </w:r>
      <w:r w:rsidR="00117C7C" w:rsidRPr="001C57AB">
        <w:rPr>
          <w:rFonts w:ascii="Arial" w:hAnsi="Arial" w:cs="Arial"/>
        </w:rPr>
        <w:t xml:space="preserve"> </w:t>
      </w:r>
      <w:r w:rsidRPr="001C57AB">
        <w:rPr>
          <w:rFonts w:ascii="Arial" w:hAnsi="Arial" w:cs="Arial"/>
        </w:rPr>
        <w:t>no intuito de identificar neles em que medida TDICs são contempladas.</w:t>
      </w:r>
      <w:r w:rsidR="00022E3F" w:rsidRPr="001C57AB">
        <w:rPr>
          <w:rFonts w:ascii="Arial" w:hAnsi="Arial" w:cs="Arial"/>
        </w:rPr>
        <w:t xml:space="preserve"> </w:t>
      </w:r>
    </w:p>
    <w:p w14:paraId="50CE59D5" w14:textId="66EC9049" w:rsidR="006E5C58" w:rsidRPr="001C57AB" w:rsidRDefault="006E5C58">
      <w:pPr>
        <w:rPr>
          <w:rFonts w:ascii="Arial" w:hAnsi="Arial" w:cs="Arial"/>
        </w:rPr>
      </w:pPr>
      <w:r w:rsidRPr="001C57AB">
        <w:rPr>
          <w:rFonts w:ascii="Arial" w:hAnsi="Arial" w:cs="Arial"/>
        </w:rPr>
        <w:br w:type="page"/>
      </w:r>
    </w:p>
    <w:p w14:paraId="79474B38" w14:textId="09C4FD6A" w:rsidR="00195B47" w:rsidRPr="001C57AB" w:rsidRDefault="00195B47" w:rsidP="00195B47">
      <w:pPr>
        <w:spacing w:line="360" w:lineRule="auto"/>
        <w:rPr>
          <w:rFonts w:ascii="Arial" w:eastAsia="Times New Roman" w:hAnsi="Arial" w:cs="Arial"/>
          <w:i/>
          <w:iCs/>
          <w:sz w:val="28"/>
          <w:szCs w:val="28"/>
        </w:rPr>
      </w:pPr>
      <w:r w:rsidRPr="001C57AB">
        <w:rPr>
          <w:rFonts w:ascii="Arial" w:eastAsia="Times New Roman" w:hAnsi="Arial" w:cs="Arial"/>
          <w:b/>
          <w:bCs/>
        </w:rPr>
        <w:lastRenderedPageBreak/>
        <w:t xml:space="preserve">Quadro 1 </w:t>
      </w:r>
      <w:r w:rsidR="002D1B92" w:rsidRPr="001C57AB">
        <w:rPr>
          <w:rFonts w:ascii="Arial" w:eastAsia="Times New Roman" w:hAnsi="Arial" w:cs="Arial"/>
          <w:b/>
          <w:bCs/>
        </w:rPr>
        <w:t xml:space="preserve">- </w:t>
      </w:r>
      <w:r w:rsidRPr="001C57AB">
        <w:rPr>
          <w:rFonts w:ascii="Arial" w:eastAsia="Times New Roman" w:hAnsi="Arial" w:cs="Arial"/>
          <w:i/>
          <w:iCs/>
        </w:rPr>
        <w:t>Instituições escolhidas para análise dos cursos de Pedagogia</w:t>
      </w: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1050"/>
        <w:gridCol w:w="1340"/>
        <w:gridCol w:w="1375"/>
        <w:gridCol w:w="1275"/>
      </w:tblGrid>
      <w:tr w:rsidR="00195B47" w:rsidRPr="001C57AB" w14:paraId="6E343100" w14:textId="77777777" w:rsidTr="00A43272">
        <w:trPr>
          <w:trHeight w:val="395"/>
        </w:trPr>
        <w:tc>
          <w:tcPr>
            <w:tcW w:w="397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shd w:val="clear" w:color="auto" w:fill="30549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1D9503" w14:textId="77777777" w:rsidR="00195B47" w:rsidRPr="001C57AB" w:rsidRDefault="00195B47" w:rsidP="002A7FBE">
            <w:pPr>
              <w:widowControl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b/>
                <w:color w:val="FFFFFF"/>
                <w:sz w:val="22"/>
                <w:szCs w:val="22"/>
              </w:rPr>
              <w:t>Nome</w:t>
            </w:r>
          </w:p>
        </w:tc>
        <w:tc>
          <w:tcPr>
            <w:tcW w:w="1050" w:type="dxa"/>
            <w:tcBorders>
              <w:top w:val="single" w:sz="11" w:space="0" w:color="000000"/>
              <w:left w:val="single" w:sz="5" w:space="0" w:color="CCCCCC"/>
              <w:bottom w:val="single" w:sz="11" w:space="0" w:color="000000"/>
              <w:right w:val="single" w:sz="5" w:space="0" w:color="000000"/>
            </w:tcBorders>
            <w:shd w:val="clear" w:color="auto" w:fill="30549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A5CB1" w14:textId="77777777" w:rsidR="00195B47" w:rsidRPr="001C57AB" w:rsidRDefault="00195B47" w:rsidP="002A7FBE">
            <w:pPr>
              <w:widowControl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b/>
                <w:color w:val="FFFFFF"/>
                <w:sz w:val="22"/>
                <w:szCs w:val="22"/>
              </w:rPr>
              <w:t>Sigla</w:t>
            </w:r>
          </w:p>
        </w:tc>
        <w:tc>
          <w:tcPr>
            <w:tcW w:w="1340" w:type="dxa"/>
            <w:tcBorders>
              <w:top w:val="single" w:sz="11" w:space="0" w:color="000000"/>
              <w:left w:val="single" w:sz="5" w:space="0" w:color="CCCCCC"/>
              <w:bottom w:val="single" w:sz="11" w:space="0" w:color="000000"/>
              <w:right w:val="single" w:sz="5" w:space="0" w:color="000000"/>
            </w:tcBorders>
            <w:shd w:val="clear" w:color="auto" w:fill="30549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2F2E0" w14:textId="77777777" w:rsidR="00195B47" w:rsidRPr="001C57AB" w:rsidRDefault="00195B47" w:rsidP="002A7FBE">
            <w:pPr>
              <w:widowControl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b/>
                <w:color w:val="FFFFFF"/>
                <w:sz w:val="22"/>
                <w:szCs w:val="22"/>
              </w:rPr>
              <w:t>Campus</w:t>
            </w:r>
          </w:p>
        </w:tc>
        <w:tc>
          <w:tcPr>
            <w:tcW w:w="1375" w:type="dxa"/>
            <w:tcBorders>
              <w:top w:val="single" w:sz="11" w:space="0" w:color="000000"/>
              <w:left w:val="single" w:sz="5" w:space="0" w:color="CCCCCC"/>
              <w:bottom w:val="single" w:sz="11" w:space="0" w:color="000000"/>
              <w:right w:val="single" w:sz="5" w:space="0" w:color="000000"/>
            </w:tcBorders>
            <w:shd w:val="clear" w:color="auto" w:fill="30549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5C6FE4" w14:textId="77777777" w:rsidR="00195B47" w:rsidRPr="001C57AB" w:rsidRDefault="00195B47" w:rsidP="002A7FBE">
            <w:pPr>
              <w:widowControl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b/>
                <w:color w:val="FFFFFF"/>
                <w:sz w:val="22"/>
                <w:szCs w:val="22"/>
              </w:rPr>
              <w:t>Região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5" w:space="0" w:color="CCCCCC"/>
              <w:bottom w:val="single" w:sz="11" w:space="0" w:color="000000"/>
              <w:right w:val="single" w:sz="11" w:space="0" w:color="000000"/>
            </w:tcBorders>
            <w:shd w:val="clear" w:color="auto" w:fill="30549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3D42AF" w14:textId="77777777" w:rsidR="00195B47" w:rsidRPr="001C57AB" w:rsidRDefault="00195B47" w:rsidP="002A7FBE">
            <w:pPr>
              <w:widowControl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b/>
                <w:color w:val="FFFFFF"/>
                <w:sz w:val="22"/>
                <w:szCs w:val="22"/>
              </w:rPr>
              <w:t>CPC</w:t>
            </w:r>
          </w:p>
        </w:tc>
      </w:tr>
      <w:tr w:rsidR="00195B47" w:rsidRPr="001C57AB" w14:paraId="1001D856" w14:textId="77777777" w:rsidTr="00A43272">
        <w:trPr>
          <w:trHeight w:val="345"/>
        </w:trPr>
        <w:tc>
          <w:tcPr>
            <w:tcW w:w="3975" w:type="dxa"/>
            <w:tcBorders>
              <w:top w:val="single" w:sz="5" w:space="0" w:color="CCCCCC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48CFBF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Universidade Federal de Mato Grosso</w:t>
            </w:r>
          </w:p>
        </w:tc>
        <w:tc>
          <w:tcPr>
            <w:tcW w:w="105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56D13D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UFMT</w:t>
            </w:r>
          </w:p>
        </w:tc>
        <w:tc>
          <w:tcPr>
            <w:tcW w:w="13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A5FEDB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Cuiabá</w:t>
            </w:r>
          </w:p>
        </w:tc>
        <w:tc>
          <w:tcPr>
            <w:tcW w:w="13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EEE67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Centro-oeste</w:t>
            </w:r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7CACE5" w14:textId="77777777" w:rsidR="00195B47" w:rsidRPr="001C57AB" w:rsidRDefault="00195B47" w:rsidP="002A7FBE">
            <w:pPr>
              <w:widowControl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3,955</w:t>
            </w:r>
          </w:p>
        </w:tc>
      </w:tr>
      <w:tr w:rsidR="00195B47" w:rsidRPr="001C57AB" w14:paraId="5E970091" w14:textId="77777777" w:rsidTr="00A43272">
        <w:trPr>
          <w:trHeight w:val="330"/>
        </w:trPr>
        <w:tc>
          <w:tcPr>
            <w:tcW w:w="3975" w:type="dxa"/>
            <w:tcBorders>
              <w:top w:val="single" w:sz="5" w:space="0" w:color="CCCCCC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51A8F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Universidade Federal Rural do Semi-Árido</w:t>
            </w:r>
          </w:p>
        </w:tc>
        <w:tc>
          <w:tcPr>
            <w:tcW w:w="105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68A615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UFERSA</w:t>
            </w:r>
          </w:p>
        </w:tc>
        <w:tc>
          <w:tcPr>
            <w:tcW w:w="13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B84E11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Angicos</w:t>
            </w:r>
          </w:p>
        </w:tc>
        <w:tc>
          <w:tcPr>
            <w:tcW w:w="13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97C53C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Nordeste</w:t>
            </w:r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64739" w14:textId="77777777" w:rsidR="00195B47" w:rsidRPr="001C57AB" w:rsidRDefault="00195B47" w:rsidP="002A7FBE">
            <w:pPr>
              <w:widowControl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3,925</w:t>
            </w:r>
          </w:p>
        </w:tc>
      </w:tr>
      <w:tr w:rsidR="00195B47" w:rsidRPr="001C57AB" w14:paraId="0F21CC13" w14:textId="77777777" w:rsidTr="00A43272">
        <w:trPr>
          <w:trHeight w:val="330"/>
        </w:trPr>
        <w:tc>
          <w:tcPr>
            <w:tcW w:w="3975" w:type="dxa"/>
            <w:tcBorders>
              <w:top w:val="single" w:sz="5" w:space="0" w:color="CCCCCC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FD909E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Universidade Federal do Oeste do Pará</w:t>
            </w:r>
          </w:p>
        </w:tc>
        <w:tc>
          <w:tcPr>
            <w:tcW w:w="105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1E459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UFOPA</w:t>
            </w:r>
          </w:p>
        </w:tc>
        <w:tc>
          <w:tcPr>
            <w:tcW w:w="13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21A32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Santarém</w:t>
            </w:r>
          </w:p>
        </w:tc>
        <w:tc>
          <w:tcPr>
            <w:tcW w:w="13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73F7A2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Norte</w:t>
            </w:r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EFEB48" w14:textId="77777777" w:rsidR="00195B47" w:rsidRPr="001C57AB" w:rsidRDefault="00195B47" w:rsidP="002A7FBE">
            <w:pPr>
              <w:widowControl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3,196</w:t>
            </w:r>
          </w:p>
        </w:tc>
      </w:tr>
      <w:tr w:rsidR="00195B47" w:rsidRPr="001C57AB" w14:paraId="5139AA04" w14:textId="77777777" w:rsidTr="00A43272">
        <w:trPr>
          <w:trHeight w:val="368"/>
        </w:trPr>
        <w:tc>
          <w:tcPr>
            <w:tcW w:w="3975" w:type="dxa"/>
            <w:tcBorders>
              <w:top w:val="single" w:sz="5" w:space="0" w:color="CCCCCC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EC11C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Universidade Federal de São Carlos</w:t>
            </w:r>
          </w:p>
        </w:tc>
        <w:tc>
          <w:tcPr>
            <w:tcW w:w="105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6303BC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UFSCAR</w:t>
            </w:r>
          </w:p>
        </w:tc>
        <w:tc>
          <w:tcPr>
            <w:tcW w:w="13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931A1A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Sorocaba</w:t>
            </w:r>
          </w:p>
        </w:tc>
        <w:tc>
          <w:tcPr>
            <w:tcW w:w="13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D2EAA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Sudeste</w:t>
            </w:r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3F3B9" w14:textId="77777777" w:rsidR="00195B47" w:rsidRPr="001C57AB" w:rsidRDefault="00195B47" w:rsidP="002A7FBE">
            <w:pPr>
              <w:widowControl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3,907</w:t>
            </w:r>
          </w:p>
        </w:tc>
      </w:tr>
      <w:tr w:rsidR="00195B47" w:rsidRPr="001C57AB" w14:paraId="44E9F069" w14:textId="77777777" w:rsidTr="00A43272">
        <w:trPr>
          <w:trHeight w:val="315"/>
        </w:trPr>
        <w:tc>
          <w:tcPr>
            <w:tcW w:w="3975" w:type="dxa"/>
            <w:tcBorders>
              <w:top w:val="single" w:sz="5" w:space="0" w:color="CCCCCC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3C42EE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Universidade Federal de Santa Maria</w:t>
            </w:r>
          </w:p>
        </w:tc>
        <w:tc>
          <w:tcPr>
            <w:tcW w:w="1050" w:type="dxa"/>
            <w:tcBorders>
              <w:top w:val="single" w:sz="5" w:space="0" w:color="CCCCCC"/>
              <w:left w:val="single" w:sz="5" w:space="0" w:color="CCCCCC"/>
              <w:bottom w:val="single" w:sz="11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E07862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UFSM</w:t>
            </w:r>
          </w:p>
        </w:tc>
        <w:tc>
          <w:tcPr>
            <w:tcW w:w="1340" w:type="dxa"/>
            <w:tcBorders>
              <w:top w:val="single" w:sz="5" w:space="0" w:color="CCCCCC"/>
              <w:left w:val="single" w:sz="5" w:space="0" w:color="CCCCCC"/>
              <w:bottom w:val="single" w:sz="11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770BDD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Santa Maria</w:t>
            </w:r>
          </w:p>
        </w:tc>
        <w:tc>
          <w:tcPr>
            <w:tcW w:w="1375" w:type="dxa"/>
            <w:tcBorders>
              <w:top w:val="single" w:sz="5" w:space="0" w:color="CCCCCC"/>
              <w:left w:val="single" w:sz="5" w:space="0" w:color="CCCCCC"/>
              <w:bottom w:val="single" w:sz="11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EE2F9" w14:textId="77777777" w:rsidR="00195B47" w:rsidRPr="001C57AB" w:rsidRDefault="00195B47" w:rsidP="002A7FBE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Sul</w:t>
            </w:r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11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61B17" w14:textId="77777777" w:rsidR="00195B47" w:rsidRPr="001C57AB" w:rsidRDefault="00195B47" w:rsidP="002A7FBE">
            <w:pPr>
              <w:widowControl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1C57AB">
              <w:rPr>
                <w:rFonts w:ascii="Arial" w:eastAsia="Times New Roman" w:hAnsi="Arial" w:cs="Arial"/>
                <w:sz w:val="22"/>
                <w:szCs w:val="22"/>
              </w:rPr>
              <w:t>3,770</w:t>
            </w:r>
          </w:p>
        </w:tc>
      </w:tr>
    </w:tbl>
    <w:p w14:paraId="5DB8C8AE" w14:textId="77777777" w:rsidR="00195B47" w:rsidRPr="001C57AB" w:rsidRDefault="00195B47" w:rsidP="00195B47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1C57AB">
        <w:rPr>
          <w:rFonts w:ascii="Arial" w:eastAsia="Times New Roman" w:hAnsi="Arial" w:cs="Arial"/>
          <w:sz w:val="22"/>
          <w:szCs w:val="22"/>
        </w:rPr>
        <w:t>Fonte: INEP (2021)</w:t>
      </w:r>
    </w:p>
    <w:p w14:paraId="53DBFF26" w14:textId="62C8343D" w:rsidR="00195B47" w:rsidRPr="001C57AB" w:rsidRDefault="00FA414F" w:rsidP="006C1F2B">
      <w:pPr>
        <w:spacing w:after="0" w:line="360" w:lineRule="auto"/>
        <w:jc w:val="both"/>
        <w:rPr>
          <w:rFonts w:ascii="Arial" w:hAnsi="Arial" w:cs="Arial"/>
        </w:rPr>
      </w:pPr>
      <w:r w:rsidRPr="001C57AB">
        <w:rPr>
          <w:rFonts w:ascii="Arial" w:hAnsi="Arial" w:cs="Arial"/>
        </w:rPr>
        <w:t xml:space="preserve">Para </w:t>
      </w:r>
      <w:r w:rsidR="00A43272" w:rsidRPr="001C57AB">
        <w:rPr>
          <w:rFonts w:ascii="Arial" w:hAnsi="Arial" w:cs="Arial"/>
        </w:rPr>
        <w:t>a interpretação dos dados da pesquisa, elegemos a análise de conteúdo, segundo Bardin (2011)</w:t>
      </w:r>
      <w:r w:rsidR="00796B91" w:rsidRPr="001C57AB">
        <w:rPr>
          <w:rFonts w:ascii="Arial" w:hAnsi="Arial" w:cs="Arial"/>
        </w:rPr>
        <w:t xml:space="preserve"> e o estabelecimento de categorias temáticas</w:t>
      </w:r>
      <w:r w:rsidR="00A43272" w:rsidRPr="001C57AB">
        <w:rPr>
          <w:rFonts w:ascii="Arial" w:hAnsi="Arial" w:cs="Arial"/>
        </w:rPr>
        <w:t xml:space="preserve">. De acordo com a autora, a maioria dos procedimentos de análise organiza-se “[...] ao redor de um processo de categorização.” Nesse sentido, </w:t>
      </w:r>
      <w:r w:rsidR="005C40DF" w:rsidRPr="001C57AB">
        <w:rPr>
          <w:rFonts w:ascii="Arial" w:hAnsi="Arial" w:cs="Arial"/>
        </w:rPr>
        <w:t>mapeamos as disciplinas obrigatórias, eletivas e optativas que mencionam  nos títulos a utilização e/ou aplicação das tecnologias digitais</w:t>
      </w:r>
      <w:r w:rsidR="003A7F6B" w:rsidRPr="001C57AB">
        <w:rPr>
          <w:rFonts w:ascii="Arial" w:hAnsi="Arial" w:cs="Arial"/>
        </w:rPr>
        <w:t xml:space="preserve"> nos cursos selecionados</w:t>
      </w:r>
      <w:r w:rsidR="005C40DF" w:rsidRPr="001C57AB">
        <w:rPr>
          <w:rFonts w:ascii="Arial" w:hAnsi="Arial" w:cs="Arial"/>
        </w:rPr>
        <w:t>.</w:t>
      </w:r>
      <w:r w:rsidR="006C6E5E" w:rsidRPr="001C57AB">
        <w:rPr>
          <w:rFonts w:ascii="Arial" w:hAnsi="Arial" w:cs="Arial"/>
        </w:rPr>
        <w:t xml:space="preserve"> </w:t>
      </w:r>
      <w:r w:rsidR="00C54618" w:rsidRPr="001C57AB">
        <w:rPr>
          <w:rFonts w:ascii="Arial" w:hAnsi="Arial" w:cs="Arial"/>
        </w:rPr>
        <w:t>Posteriormente, agrupamos as informações em</w:t>
      </w:r>
      <w:r w:rsidR="00E97EB9" w:rsidRPr="001C57AB">
        <w:rPr>
          <w:rFonts w:ascii="Arial" w:hAnsi="Arial" w:cs="Arial"/>
        </w:rPr>
        <w:t xml:space="preserve"> três categorias</w:t>
      </w:r>
      <w:r w:rsidR="009030E6" w:rsidRPr="001C57AB">
        <w:rPr>
          <w:rFonts w:ascii="Arial" w:hAnsi="Arial" w:cs="Arial"/>
        </w:rPr>
        <w:t xml:space="preserve"> (tipo de oferta, conteúdo programático e abordagens </w:t>
      </w:r>
      <w:r w:rsidR="001C57AB" w:rsidRPr="001C57AB">
        <w:rPr>
          <w:rFonts w:ascii="Arial" w:hAnsi="Arial" w:cs="Arial"/>
        </w:rPr>
        <w:t>contemporâneas</w:t>
      </w:r>
      <w:r w:rsidR="009030E6" w:rsidRPr="001C57AB">
        <w:rPr>
          <w:rFonts w:ascii="Arial" w:hAnsi="Arial" w:cs="Arial"/>
        </w:rPr>
        <w:t>)</w:t>
      </w:r>
      <w:r w:rsidR="00C54618" w:rsidRPr="001C57AB">
        <w:rPr>
          <w:rFonts w:ascii="Arial" w:hAnsi="Arial" w:cs="Arial"/>
        </w:rPr>
        <w:t xml:space="preserve">, considerando a correlação entre elas e, por fim, </w:t>
      </w:r>
      <w:r w:rsidR="006C6E5E" w:rsidRPr="001C57AB">
        <w:rPr>
          <w:rFonts w:ascii="Arial" w:hAnsi="Arial" w:cs="Arial"/>
        </w:rPr>
        <w:t xml:space="preserve">fizemos </w:t>
      </w:r>
      <w:r w:rsidR="00C54618" w:rsidRPr="001C57AB">
        <w:rPr>
          <w:rFonts w:ascii="Arial" w:hAnsi="Arial" w:cs="Arial"/>
        </w:rPr>
        <w:t xml:space="preserve">as inferências e a interpretação </w:t>
      </w:r>
      <w:r w:rsidR="006C6E5E" w:rsidRPr="001C57AB">
        <w:rPr>
          <w:rFonts w:ascii="Arial" w:hAnsi="Arial" w:cs="Arial"/>
        </w:rPr>
        <w:t>alicerçadas n</w:t>
      </w:r>
      <w:r w:rsidR="00C54618" w:rsidRPr="001C57AB">
        <w:rPr>
          <w:rFonts w:ascii="Arial" w:hAnsi="Arial" w:cs="Arial"/>
        </w:rPr>
        <w:t xml:space="preserve">as bases teóricas utilizadas </w:t>
      </w:r>
      <w:r w:rsidR="006C6E5E" w:rsidRPr="001C57AB">
        <w:rPr>
          <w:rFonts w:ascii="Arial" w:hAnsi="Arial" w:cs="Arial"/>
        </w:rPr>
        <w:t>no estudo</w:t>
      </w:r>
      <w:r w:rsidR="00C54618" w:rsidRPr="001C57AB">
        <w:rPr>
          <w:rFonts w:ascii="Arial" w:hAnsi="Arial" w:cs="Arial"/>
        </w:rPr>
        <w:t>.</w:t>
      </w:r>
    </w:p>
    <w:p w14:paraId="655A6773" w14:textId="77777777" w:rsidR="005C40DF" w:rsidRPr="001C57AB" w:rsidRDefault="005C40DF">
      <w:pPr>
        <w:rPr>
          <w:rFonts w:ascii="Arial" w:hAnsi="Arial" w:cs="Arial"/>
          <w:color w:val="7030A0"/>
        </w:rPr>
      </w:pPr>
    </w:p>
    <w:p w14:paraId="2E61F8EF" w14:textId="77777777" w:rsidR="005C40DF" w:rsidRPr="001C57AB" w:rsidRDefault="005C40DF">
      <w:pPr>
        <w:rPr>
          <w:rFonts w:ascii="Arial" w:hAnsi="Arial" w:cs="Arial"/>
          <w:b/>
        </w:rPr>
      </w:pPr>
      <w:r w:rsidRPr="001C57AB">
        <w:rPr>
          <w:rFonts w:ascii="Arial" w:hAnsi="Arial" w:cs="Arial"/>
          <w:b/>
        </w:rPr>
        <w:t>Análises e discussões</w:t>
      </w:r>
    </w:p>
    <w:p w14:paraId="7808F3FC" w14:textId="77777777" w:rsidR="005C40DF" w:rsidRPr="001C57AB" w:rsidRDefault="005C40DF">
      <w:pPr>
        <w:rPr>
          <w:rFonts w:ascii="Arial" w:hAnsi="Arial" w:cs="Arial"/>
          <w:color w:val="7030A0"/>
        </w:rPr>
      </w:pPr>
    </w:p>
    <w:p w14:paraId="1244FE96" w14:textId="6CF73A13" w:rsidR="00231412" w:rsidRPr="001C57AB" w:rsidRDefault="001F1298" w:rsidP="00EA2F26">
      <w:pPr>
        <w:spacing w:line="360" w:lineRule="auto"/>
        <w:jc w:val="both"/>
        <w:rPr>
          <w:rFonts w:ascii="Arial" w:hAnsi="Arial" w:cs="Arial"/>
          <w:color w:val="7030A0"/>
        </w:rPr>
      </w:pPr>
      <w:r w:rsidRPr="001C57AB">
        <w:rPr>
          <w:rFonts w:ascii="Arial" w:hAnsi="Arial" w:cs="Arial"/>
        </w:rPr>
        <w:t>Nos Projetos Pedagógicos de Curso, foram identificados 13 componentes curriculares, 9 obrigatórios e 4 optativos. Das disciplinas obrigatórias presentes nos documentos, mais da metade é ofertada na reta final de curso. Em três dos cinco cursos pesquisados, a oferta se dá do primeiro ao terceiro semestre</w:t>
      </w:r>
      <w:r w:rsidR="00BC36E1" w:rsidRPr="001C57AB">
        <w:rPr>
          <w:rFonts w:ascii="Arial" w:hAnsi="Arial" w:cs="Arial"/>
        </w:rPr>
        <w:t xml:space="preserve">. A Universidade Federal Rural do Semi-Árido é a instituição que possui maior quantidade de componentes curriculares de tecnologias em seu curso de </w:t>
      </w:r>
      <w:r w:rsidR="00BC36E1" w:rsidRPr="001C57AB">
        <w:rPr>
          <w:rFonts w:ascii="Arial" w:hAnsi="Arial" w:cs="Arial"/>
        </w:rPr>
        <w:lastRenderedPageBreak/>
        <w:t>Pedagogia, ou seja, três no total. Já a Universidade Federal de Mato Grosso é a que mais oferta componentes eletivos, três das quatro que integram o fluxo curricular</w:t>
      </w:r>
      <w:r w:rsidR="00BC36E1" w:rsidRPr="001C57AB">
        <w:rPr>
          <w:rFonts w:ascii="Arial" w:hAnsi="Arial" w:cs="Arial"/>
          <w:color w:val="7030A0"/>
        </w:rPr>
        <w:t xml:space="preserve">. </w:t>
      </w:r>
    </w:p>
    <w:p w14:paraId="0AA7B6D7" w14:textId="3970F2C5" w:rsidR="009B397E" w:rsidRPr="001C57AB" w:rsidRDefault="009B397E" w:rsidP="009B397E">
      <w:pPr>
        <w:spacing w:line="360" w:lineRule="auto"/>
        <w:jc w:val="both"/>
        <w:rPr>
          <w:rFonts w:ascii="Arial" w:hAnsi="Arial" w:cs="Arial"/>
        </w:rPr>
      </w:pPr>
      <w:r w:rsidRPr="001C57AB">
        <w:rPr>
          <w:rFonts w:ascii="Arial" w:hAnsi="Arial" w:cs="Arial"/>
        </w:rPr>
        <w:t>No curso de Pedagogia da UFERSA</w:t>
      </w:r>
      <w:r w:rsidR="003A7F6B" w:rsidRPr="001C57AB">
        <w:rPr>
          <w:rFonts w:ascii="Arial" w:hAnsi="Arial" w:cs="Arial"/>
        </w:rPr>
        <w:t xml:space="preserve"> </w:t>
      </w:r>
      <w:r w:rsidRPr="001C57AB">
        <w:rPr>
          <w:rFonts w:ascii="Arial" w:hAnsi="Arial" w:cs="Arial"/>
        </w:rPr>
        <w:t xml:space="preserve">são dedicadas 240 horas/aulas da sua grade total para a formação na área das tecnologias, correspondendo a 6,9% da carga horária total. Também considerando as disciplinas optativas, a UFMT dedica 6,2% ou 208 horas/aula da sua grade curricular para a formação nessa perspectiva. A UFSCAR, por sua vez, destina 120 horas/aula para os componentes curriculares em tecnologias, equivalente a 3,6% de todo o curso. Na UFSM, é ofertada apenas uma disciplina de 90h representando 2,7% da sua grade curricular integral. Por fim, na UFOPA, o índice alcançado é de 3,6% com as duas disciplinas ofertadas, que juntas somam 120 horas/aula. </w:t>
      </w:r>
    </w:p>
    <w:p w14:paraId="5F1E0815" w14:textId="10353B13" w:rsidR="009B397E" w:rsidRPr="001C57AB" w:rsidRDefault="009B397E" w:rsidP="009B397E">
      <w:pPr>
        <w:spacing w:line="360" w:lineRule="auto"/>
        <w:jc w:val="both"/>
        <w:rPr>
          <w:rFonts w:ascii="Arial" w:hAnsi="Arial" w:cs="Arial"/>
        </w:rPr>
      </w:pPr>
      <w:r w:rsidRPr="001C57AB">
        <w:rPr>
          <w:rFonts w:ascii="Arial" w:hAnsi="Arial" w:cs="Arial"/>
        </w:rPr>
        <w:t>Não existe uma determinação formal de quantas horas/aulas são exigidas, apenas fazem referência ao cumprimento de ter uma disciplina obrigatória ligada à temática tecnológica</w:t>
      </w:r>
      <w:r w:rsidR="00407D70" w:rsidRPr="001C57AB">
        <w:rPr>
          <w:rFonts w:ascii="Arial" w:hAnsi="Arial" w:cs="Arial"/>
        </w:rPr>
        <w:t>. Nesse sentido</w:t>
      </w:r>
      <w:r w:rsidRPr="001C57AB">
        <w:rPr>
          <w:rFonts w:ascii="Arial" w:hAnsi="Arial" w:cs="Arial"/>
        </w:rPr>
        <w:t xml:space="preserve">, todas as instituições contemplam as tecnologias digitais em seus projetos de curso com uma média de 155,6 horas/aula e um índice de oferta equivalente a 4,63%. </w:t>
      </w:r>
    </w:p>
    <w:p w14:paraId="6ACEA42C" w14:textId="4AEBDA97" w:rsidR="0035251F" w:rsidRPr="001C57AB" w:rsidRDefault="0035251F" w:rsidP="009B397E">
      <w:pPr>
        <w:spacing w:line="360" w:lineRule="auto"/>
        <w:jc w:val="both"/>
        <w:rPr>
          <w:rFonts w:ascii="Arial" w:hAnsi="Arial" w:cs="Arial"/>
          <w:color w:val="7030A0"/>
        </w:rPr>
      </w:pPr>
      <w:r w:rsidRPr="001C57AB">
        <w:rPr>
          <w:rFonts w:ascii="Arial" w:hAnsi="Arial" w:cs="Arial"/>
        </w:rPr>
        <w:t>A partir da análise das ementas e das características gerais dessas disciplinas, é possível identificar</w:t>
      </w:r>
      <w:r w:rsidR="00796B91" w:rsidRPr="001C57AB">
        <w:rPr>
          <w:rFonts w:ascii="Arial" w:hAnsi="Arial" w:cs="Arial"/>
        </w:rPr>
        <w:t xml:space="preserve"> a</w:t>
      </w:r>
      <w:r w:rsidRPr="001C57AB">
        <w:rPr>
          <w:rFonts w:ascii="Arial" w:hAnsi="Arial" w:cs="Arial"/>
        </w:rPr>
        <w:t xml:space="preserve"> discussão acerca dos conceitos de tecnologia, seu processo e evolução históricos</w:t>
      </w:r>
      <w:r w:rsidR="00F908AA" w:rsidRPr="001C57AB">
        <w:rPr>
          <w:rFonts w:ascii="Arial" w:hAnsi="Arial" w:cs="Arial"/>
        </w:rPr>
        <w:t>,</w:t>
      </w:r>
      <w:r w:rsidRPr="001C57AB">
        <w:rPr>
          <w:rFonts w:ascii="Arial" w:hAnsi="Arial" w:cs="Arial"/>
        </w:rPr>
        <w:t xml:space="preserve"> o estreitamento com o campo da Educação</w:t>
      </w:r>
      <w:r w:rsidR="00F908AA" w:rsidRPr="001C57AB">
        <w:rPr>
          <w:rFonts w:ascii="Arial" w:hAnsi="Arial" w:cs="Arial"/>
        </w:rPr>
        <w:t xml:space="preserve"> e</w:t>
      </w:r>
      <w:r w:rsidRPr="001C57AB">
        <w:rPr>
          <w:rFonts w:ascii="Arial" w:hAnsi="Arial" w:cs="Arial"/>
        </w:rPr>
        <w:t xml:space="preserve"> as possibilidades educativas mediadas pelas tecnologias</w:t>
      </w:r>
      <w:r w:rsidR="00F908AA" w:rsidRPr="001C57AB">
        <w:rPr>
          <w:rFonts w:ascii="Arial" w:hAnsi="Arial" w:cs="Arial"/>
        </w:rPr>
        <w:t>. Também</w:t>
      </w:r>
      <w:r w:rsidRPr="001C57AB">
        <w:rPr>
          <w:rFonts w:ascii="Arial" w:hAnsi="Arial" w:cs="Arial"/>
        </w:rPr>
        <w:t xml:space="preserve"> </w:t>
      </w:r>
      <w:r w:rsidR="00F908AA" w:rsidRPr="001C57AB">
        <w:rPr>
          <w:rFonts w:ascii="Arial" w:hAnsi="Arial" w:cs="Arial"/>
        </w:rPr>
        <w:t xml:space="preserve">estão presentes </w:t>
      </w:r>
      <w:r w:rsidRPr="001C57AB">
        <w:rPr>
          <w:rFonts w:ascii="Arial" w:hAnsi="Arial" w:cs="Arial"/>
        </w:rPr>
        <w:t>os processos educacionais em rede, os aspectos sociais e políticos implicados no controle e acesso à informação, as apropriações das TIC nos processos de ensino-aprendizagem, o uso do computador como ferramenta de aprendizagem, e a relação das TDICs com a era da ubiquidade, definida por Pérez Gómez (2015) como contexto em que a informação tem participação efetiva e interativa dos sujeitos da aprendizagem</w:t>
      </w:r>
      <w:r w:rsidR="00C70DAE" w:rsidRPr="001C57AB">
        <w:rPr>
          <w:rFonts w:ascii="Arial" w:hAnsi="Arial" w:cs="Arial"/>
        </w:rPr>
        <w:t>.</w:t>
      </w:r>
    </w:p>
    <w:p w14:paraId="0667EC76" w14:textId="24174B84" w:rsidR="00C70DAE" w:rsidRPr="001C57AB" w:rsidRDefault="00C70DAE" w:rsidP="009B397E">
      <w:pPr>
        <w:spacing w:line="360" w:lineRule="auto"/>
        <w:jc w:val="both"/>
        <w:rPr>
          <w:rFonts w:ascii="Arial" w:hAnsi="Arial" w:cs="Arial"/>
        </w:rPr>
      </w:pPr>
      <w:r w:rsidRPr="001C57AB">
        <w:rPr>
          <w:rFonts w:ascii="Arial" w:hAnsi="Arial" w:cs="Arial"/>
        </w:rPr>
        <w:t xml:space="preserve">Os projetos políticos dos cursos analisados incluem em seu ementário propostas de aulas interdisciplinares e expositivas, articulação entre atividades teóricas e </w:t>
      </w:r>
      <w:r w:rsidRPr="001C57AB">
        <w:rPr>
          <w:rFonts w:ascii="Arial" w:hAnsi="Arial" w:cs="Arial"/>
        </w:rPr>
        <w:lastRenderedPageBreak/>
        <w:t xml:space="preserve">práticas, que contemplem análise, reflexão crítica e desenvolvimento de propostas de ensino que integrem as tecnologias digitais. Dentre as indicações estão a produção de vídeos digitais; a construção de projetos utilizando objetos digitais de aprendizagem; a produção de peças comunicativas em diversos gêneros, as linguagens e suportes; e as aplicações dos recursos tecnológicos no processo de ensino aprendizagem. </w:t>
      </w:r>
    </w:p>
    <w:p w14:paraId="06D4DA3A" w14:textId="3337AA40" w:rsidR="00122D97" w:rsidRPr="001C57AB" w:rsidRDefault="00BD5789" w:rsidP="001141CE">
      <w:pPr>
        <w:pStyle w:val="CorpodoTEXTO"/>
        <w:ind w:firstLine="0"/>
        <w:rPr>
          <w:rFonts w:ascii="Arial" w:hAnsi="Arial" w:cs="Arial"/>
        </w:rPr>
      </w:pPr>
      <w:r w:rsidRPr="001C57AB">
        <w:rPr>
          <w:rFonts w:ascii="Arial" w:hAnsi="Arial" w:cs="Arial"/>
        </w:rPr>
        <w:t xml:space="preserve">Quanto às temáticas mais relacionadas ao contexto de avanço da web 2.0, na qual os indivíduos maciçamente habitam o digital, os documentos dão destaque às redes sociais, tecnologias digitais de rede, inclusão digital, criação e produção de conteúdos digitais, blogosfera, a robótica educacional bem como ao compartilhamento e à disseminação de informação. Entretanto, algumas lacunas foram identificadas, especialmente em relação à cultura audiovisual, redes e globalização; às comunidades de aprendizagem e trabalho colaborativo na sociedade mediatizada; e às linguagens midiáticas – visuais, sonoras, audiovisuais, impressas e informáticas, em uma perspectiva crítica e criativa. </w:t>
      </w:r>
    </w:p>
    <w:p w14:paraId="798B346F" w14:textId="77777777" w:rsidR="0056056E" w:rsidRPr="001C57AB" w:rsidRDefault="0056056E" w:rsidP="0056056E">
      <w:pPr>
        <w:pStyle w:val="CorpodoTEXTO"/>
        <w:rPr>
          <w:rFonts w:ascii="Arial" w:hAnsi="Arial" w:cs="Arial"/>
        </w:rPr>
      </w:pPr>
    </w:p>
    <w:p w14:paraId="65C6235C" w14:textId="578C2CDD" w:rsidR="00764A27" w:rsidRPr="001C57AB" w:rsidRDefault="00BD5789" w:rsidP="00122D97">
      <w:pPr>
        <w:spacing w:line="360" w:lineRule="auto"/>
        <w:jc w:val="both"/>
        <w:rPr>
          <w:rFonts w:ascii="Arial" w:hAnsi="Arial" w:cs="Arial"/>
        </w:rPr>
      </w:pPr>
      <w:r w:rsidRPr="001C57AB">
        <w:rPr>
          <w:rFonts w:ascii="Arial" w:hAnsi="Arial" w:cs="Arial"/>
        </w:rPr>
        <w:t>Outra ausência notada nos documentos é o trabalho com os multiletramentos, como possibilidade para a construção do conhecimento por meio da ampliação do repertório cultural dos sujeitos, conforme recomenda a Base Nacional Curricular Comum (BNCC), de 2018</w:t>
      </w:r>
      <w:r w:rsidR="00122D97" w:rsidRPr="001C57AB">
        <w:rPr>
          <w:rFonts w:ascii="Arial" w:hAnsi="Arial" w:cs="Arial"/>
        </w:rPr>
        <w:t>. Acerca disso</w:t>
      </w:r>
      <w:r w:rsidR="00B14B56" w:rsidRPr="001C57AB">
        <w:rPr>
          <w:rFonts w:ascii="Arial" w:hAnsi="Arial" w:cs="Arial"/>
        </w:rPr>
        <w:t>,</w:t>
      </w:r>
      <w:r w:rsidR="00122D97" w:rsidRPr="001C57AB">
        <w:rPr>
          <w:rFonts w:ascii="Arial" w:hAnsi="Arial" w:cs="Arial"/>
        </w:rPr>
        <w:t xml:space="preserve"> Kenski (2012) diz que é preciso investir em pedagogias que lancem mão das mídias sociais, dos aplicativos e de soluções específicas para tablets e smartphones. Nessa perspectiva, entendemos que a apropriação das TDICs durante a formação inicial dos pedagogos, é uma oportunidade que pode fazer a diferença na construção de sua relação com as tecnologias digitais, refletindo em sua atuação futura em sala de aula.</w:t>
      </w:r>
      <w:r w:rsidR="003E3984" w:rsidRPr="001C57AB">
        <w:rPr>
          <w:rFonts w:ascii="Arial" w:hAnsi="Arial" w:cs="Arial"/>
        </w:rPr>
        <w:t xml:space="preserve"> </w:t>
      </w:r>
    </w:p>
    <w:p w14:paraId="14CF1C6D" w14:textId="552DACB2" w:rsidR="00F26706" w:rsidRPr="001C57AB" w:rsidRDefault="00F26706" w:rsidP="00764A27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1C57AB">
        <w:rPr>
          <w:rFonts w:ascii="Arial" w:hAnsi="Arial" w:cs="Arial"/>
          <w:b/>
        </w:rPr>
        <w:t>Considerações</w:t>
      </w:r>
    </w:p>
    <w:p w14:paraId="31C8B765" w14:textId="77777777" w:rsidR="00764A27" w:rsidRPr="001C57AB" w:rsidRDefault="00764A27" w:rsidP="00F26706">
      <w:pPr>
        <w:pStyle w:val="CorpodoTEXTO"/>
        <w:rPr>
          <w:rFonts w:ascii="Arial" w:hAnsi="Arial" w:cs="Arial"/>
        </w:rPr>
      </w:pPr>
    </w:p>
    <w:p w14:paraId="6882422F" w14:textId="41270A79" w:rsidR="00F26706" w:rsidRPr="001C57AB" w:rsidRDefault="00F26706" w:rsidP="00F26706">
      <w:pPr>
        <w:pStyle w:val="CorpodoTEXTO"/>
        <w:rPr>
          <w:rFonts w:ascii="Arial" w:hAnsi="Arial" w:cs="Arial"/>
        </w:rPr>
      </w:pPr>
      <w:r w:rsidRPr="001C57AB">
        <w:rPr>
          <w:rFonts w:ascii="Arial" w:hAnsi="Arial" w:cs="Arial"/>
        </w:rPr>
        <w:t xml:space="preserve">A partir das análises, percebeu-se que todos os cursos contemplam elementos relacionados às tecnologias digitais de informação e comunicação em </w:t>
      </w:r>
      <w:r w:rsidRPr="001C57AB">
        <w:rPr>
          <w:rFonts w:ascii="Arial" w:hAnsi="Arial" w:cs="Arial"/>
        </w:rPr>
        <w:lastRenderedPageBreak/>
        <w:t>seus projetos. No entanto, no fluxo curricular, esses componentes são ofertados majoritariamente da metade do curso para o final. Considerando a carga horária total, são ofertadas, em média, mais de150 horas/aula, considerando os componentes obrigatórios e os optativos. Em relação às abordagens, nota-se que, nas ementas e nos conteúdos programáticos das disciplinas, elas estão mais direcionadas ao tecnicismo, isto é, voltadas predominantemente à apropriação e ao uso do que, de fato, as discussões críticas</w:t>
      </w:r>
      <w:r w:rsidR="00F7138E" w:rsidRPr="001C57AB">
        <w:rPr>
          <w:rFonts w:ascii="Arial" w:hAnsi="Arial" w:cs="Arial"/>
        </w:rPr>
        <w:t xml:space="preserve"> e éticas</w:t>
      </w:r>
      <w:r w:rsidRPr="001C57AB">
        <w:rPr>
          <w:rFonts w:ascii="Arial" w:hAnsi="Arial" w:cs="Arial"/>
        </w:rPr>
        <w:t xml:space="preserve">. Além disso, </w:t>
      </w:r>
      <w:r w:rsidR="00F7138E" w:rsidRPr="001C57AB">
        <w:rPr>
          <w:rFonts w:ascii="Arial" w:hAnsi="Arial" w:cs="Arial"/>
        </w:rPr>
        <w:t>h</w:t>
      </w:r>
      <w:r w:rsidR="0041751D" w:rsidRPr="001C57AB">
        <w:rPr>
          <w:rFonts w:ascii="Arial" w:hAnsi="Arial" w:cs="Arial"/>
        </w:rPr>
        <w:t>á</w:t>
      </w:r>
      <w:r w:rsidRPr="001C57AB">
        <w:rPr>
          <w:rFonts w:ascii="Arial" w:hAnsi="Arial" w:cs="Arial"/>
        </w:rPr>
        <w:t xml:space="preserve"> ausência de temáticas como cinema e educação, cidadania digital, alfabetização midiática, vigilância contemporânea, e os usos e impactos da inteligência artificial. Outro aspecto é que, mesmo propondo uma interdisciplinaridade, os cursos não exploram </w:t>
      </w:r>
      <w:r w:rsidR="00EC5C73" w:rsidRPr="001C57AB">
        <w:rPr>
          <w:rFonts w:ascii="Arial" w:hAnsi="Arial" w:cs="Arial"/>
        </w:rPr>
        <w:t>nos componentes curriculares</w:t>
      </w:r>
      <w:r w:rsidR="0041751D" w:rsidRPr="001C57AB">
        <w:rPr>
          <w:rFonts w:ascii="Arial" w:hAnsi="Arial" w:cs="Arial"/>
        </w:rPr>
        <w:t>, alguns</w:t>
      </w:r>
      <w:r w:rsidR="00EC5C73" w:rsidRPr="001C57AB">
        <w:rPr>
          <w:rFonts w:ascii="Arial" w:hAnsi="Arial" w:cs="Arial"/>
        </w:rPr>
        <w:t xml:space="preserve"> </w:t>
      </w:r>
      <w:r w:rsidRPr="001C57AB">
        <w:rPr>
          <w:rFonts w:ascii="Arial" w:hAnsi="Arial" w:cs="Arial"/>
        </w:rPr>
        <w:t>temas transversais como letramento e linguagens midiáticas, por exemplo.</w:t>
      </w:r>
    </w:p>
    <w:p w14:paraId="6831F4F1" w14:textId="77BAF283" w:rsidR="00F26706" w:rsidRPr="001C57AB" w:rsidRDefault="00F26706" w:rsidP="00F26706">
      <w:pPr>
        <w:pStyle w:val="CorpodoTEXTO"/>
        <w:rPr>
          <w:rFonts w:ascii="Arial" w:hAnsi="Arial" w:cs="Arial"/>
        </w:rPr>
      </w:pPr>
      <w:r w:rsidRPr="001C57AB">
        <w:rPr>
          <w:rFonts w:ascii="Arial" w:hAnsi="Arial" w:cs="Arial"/>
        </w:rPr>
        <w:t xml:space="preserve">Ainda que tenha apontado componentes com a temática de tecnologias em suas matrizes, avaliamos que o grande desafio é a integração da cultura digital ao currículo. Os multiletramentos podem, por exemplo, perpassar os vários componentes curriculares assim como o trabalho com o audiovisual, as linguagens e o pensar pedagógico com o digital. Esse processo é importante não só para a preparação e formação da prática profissional do licenciando, mas também para o estímulo ao uso crítico e ético das tecnologias, direcionando os estudantes para um processo de educação contemporânea com qualidade social. </w:t>
      </w:r>
    </w:p>
    <w:p w14:paraId="32ABEB9C" w14:textId="61306C38" w:rsidR="00295CF0" w:rsidRPr="001C57AB" w:rsidRDefault="00F26706" w:rsidP="00F26706">
      <w:pPr>
        <w:pStyle w:val="CorpodoTEXTO"/>
        <w:rPr>
          <w:rFonts w:ascii="Arial" w:hAnsi="Arial" w:cs="Arial"/>
        </w:rPr>
      </w:pPr>
      <w:r w:rsidRPr="001C57AB">
        <w:rPr>
          <w:rFonts w:ascii="Arial" w:hAnsi="Arial" w:cs="Arial"/>
        </w:rPr>
        <w:t xml:space="preserve">Para entender melhor o contexto de formação dos estudantes de Pedagogia na perspectiva da educação digital e midiática, é necessário ir além dos projetos pedagógicos de curso. Avaliamos como importante ouvir a percepção dos estudantes sobre sua formação, bem como ouvir os coordenadores de curso para entender a questão com mais profundidade. De todo modo, a análise dos documentos reguladores dos cursos nos </w:t>
      </w:r>
      <w:r w:rsidR="00EC5C73" w:rsidRPr="001C57AB">
        <w:rPr>
          <w:rFonts w:ascii="Arial" w:hAnsi="Arial" w:cs="Arial"/>
        </w:rPr>
        <w:t xml:space="preserve">dá pistas </w:t>
      </w:r>
      <w:r w:rsidR="00F7138E" w:rsidRPr="001C57AB">
        <w:rPr>
          <w:rFonts w:ascii="Arial" w:hAnsi="Arial" w:cs="Arial"/>
        </w:rPr>
        <w:t>de que há um</w:t>
      </w:r>
      <w:r w:rsidRPr="001C57AB">
        <w:rPr>
          <w:rFonts w:ascii="Arial" w:hAnsi="Arial" w:cs="Arial"/>
        </w:rPr>
        <w:t xml:space="preserve"> descompasso entre os currículos e a real necessidade das escolas e dos estudantes</w:t>
      </w:r>
      <w:r w:rsidR="00F7138E" w:rsidRPr="001C57AB">
        <w:rPr>
          <w:rFonts w:ascii="Arial" w:hAnsi="Arial" w:cs="Arial"/>
        </w:rPr>
        <w:t xml:space="preserve"> na perspectiva da educação digital</w:t>
      </w:r>
      <w:r w:rsidRPr="001C57AB">
        <w:rPr>
          <w:rFonts w:ascii="Arial" w:hAnsi="Arial" w:cs="Arial"/>
        </w:rPr>
        <w:t xml:space="preserve">. </w:t>
      </w:r>
    </w:p>
    <w:p w14:paraId="638AFACF" w14:textId="77777777" w:rsidR="00295CF0" w:rsidRPr="001C57AB" w:rsidRDefault="00295CF0" w:rsidP="00F26706">
      <w:pPr>
        <w:pStyle w:val="CorpodoTEXTO"/>
        <w:rPr>
          <w:rFonts w:ascii="Arial" w:hAnsi="Arial" w:cs="Arial"/>
        </w:rPr>
      </w:pPr>
    </w:p>
    <w:p w14:paraId="7A45D0F2" w14:textId="77777777" w:rsidR="00C7140C" w:rsidRPr="001C57AB" w:rsidRDefault="00963476" w:rsidP="00C7140C">
      <w:pPr>
        <w:spacing w:after="0" w:line="360" w:lineRule="auto"/>
        <w:jc w:val="both"/>
        <w:rPr>
          <w:rFonts w:ascii="Arial" w:hAnsi="Arial" w:cs="Arial"/>
          <w:b/>
        </w:rPr>
      </w:pPr>
      <w:r w:rsidRPr="001C57AB">
        <w:rPr>
          <w:rFonts w:ascii="Arial" w:hAnsi="Arial" w:cs="Arial"/>
          <w:b/>
        </w:rPr>
        <w:lastRenderedPageBreak/>
        <w:t>Referências bibliográficas</w:t>
      </w:r>
    </w:p>
    <w:p w14:paraId="0060E8E4" w14:textId="5E262449" w:rsidR="00C7140C" w:rsidRPr="001C57AB" w:rsidRDefault="00412C3F" w:rsidP="00C7140C">
      <w:pPr>
        <w:spacing w:after="0" w:line="360" w:lineRule="auto"/>
        <w:jc w:val="both"/>
        <w:rPr>
          <w:rFonts w:ascii="Arial" w:eastAsia="Times New Roman" w:hAnsi="Arial" w:cs="Arial"/>
        </w:rPr>
      </w:pPr>
      <w:r w:rsidRPr="001C57AB">
        <w:rPr>
          <w:rFonts w:ascii="Arial" w:eastAsia="Times New Roman" w:hAnsi="Arial" w:cs="Arial"/>
        </w:rPr>
        <w:t>BARDIN</w:t>
      </w:r>
      <w:r w:rsidR="00C7140C" w:rsidRPr="001C57AB">
        <w:rPr>
          <w:rFonts w:ascii="Arial" w:eastAsia="Times New Roman" w:hAnsi="Arial" w:cs="Arial"/>
        </w:rPr>
        <w:t xml:space="preserve">, L. </w:t>
      </w:r>
      <w:r w:rsidR="00C7140C" w:rsidRPr="001C57AB">
        <w:rPr>
          <w:rFonts w:ascii="Arial" w:eastAsia="Times New Roman" w:hAnsi="Arial" w:cs="Arial"/>
          <w:b/>
          <w:bCs/>
          <w:iCs/>
        </w:rPr>
        <w:t>Análise de conteúdo</w:t>
      </w:r>
      <w:r w:rsidR="00C7140C" w:rsidRPr="001C57AB">
        <w:rPr>
          <w:rFonts w:ascii="Arial" w:eastAsia="Times New Roman" w:hAnsi="Arial" w:cs="Arial"/>
        </w:rPr>
        <w:t xml:space="preserve">. </w:t>
      </w:r>
      <w:r w:rsidR="00C7140C" w:rsidRPr="001C57AB">
        <w:rPr>
          <w:rFonts w:ascii="Arial" w:hAnsi="Arial" w:cs="Arial"/>
        </w:rPr>
        <w:t>São Paulo: Edições 70, 2011</w:t>
      </w:r>
    </w:p>
    <w:p w14:paraId="6B7443CF" w14:textId="4FC10ABB" w:rsidR="00D168D7" w:rsidRPr="001C57AB" w:rsidRDefault="00D168D7" w:rsidP="00C348A9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1C57AB">
        <w:rPr>
          <w:rFonts w:ascii="Arial" w:hAnsi="Arial" w:cs="Arial"/>
          <w:shd w:val="clear" w:color="auto" w:fill="FFFFFF"/>
        </w:rPr>
        <w:t xml:space="preserve">INEP. Diretoria de Estatísticas Educacionais. </w:t>
      </w:r>
      <w:r w:rsidRPr="001C57AB">
        <w:rPr>
          <w:rFonts w:ascii="Arial" w:hAnsi="Arial" w:cs="Arial"/>
          <w:b/>
          <w:shd w:val="clear" w:color="auto" w:fill="FFFFFF"/>
        </w:rPr>
        <w:t>Censo da Educação Superior</w:t>
      </w:r>
      <w:r w:rsidRPr="001C57AB">
        <w:rPr>
          <w:rFonts w:ascii="Arial" w:hAnsi="Arial" w:cs="Arial"/>
          <w:shd w:val="clear" w:color="auto" w:fill="FFFFFF"/>
        </w:rPr>
        <w:t>.</w:t>
      </w:r>
      <w:r w:rsidR="00C5263F" w:rsidRPr="001C57AB">
        <w:rPr>
          <w:rFonts w:ascii="Arial" w:hAnsi="Arial" w:cs="Arial"/>
          <w:shd w:val="clear" w:color="auto" w:fill="FFFFFF"/>
        </w:rPr>
        <w:t xml:space="preserve"> 2021.</w:t>
      </w:r>
    </w:p>
    <w:p w14:paraId="6E0D00E4" w14:textId="6F25A072" w:rsidR="00412C3F" w:rsidRPr="001C57AB" w:rsidRDefault="00412C3F" w:rsidP="00C348A9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1C57AB">
        <w:rPr>
          <w:rFonts w:ascii="Arial" w:hAnsi="Arial" w:cs="Arial"/>
          <w:shd w:val="clear" w:color="auto" w:fill="FFFFFF"/>
        </w:rPr>
        <w:t xml:space="preserve">KENSKI, V. M. </w:t>
      </w:r>
      <w:r w:rsidRPr="001C57AB">
        <w:rPr>
          <w:rFonts w:ascii="Arial" w:hAnsi="Arial" w:cs="Arial"/>
          <w:b/>
          <w:shd w:val="clear" w:color="auto" w:fill="FFFFFF"/>
        </w:rPr>
        <w:t>Educação e tecnologias: o novo ritmo da informação</w:t>
      </w:r>
      <w:r w:rsidRPr="001C57AB">
        <w:rPr>
          <w:rFonts w:ascii="Arial" w:hAnsi="Arial" w:cs="Arial"/>
          <w:shd w:val="clear" w:color="auto" w:fill="FFFFFF"/>
        </w:rPr>
        <w:t>. Campinas: Editora Papirus, 2012. 141p.</w:t>
      </w:r>
    </w:p>
    <w:p w14:paraId="03A5DDB4" w14:textId="5CFDB5AC" w:rsidR="00B46101" w:rsidRPr="001C57AB" w:rsidRDefault="00B46101" w:rsidP="00C348A9">
      <w:pPr>
        <w:spacing w:after="0" w:line="360" w:lineRule="auto"/>
        <w:jc w:val="both"/>
        <w:rPr>
          <w:rFonts w:ascii="Arial" w:hAnsi="Arial" w:cs="Arial"/>
        </w:rPr>
      </w:pPr>
      <w:r w:rsidRPr="001C57AB">
        <w:rPr>
          <w:rFonts w:ascii="Arial" w:hAnsi="Arial" w:cs="Arial"/>
        </w:rPr>
        <w:t xml:space="preserve">GÓMEZ, A. I. Perez. </w:t>
      </w:r>
      <w:r w:rsidRPr="001C57AB">
        <w:rPr>
          <w:rFonts w:ascii="Arial" w:hAnsi="Arial" w:cs="Arial"/>
          <w:b/>
        </w:rPr>
        <w:t>Educação na Era Digital: a escola educativa</w:t>
      </w:r>
      <w:r w:rsidRPr="001C57AB">
        <w:rPr>
          <w:rFonts w:ascii="Arial" w:hAnsi="Arial" w:cs="Arial"/>
        </w:rPr>
        <w:t xml:space="preserve">. Tradução Marisa Guedes. Porto Alegre: Penso, 2015. </w:t>
      </w:r>
    </w:p>
    <w:p w14:paraId="4E626F9B" w14:textId="576CCA9D" w:rsidR="00963476" w:rsidRPr="001C57AB" w:rsidRDefault="00C348A9" w:rsidP="00C348A9">
      <w:pPr>
        <w:spacing w:after="0" w:line="360" w:lineRule="auto"/>
        <w:jc w:val="both"/>
        <w:rPr>
          <w:rFonts w:ascii="Arial" w:hAnsi="Arial" w:cs="Arial"/>
        </w:rPr>
      </w:pPr>
      <w:r w:rsidRPr="001C57AB">
        <w:rPr>
          <w:rFonts w:ascii="Arial" w:hAnsi="Arial" w:cs="Arial"/>
        </w:rPr>
        <w:t xml:space="preserve">ROJO, </w:t>
      </w:r>
      <w:r w:rsidR="00BB34A6" w:rsidRPr="001C57AB">
        <w:rPr>
          <w:rFonts w:ascii="Arial" w:hAnsi="Arial" w:cs="Arial"/>
        </w:rPr>
        <w:t>R</w:t>
      </w:r>
      <w:r w:rsidRPr="001C57AB">
        <w:rPr>
          <w:rFonts w:ascii="Arial" w:hAnsi="Arial" w:cs="Arial"/>
        </w:rPr>
        <w:t xml:space="preserve">. </w:t>
      </w:r>
      <w:r w:rsidRPr="001C57AB">
        <w:rPr>
          <w:rFonts w:ascii="Arial" w:hAnsi="Arial" w:cs="Arial"/>
          <w:b/>
        </w:rPr>
        <w:t>Pedagogia dos multiletramentos: diversidade cultural e de linguagens na escola</w:t>
      </w:r>
      <w:r w:rsidRPr="001C57AB">
        <w:rPr>
          <w:rFonts w:ascii="Arial" w:hAnsi="Arial" w:cs="Arial"/>
        </w:rPr>
        <w:t>. In: ROJO, Roxane; MOURA, Eduardo (org.). Multiletramentos na Escola. São Paulo: Parábola, 2012.</w:t>
      </w:r>
    </w:p>
    <w:p w14:paraId="6B548BB9" w14:textId="45D2B03B" w:rsidR="00022068" w:rsidRPr="001C57AB" w:rsidRDefault="00022068" w:rsidP="00C348A9">
      <w:pPr>
        <w:spacing w:after="0" w:line="360" w:lineRule="auto"/>
        <w:jc w:val="both"/>
        <w:rPr>
          <w:rFonts w:ascii="Arial" w:hAnsi="Arial" w:cs="Arial"/>
        </w:rPr>
      </w:pPr>
      <w:r w:rsidRPr="001C57AB">
        <w:rPr>
          <w:rFonts w:ascii="Arial" w:hAnsi="Arial" w:cs="Arial"/>
        </w:rPr>
        <w:t xml:space="preserve">SANTOS, E. </w:t>
      </w:r>
      <w:r w:rsidRPr="001C57AB">
        <w:rPr>
          <w:rFonts w:ascii="Arial" w:hAnsi="Arial" w:cs="Arial"/>
          <w:b/>
        </w:rPr>
        <w:t>Pesquisa-formação na cibercultura</w:t>
      </w:r>
      <w:r w:rsidRPr="001C57AB">
        <w:rPr>
          <w:rFonts w:ascii="Arial" w:hAnsi="Arial" w:cs="Arial"/>
        </w:rPr>
        <w:t>. Teresina: EDUFPI, 2019.</w:t>
      </w:r>
    </w:p>
    <w:p w14:paraId="5AFCBDFD" w14:textId="77777777" w:rsidR="00C348A9" w:rsidRPr="001C57AB" w:rsidRDefault="00C348A9">
      <w:pPr>
        <w:spacing w:after="0" w:line="360" w:lineRule="auto"/>
        <w:jc w:val="both"/>
        <w:rPr>
          <w:rFonts w:ascii="Arial" w:hAnsi="Arial" w:cs="Arial"/>
        </w:rPr>
      </w:pPr>
    </w:p>
    <w:p w14:paraId="269E1DA5" w14:textId="77777777" w:rsidR="001C57AB" w:rsidRPr="001C57AB" w:rsidRDefault="001C57AB">
      <w:pPr>
        <w:spacing w:after="0" w:line="360" w:lineRule="auto"/>
        <w:jc w:val="both"/>
        <w:rPr>
          <w:rFonts w:ascii="Arial" w:hAnsi="Arial" w:cs="Arial"/>
        </w:rPr>
      </w:pPr>
    </w:p>
    <w:sectPr w:rsidR="001C57AB" w:rsidRPr="001C57AB" w:rsidSect="00442A47">
      <w:headerReference w:type="default" r:id="rId7"/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D6608DF" w16cex:dateUtc="2025-03-28T19:21:00Z"/>
  <w16cex:commentExtensible w16cex:durableId="5DB2D9EC" w16cex:dateUtc="2025-03-28T19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4E226" w14:textId="77777777" w:rsidR="001976F3" w:rsidRDefault="001976F3" w:rsidP="00442A47">
      <w:pPr>
        <w:spacing w:after="0" w:line="240" w:lineRule="auto"/>
      </w:pPr>
      <w:r>
        <w:separator/>
      </w:r>
    </w:p>
  </w:endnote>
  <w:endnote w:type="continuationSeparator" w:id="0">
    <w:p w14:paraId="3E0B3A2C" w14:textId="77777777" w:rsidR="001976F3" w:rsidRDefault="001976F3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8360D" w14:textId="77777777" w:rsidR="001976F3" w:rsidRDefault="001976F3" w:rsidP="00442A47">
      <w:pPr>
        <w:spacing w:after="0" w:line="240" w:lineRule="auto"/>
      </w:pPr>
      <w:r>
        <w:separator/>
      </w:r>
    </w:p>
  </w:footnote>
  <w:footnote w:type="continuationSeparator" w:id="0">
    <w:p w14:paraId="4B2559E7" w14:textId="77777777" w:rsidR="001976F3" w:rsidRDefault="001976F3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80EFD">
    <w:pPr>
      <w:pStyle w:val="Cabealho"/>
      <w:tabs>
        <w:tab w:val="clear" w:pos="8504"/>
      </w:tabs>
      <w:spacing w:after="240"/>
      <w:ind w:right="2268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10183"/>
    <w:rsid w:val="00012C78"/>
    <w:rsid w:val="00022068"/>
    <w:rsid w:val="00022E3F"/>
    <w:rsid w:val="0004186F"/>
    <w:rsid w:val="000450F8"/>
    <w:rsid w:val="00073CE9"/>
    <w:rsid w:val="000969B6"/>
    <w:rsid w:val="000B026E"/>
    <w:rsid w:val="000D34B8"/>
    <w:rsid w:val="000F38A2"/>
    <w:rsid w:val="001141CE"/>
    <w:rsid w:val="00114785"/>
    <w:rsid w:val="00117C7C"/>
    <w:rsid w:val="00122D97"/>
    <w:rsid w:val="001503C2"/>
    <w:rsid w:val="0015212A"/>
    <w:rsid w:val="00171F71"/>
    <w:rsid w:val="001745C9"/>
    <w:rsid w:val="00195B47"/>
    <w:rsid w:val="001976F3"/>
    <w:rsid w:val="001C57AB"/>
    <w:rsid w:val="001F1298"/>
    <w:rsid w:val="001F4920"/>
    <w:rsid w:val="001F6346"/>
    <w:rsid w:val="001F7E4C"/>
    <w:rsid w:val="00201FF0"/>
    <w:rsid w:val="00231412"/>
    <w:rsid w:val="00247279"/>
    <w:rsid w:val="00292612"/>
    <w:rsid w:val="00295CF0"/>
    <w:rsid w:val="002D1B92"/>
    <w:rsid w:val="002E6BF7"/>
    <w:rsid w:val="0035251F"/>
    <w:rsid w:val="00385D34"/>
    <w:rsid w:val="003A6675"/>
    <w:rsid w:val="003A7F6B"/>
    <w:rsid w:val="003B7209"/>
    <w:rsid w:val="003C5828"/>
    <w:rsid w:val="003E3984"/>
    <w:rsid w:val="00407D70"/>
    <w:rsid w:val="00412C3F"/>
    <w:rsid w:val="004159E2"/>
    <w:rsid w:val="0041751D"/>
    <w:rsid w:val="00442A47"/>
    <w:rsid w:val="004469F9"/>
    <w:rsid w:val="0047791D"/>
    <w:rsid w:val="00484FA0"/>
    <w:rsid w:val="004E4F0D"/>
    <w:rsid w:val="004F5C9B"/>
    <w:rsid w:val="004F7670"/>
    <w:rsid w:val="0053749B"/>
    <w:rsid w:val="005556A4"/>
    <w:rsid w:val="0056056E"/>
    <w:rsid w:val="00595A5D"/>
    <w:rsid w:val="005C40DF"/>
    <w:rsid w:val="005D22C0"/>
    <w:rsid w:val="005F415E"/>
    <w:rsid w:val="00610716"/>
    <w:rsid w:val="006119D0"/>
    <w:rsid w:val="006162D4"/>
    <w:rsid w:val="00651D23"/>
    <w:rsid w:val="00674CD2"/>
    <w:rsid w:val="006C1F2B"/>
    <w:rsid w:val="006C6E5E"/>
    <w:rsid w:val="006E5C58"/>
    <w:rsid w:val="00707DBF"/>
    <w:rsid w:val="007459A6"/>
    <w:rsid w:val="00753AF7"/>
    <w:rsid w:val="00764A27"/>
    <w:rsid w:val="00787803"/>
    <w:rsid w:val="00796B91"/>
    <w:rsid w:val="007B0996"/>
    <w:rsid w:val="007D7CA8"/>
    <w:rsid w:val="007F5C85"/>
    <w:rsid w:val="008366BC"/>
    <w:rsid w:val="00854ABE"/>
    <w:rsid w:val="00877A17"/>
    <w:rsid w:val="00886864"/>
    <w:rsid w:val="008B3108"/>
    <w:rsid w:val="008B459E"/>
    <w:rsid w:val="008D65BF"/>
    <w:rsid w:val="008F5A13"/>
    <w:rsid w:val="009030E6"/>
    <w:rsid w:val="00903A33"/>
    <w:rsid w:val="00905EB5"/>
    <w:rsid w:val="00926016"/>
    <w:rsid w:val="0095389A"/>
    <w:rsid w:val="00963476"/>
    <w:rsid w:val="00975F19"/>
    <w:rsid w:val="0097729E"/>
    <w:rsid w:val="009B397E"/>
    <w:rsid w:val="009C26A6"/>
    <w:rsid w:val="009D1087"/>
    <w:rsid w:val="009D379A"/>
    <w:rsid w:val="00A1733A"/>
    <w:rsid w:val="00A32DA3"/>
    <w:rsid w:val="00A340AC"/>
    <w:rsid w:val="00A43272"/>
    <w:rsid w:val="00A43C9C"/>
    <w:rsid w:val="00A52D88"/>
    <w:rsid w:val="00A63194"/>
    <w:rsid w:val="00A71E72"/>
    <w:rsid w:val="00AA22FC"/>
    <w:rsid w:val="00AC463E"/>
    <w:rsid w:val="00B14B56"/>
    <w:rsid w:val="00B178CD"/>
    <w:rsid w:val="00B46101"/>
    <w:rsid w:val="00B8551D"/>
    <w:rsid w:val="00BB0226"/>
    <w:rsid w:val="00BB34A6"/>
    <w:rsid w:val="00BC36E1"/>
    <w:rsid w:val="00BD5789"/>
    <w:rsid w:val="00C21B9E"/>
    <w:rsid w:val="00C348A9"/>
    <w:rsid w:val="00C44EB9"/>
    <w:rsid w:val="00C5263F"/>
    <w:rsid w:val="00C529E4"/>
    <w:rsid w:val="00C54618"/>
    <w:rsid w:val="00C70DAE"/>
    <w:rsid w:val="00C7140C"/>
    <w:rsid w:val="00C861F2"/>
    <w:rsid w:val="00CA125F"/>
    <w:rsid w:val="00CD54ED"/>
    <w:rsid w:val="00CF1F64"/>
    <w:rsid w:val="00D11C4C"/>
    <w:rsid w:val="00D168D7"/>
    <w:rsid w:val="00D16DF4"/>
    <w:rsid w:val="00D24E43"/>
    <w:rsid w:val="00D374AC"/>
    <w:rsid w:val="00D80EFD"/>
    <w:rsid w:val="00D86565"/>
    <w:rsid w:val="00DB083C"/>
    <w:rsid w:val="00DC3413"/>
    <w:rsid w:val="00DF2D46"/>
    <w:rsid w:val="00DF6F1F"/>
    <w:rsid w:val="00E15330"/>
    <w:rsid w:val="00E20D58"/>
    <w:rsid w:val="00E4058C"/>
    <w:rsid w:val="00E631E6"/>
    <w:rsid w:val="00E97EB9"/>
    <w:rsid w:val="00EA2F26"/>
    <w:rsid w:val="00EC5C73"/>
    <w:rsid w:val="00ED2555"/>
    <w:rsid w:val="00F26706"/>
    <w:rsid w:val="00F334D0"/>
    <w:rsid w:val="00F6184A"/>
    <w:rsid w:val="00F7138E"/>
    <w:rsid w:val="00F908AA"/>
    <w:rsid w:val="00FA180B"/>
    <w:rsid w:val="00FA414F"/>
    <w:rsid w:val="00FC28F5"/>
    <w:rsid w:val="00FF45FF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customStyle="1" w:styleId="Estilo1">
    <w:name w:val="Estilo1"/>
    <w:basedOn w:val="Normal"/>
    <w:qFormat/>
    <w:rsid w:val="00F26706"/>
    <w:pPr>
      <w:spacing w:before="240" w:after="120" w:line="360" w:lineRule="auto"/>
      <w:jc w:val="both"/>
    </w:pPr>
    <w:rPr>
      <w:rFonts w:ascii="Times New Roman" w:eastAsia="Times New Roman" w:hAnsi="Times New Roman" w:cs="Times New Roman"/>
      <w:b/>
      <w:kern w:val="0"/>
      <w:lang w:eastAsia="pt-BR"/>
      <w14:ligatures w14:val="none"/>
    </w:rPr>
  </w:style>
  <w:style w:type="paragraph" w:customStyle="1" w:styleId="Citaolonga">
    <w:name w:val="Citação longa"/>
    <w:basedOn w:val="Normal"/>
    <w:qFormat/>
    <w:rsid w:val="00F26706"/>
    <w:pPr>
      <w:shd w:val="clear" w:color="auto" w:fill="FFFFFF"/>
      <w:spacing w:before="240" w:after="360" w:line="240" w:lineRule="auto"/>
      <w:ind w:left="851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CorpodoTEXTO">
    <w:name w:val="Corpo do TEXTO"/>
    <w:basedOn w:val="Normal"/>
    <w:qFormat/>
    <w:rsid w:val="00F2670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1F634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634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F6346"/>
    <w:rPr>
      <w:color w:val="96607D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96B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6B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6B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B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B9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908A-1F87-42DB-96E4-51F08B81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1513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Usuario</cp:lastModifiedBy>
  <cp:revision>2</cp:revision>
  <dcterms:created xsi:type="dcterms:W3CDTF">2025-03-28T20:56:00Z</dcterms:created>
  <dcterms:modified xsi:type="dcterms:W3CDTF">2025-03-28T21:02:00Z</dcterms:modified>
</cp:coreProperties>
</file>