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05A8" w14:textId="1FCCB263" w:rsidR="007E74D8" w:rsidRDefault="00873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DOENÇA RENAL CRÔNICA: IMPACTO DO TRATAMENTO NA QUALIDADE DE VIDA DOS PORTADORES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A66303" w14:textId="613CE713" w:rsidR="007E74D8" w:rsidRPr="00860A49" w:rsidRDefault="00BF2EFA" w:rsidP="0037720A">
      <w:pPr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A837CD" w:rsidRPr="00A837CD">
        <w:rPr>
          <w:rFonts w:ascii="Times New Roman" w:hAnsi="Times New Roman" w:cs="Times New Roman"/>
          <w:bCs/>
          <w:color w:val="000000"/>
          <w:sz w:val="20"/>
          <w:szCs w:val="20"/>
        </w:rPr>
        <w:t>O aumento da expectativa de vida da população provoca o aumento de doenças crônicas não transmissíveis, dentre elas a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doença renal crônica (DRC), que consiste na perda progressiva da função renal, sendo também uma doença irreversível. No qual gera diversas repercussões negativas quanto aos aspectos físicos</w:t>
      </w:r>
      <w:r w:rsidR="0087367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social </w:t>
      </w:r>
      <w:r w:rsidR="00873679">
        <w:rPr>
          <w:rFonts w:ascii="Times New Roman" w:hAnsi="Times New Roman" w:cs="Times New Roman"/>
          <w:color w:val="000000"/>
          <w:sz w:val="20"/>
          <w:szCs w:val="20"/>
        </w:rPr>
        <w:t xml:space="preserve">e principalmente mental 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do paciente, impactando diretamente à sua qualidade de vida. </w:t>
      </w:r>
      <w:r w:rsidR="00A837CD" w:rsidRPr="00A837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Objetivo: 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Apresentar o impacto na qualidade de vida que 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>os tratamentos para a doença renal crônica podem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gerar. </w:t>
      </w:r>
      <w:r w:rsidR="00A837CD" w:rsidRPr="00A837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Metodologia: </w:t>
      </w:r>
      <w:r w:rsidR="00A837CD" w:rsidRPr="00A837CD">
        <w:rPr>
          <w:rFonts w:ascii="Times New Roman" w:hAnsi="Times New Roman" w:cs="Times New Roman"/>
          <w:sz w:val="20"/>
          <w:szCs w:val="20"/>
        </w:rPr>
        <w:t>Realizou-se uma revisão integrativa de literatura, formulou-se a indagação norteadora: O que existe publicado na literatura científica, no período de 2015 a 2023, relacionado ao impacto na qualidade de vida e o tratamento para portadores de doença renal cônica?</w:t>
      </w:r>
      <w:r w:rsidR="00D56289">
        <w:rPr>
          <w:rFonts w:ascii="Times New Roman" w:hAnsi="Times New Roman" w:cs="Times New Roman"/>
          <w:sz w:val="20"/>
          <w:szCs w:val="20"/>
        </w:rPr>
        <w:t xml:space="preserve"> </w:t>
      </w:r>
      <w:r w:rsidR="00D56289">
        <w:rPr>
          <w:rFonts w:ascii="Times New Roman" w:hAnsi="Times New Roman" w:cs="Times New Roman"/>
          <w:sz w:val="20"/>
          <w:szCs w:val="20"/>
        </w:rPr>
        <w:t>Para aprimoramento das buscas foram utilizados os descritores intercalados com operadores booleanos “Doença renal crônica” AND “Qualidade de vida”</w:t>
      </w:r>
      <w:r w:rsidR="00D56289">
        <w:rPr>
          <w:rFonts w:ascii="Times New Roman" w:hAnsi="Times New Roman" w:cs="Times New Roman"/>
          <w:sz w:val="20"/>
          <w:szCs w:val="20"/>
        </w:rPr>
        <w:t xml:space="preserve"> </w:t>
      </w:r>
      <w:r w:rsidR="00A837CD" w:rsidRPr="00A837CD">
        <w:rPr>
          <w:rFonts w:ascii="Times New Roman" w:hAnsi="Times New Roman" w:cs="Times New Roman"/>
          <w:sz w:val="20"/>
          <w:szCs w:val="20"/>
        </w:rPr>
        <w:t>na base de dados bibliográficos Sistema Online de Busca e Análise de Literatura Médica (</w:t>
      </w:r>
      <w:proofErr w:type="spellStart"/>
      <w:r w:rsidR="00A837CD" w:rsidRPr="00A837CD">
        <w:rPr>
          <w:rFonts w:ascii="Times New Roman" w:hAnsi="Times New Roman" w:cs="Times New Roman"/>
          <w:sz w:val="20"/>
          <w:szCs w:val="20"/>
        </w:rPr>
        <w:t>MedLine</w:t>
      </w:r>
      <w:proofErr w:type="spellEnd"/>
      <w:r w:rsidR="00A837CD" w:rsidRPr="00A837CD">
        <w:rPr>
          <w:rFonts w:ascii="Times New Roman" w:hAnsi="Times New Roman" w:cs="Times New Roman"/>
          <w:sz w:val="20"/>
          <w:szCs w:val="20"/>
        </w:rPr>
        <w:t xml:space="preserve">) e biblioteca digital </w:t>
      </w:r>
      <w:proofErr w:type="spellStart"/>
      <w:r w:rsidR="00A837CD" w:rsidRPr="00A837CD">
        <w:rPr>
          <w:rFonts w:ascii="Times New Roman" w:hAnsi="Times New Roman" w:cs="Times New Roman"/>
          <w:i/>
          <w:iCs/>
          <w:sz w:val="20"/>
          <w:szCs w:val="20"/>
        </w:rPr>
        <w:t>Scientific</w:t>
      </w:r>
      <w:proofErr w:type="spellEnd"/>
      <w:r w:rsidR="00A837CD" w:rsidRPr="00A837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837CD" w:rsidRPr="00A837CD">
        <w:rPr>
          <w:rFonts w:ascii="Times New Roman" w:hAnsi="Times New Roman" w:cs="Times New Roman"/>
          <w:i/>
          <w:iCs/>
          <w:sz w:val="20"/>
          <w:szCs w:val="20"/>
        </w:rPr>
        <w:t>Electronic</w:t>
      </w:r>
      <w:proofErr w:type="spellEnd"/>
      <w:r w:rsidR="00A837CD" w:rsidRPr="00A837CD">
        <w:rPr>
          <w:rFonts w:ascii="Times New Roman" w:hAnsi="Times New Roman" w:cs="Times New Roman"/>
          <w:i/>
          <w:iCs/>
          <w:sz w:val="20"/>
          <w:szCs w:val="20"/>
        </w:rPr>
        <w:t xml:space="preserve"> Library Online</w:t>
      </w:r>
      <w:r w:rsidR="00A837CD" w:rsidRPr="00A837CD">
        <w:rPr>
          <w:rFonts w:ascii="Times New Roman" w:hAnsi="Times New Roman" w:cs="Times New Roman"/>
          <w:sz w:val="20"/>
          <w:szCs w:val="20"/>
        </w:rPr>
        <w:t xml:space="preserve"> (SciELO). </w:t>
      </w:r>
      <w:r w:rsidR="00D56289">
        <w:rPr>
          <w:rFonts w:ascii="Times New Roman" w:hAnsi="Times New Roman" w:cs="Times New Roman"/>
          <w:sz w:val="20"/>
          <w:szCs w:val="20"/>
        </w:rPr>
        <w:t>Foi utilizado como c</w:t>
      </w:r>
      <w:r w:rsidR="00A837CD" w:rsidRPr="00A837CD">
        <w:rPr>
          <w:rFonts w:ascii="Times New Roman" w:hAnsi="Times New Roman" w:cs="Times New Roman"/>
          <w:sz w:val="20"/>
          <w:szCs w:val="20"/>
        </w:rPr>
        <w:t>ritérios de seleção: estudos disponíveis completos gratuitamente no idioma português, inglês e espanhol,</w:t>
      </w:r>
      <w:r w:rsidR="00D56289">
        <w:rPr>
          <w:rFonts w:ascii="Times New Roman" w:hAnsi="Times New Roman" w:cs="Times New Roman"/>
          <w:sz w:val="20"/>
          <w:szCs w:val="20"/>
        </w:rPr>
        <w:t xml:space="preserve"> e</w:t>
      </w:r>
      <w:r w:rsidR="00A837CD" w:rsidRPr="00A837CD">
        <w:rPr>
          <w:rFonts w:ascii="Times New Roman" w:hAnsi="Times New Roman" w:cs="Times New Roman"/>
          <w:sz w:val="20"/>
          <w:szCs w:val="20"/>
        </w:rPr>
        <w:t xml:space="preserve"> como critérios de exclusão: estudos duplicados, </w:t>
      </w:r>
      <w:r w:rsidR="00D56289">
        <w:rPr>
          <w:rFonts w:ascii="Times New Roman" w:hAnsi="Times New Roman" w:cs="Times New Roman"/>
          <w:sz w:val="20"/>
          <w:szCs w:val="20"/>
        </w:rPr>
        <w:t>dissertações,</w:t>
      </w:r>
      <w:r w:rsidR="00A837CD" w:rsidRPr="00A837CD">
        <w:rPr>
          <w:rFonts w:ascii="Times New Roman" w:hAnsi="Times New Roman" w:cs="Times New Roman"/>
          <w:sz w:val="20"/>
          <w:szCs w:val="20"/>
        </w:rPr>
        <w:t xml:space="preserve"> teses e editoriais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A837CD" w:rsidRPr="00A837CD">
        <w:rPr>
          <w:rFonts w:ascii="Times New Roman" w:hAnsi="Times New Roman" w:cs="Times New Roman"/>
          <w:b/>
          <w:color w:val="000000"/>
          <w:sz w:val="20"/>
          <w:szCs w:val="20"/>
        </w:rPr>
        <w:t>Resultados:</w:t>
      </w:r>
      <w:r w:rsidR="00A837CD" w:rsidRPr="00A837CD">
        <w:rPr>
          <w:rFonts w:ascii="Times New Roman" w:hAnsi="Times New Roman" w:cs="Times New Roman"/>
          <w:sz w:val="20"/>
          <w:szCs w:val="20"/>
        </w:rPr>
        <w:t xml:space="preserve"> foram encontrados 216 estudos, destes foram incluídos seis na presente revisão, que trataram sobre o impacto que a doença renal crônica provoca na qualidade de vida dos pacientes. Percebe-se que os paciente que mais são acometidos pela DRC são pessoas com a faixa etária entre 40 e 60 anos e em sua maioria homens, e 20% desconheciam o fator desencadeante. Além disso estudos mostram que a depressão está três vezes mais presente em pacientes com a doença renal crônica em estado avançado do que na população geral e isso está diretamente ligada a qualidade de vida </w:t>
      </w:r>
      <w:r w:rsidR="00A837CD" w:rsidRPr="00A837CD">
        <w:rPr>
          <w:rFonts w:ascii="Times New Roman" w:hAnsi="Times New Roman" w:cs="Times New Roman"/>
          <w:sz w:val="20"/>
          <w:szCs w:val="20"/>
        </w:rPr>
        <w:t>destes pacientes</w:t>
      </w:r>
      <w:r w:rsidR="00A837CD" w:rsidRPr="00A837CD">
        <w:rPr>
          <w:rFonts w:ascii="Times New Roman" w:hAnsi="Times New Roman" w:cs="Times New Roman"/>
          <w:sz w:val="20"/>
          <w:szCs w:val="20"/>
        </w:rPr>
        <w:t>, já que existem diversas limitações nos afazeres cotidianos.</w:t>
      </w:r>
      <w:r w:rsidR="00A837CD">
        <w:rPr>
          <w:rFonts w:ascii="Times New Roman" w:hAnsi="Times New Roman" w:cs="Times New Roman"/>
          <w:sz w:val="20"/>
          <w:szCs w:val="20"/>
        </w:rPr>
        <w:t xml:space="preserve"> </w:t>
      </w:r>
      <w:r w:rsidR="00A837CD" w:rsidRPr="00A837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Considerações Finais: 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>Conclui-se que a DRC gera grandes impactos na qualidade de vida de seus portadores, sendo elas físicas, sociais e psicológicas</w:t>
      </w:r>
      <w:r w:rsidR="00873679">
        <w:rPr>
          <w:rFonts w:ascii="Times New Roman" w:hAnsi="Times New Roman" w:cs="Times New Roman"/>
          <w:color w:val="000000"/>
          <w:sz w:val="20"/>
          <w:szCs w:val="20"/>
        </w:rPr>
        <w:t>. Pode-se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73679">
        <w:rPr>
          <w:rFonts w:ascii="Times New Roman" w:hAnsi="Times New Roman" w:cs="Times New Roman"/>
          <w:color w:val="000000"/>
          <w:sz w:val="20"/>
          <w:szCs w:val="20"/>
        </w:rPr>
        <w:t>com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>prova</w:t>
      </w:r>
      <w:r w:rsidR="00873679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que pacientes com baixa qualidade de vida tem predisposição a ter comorbidades psiquiátricas, como a depressão que está associada com o grau em que a doença se encontra, </w:t>
      </w:r>
      <w:r w:rsidR="00873679">
        <w:rPr>
          <w:rFonts w:ascii="Times New Roman" w:hAnsi="Times New Roman" w:cs="Times New Roman"/>
          <w:color w:val="000000"/>
          <w:sz w:val="20"/>
          <w:szCs w:val="20"/>
        </w:rPr>
        <w:t xml:space="preserve">no qual é </w:t>
      </w:r>
      <w:r w:rsidR="00873679" w:rsidRPr="00A837CD">
        <w:rPr>
          <w:rFonts w:ascii="Times New Roman" w:hAnsi="Times New Roman" w:cs="Times New Roman"/>
          <w:color w:val="000000"/>
          <w:sz w:val="20"/>
          <w:szCs w:val="20"/>
        </w:rPr>
        <w:t>necessária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a intervenção </w:t>
      </w:r>
      <w:r w:rsidR="00873679">
        <w:rPr>
          <w:rFonts w:ascii="Times New Roman" w:hAnsi="Times New Roman" w:cs="Times New Roman"/>
          <w:color w:val="000000"/>
          <w:sz w:val="20"/>
          <w:szCs w:val="20"/>
        </w:rPr>
        <w:t>com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atividades</w:t>
      </w:r>
      <w:r w:rsidR="00873679">
        <w:rPr>
          <w:rFonts w:ascii="Times New Roman" w:hAnsi="Times New Roman" w:cs="Times New Roman"/>
          <w:color w:val="000000"/>
          <w:sz w:val="20"/>
          <w:szCs w:val="20"/>
        </w:rPr>
        <w:t xml:space="preserve"> de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motivação</w:t>
      </w:r>
      <w:r w:rsidR="00873679">
        <w:rPr>
          <w:rFonts w:ascii="Times New Roman" w:hAnsi="Times New Roman" w:cs="Times New Roman"/>
          <w:color w:val="000000"/>
          <w:sz w:val="20"/>
          <w:szCs w:val="20"/>
        </w:rPr>
        <w:t xml:space="preserve"> e física, e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suporte da equipe de saúde, que devem ser bem capacitados para reconhecer as manifestações iniciais de algum problema psicológico, já que uma boa saúde mental interfere em um bom prognóstico.</w:t>
      </w:r>
    </w:p>
    <w:p w14:paraId="72311C97" w14:textId="56E22369" w:rsidR="007E74D8" w:rsidRDefault="00BF2E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8736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Doenças crônicas.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736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Nefrologia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8736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Qualidade de vida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6122B707" w14:textId="77777777" w:rsidR="007E74D8" w:rsidRDefault="007E74D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D8"/>
    <w:rsid w:val="00212FE2"/>
    <w:rsid w:val="002D63AF"/>
    <w:rsid w:val="002E7A82"/>
    <w:rsid w:val="0037720A"/>
    <w:rsid w:val="00541714"/>
    <w:rsid w:val="00622903"/>
    <w:rsid w:val="0079502F"/>
    <w:rsid w:val="007E74D8"/>
    <w:rsid w:val="00860A49"/>
    <w:rsid w:val="00873679"/>
    <w:rsid w:val="008A7836"/>
    <w:rsid w:val="00A837CD"/>
    <w:rsid w:val="00BF2EFA"/>
    <w:rsid w:val="00BF40A0"/>
    <w:rsid w:val="00D56289"/>
    <w:rsid w:val="00EF5406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Júlia Dourado</cp:lastModifiedBy>
  <cp:revision>4</cp:revision>
  <cp:lastPrinted>2023-06-19T17:59:00Z</cp:lastPrinted>
  <dcterms:created xsi:type="dcterms:W3CDTF">2024-05-23T00:50:00Z</dcterms:created>
  <dcterms:modified xsi:type="dcterms:W3CDTF">2024-05-23T00:51:00Z</dcterms:modified>
</cp:coreProperties>
</file>