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A5F525" w14:textId="77777777" w:rsidR="00C12CB7" w:rsidRDefault="00C12CB7">
      <w:pPr>
        <w:widowControl w:val="0"/>
        <w:pBdr>
          <w:top w:val="nil"/>
          <w:left w:val="nil"/>
          <w:bottom w:val="nil"/>
          <w:right w:val="nil"/>
          <w:between w:val="nil"/>
        </w:pBdr>
        <w:spacing w:after="0" w:line="276" w:lineRule="auto"/>
      </w:pPr>
    </w:p>
    <w:p w14:paraId="3FA5F528" w14:textId="069AB6CC" w:rsidR="00C12CB7" w:rsidRPr="00A70A6F" w:rsidRDefault="00A70A6F">
      <w:pPr>
        <w:spacing w:after="0" w:line="240" w:lineRule="auto"/>
        <w:jc w:val="center"/>
        <w:rPr>
          <w:rFonts w:ascii="Arial" w:eastAsia="Arial" w:hAnsi="Arial" w:cs="Arial"/>
          <w:b/>
          <w:bCs/>
          <w:color w:val="000000" w:themeColor="text1"/>
          <w:sz w:val="28"/>
          <w:szCs w:val="28"/>
        </w:rPr>
      </w:pPr>
      <w:proofErr w:type="spellStart"/>
      <w:r w:rsidRPr="00A70A6F">
        <w:rPr>
          <w:rFonts w:ascii="Arial" w:eastAsia="Arial" w:hAnsi="Arial" w:cs="Arial"/>
          <w:b/>
          <w:bCs/>
          <w:color w:val="000000" w:themeColor="text1"/>
          <w:sz w:val="28"/>
          <w:szCs w:val="28"/>
        </w:rPr>
        <w:t>Feminicídio</w:t>
      </w:r>
      <w:proofErr w:type="spellEnd"/>
      <w:r w:rsidRPr="00A70A6F">
        <w:rPr>
          <w:rFonts w:ascii="Arial" w:eastAsia="Arial" w:hAnsi="Arial" w:cs="Arial"/>
          <w:b/>
          <w:bCs/>
          <w:color w:val="000000" w:themeColor="text1"/>
          <w:sz w:val="28"/>
          <w:szCs w:val="28"/>
        </w:rPr>
        <w:t>: discriminações nos processos judiciais e julgamento com perspectiva de gênero</w:t>
      </w:r>
    </w:p>
    <w:p w14:paraId="16E4EF32" w14:textId="77777777" w:rsidR="00A70A6F" w:rsidRDefault="00A70A6F">
      <w:pPr>
        <w:widowControl w:val="0"/>
        <w:tabs>
          <w:tab w:val="left" w:pos="0"/>
          <w:tab w:val="left" w:pos="3921"/>
          <w:tab w:val="left" w:pos="8504"/>
        </w:tabs>
        <w:spacing w:before="15" w:after="0" w:line="240" w:lineRule="auto"/>
        <w:jc w:val="right"/>
        <w:rPr>
          <w:rFonts w:ascii="Arial" w:eastAsia="Arial" w:hAnsi="Arial" w:cs="Arial"/>
          <w:sz w:val="24"/>
          <w:szCs w:val="24"/>
        </w:rPr>
      </w:pPr>
    </w:p>
    <w:p w14:paraId="3FA5F529" w14:textId="78635C9D" w:rsidR="00C12CB7" w:rsidRDefault="00A70A6F">
      <w:pPr>
        <w:widowControl w:val="0"/>
        <w:tabs>
          <w:tab w:val="left" w:pos="0"/>
          <w:tab w:val="left" w:pos="3921"/>
          <w:tab w:val="left" w:pos="8504"/>
        </w:tabs>
        <w:spacing w:before="15" w:after="0" w:line="240" w:lineRule="auto"/>
        <w:jc w:val="right"/>
        <w:rPr>
          <w:rFonts w:ascii="Arial" w:eastAsia="Arial" w:hAnsi="Arial" w:cs="Arial"/>
          <w:sz w:val="24"/>
          <w:szCs w:val="24"/>
        </w:rPr>
      </w:pPr>
      <w:r>
        <w:rPr>
          <w:rFonts w:ascii="Arial" w:eastAsia="Arial" w:hAnsi="Arial" w:cs="Arial"/>
          <w:sz w:val="24"/>
          <w:szCs w:val="24"/>
        </w:rPr>
        <w:t>Lívia de Meira Lima Paiva</w:t>
      </w:r>
      <w:r w:rsidR="00D73843">
        <w:rPr>
          <w:rFonts w:ascii="Arial" w:eastAsia="Arial" w:hAnsi="Arial" w:cs="Arial"/>
          <w:sz w:val="24"/>
          <w:szCs w:val="24"/>
        </w:rPr>
        <w:t>;</w:t>
      </w:r>
      <w:r>
        <w:rPr>
          <w:rFonts w:ascii="Arial" w:eastAsia="Arial" w:hAnsi="Arial" w:cs="Arial"/>
          <w:sz w:val="24"/>
          <w:szCs w:val="24"/>
        </w:rPr>
        <w:t xml:space="preserve"> Mestre</w:t>
      </w:r>
    </w:p>
    <w:p w14:paraId="3FA5F530" w14:textId="6821DFBF" w:rsidR="00C12CB7" w:rsidRDefault="00A70A6F" w:rsidP="00A70A6F">
      <w:pPr>
        <w:widowControl w:val="0"/>
        <w:tabs>
          <w:tab w:val="left" w:pos="0"/>
          <w:tab w:val="left" w:pos="3921"/>
          <w:tab w:val="left" w:pos="8504"/>
        </w:tabs>
        <w:spacing w:before="15" w:after="0" w:line="240" w:lineRule="auto"/>
        <w:jc w:val="right"/>
        <w:rPr>
          <w:rFonts w:ascii="Arial" w:eastAsia="Arial" w:hAnsi="Arial" w:cs="Arial"/>
          <w:color w:val="000000"/>
          <w:sz w:val="24"/>
          <w:szCs w:val="24"/>
          <w:vertAlign w:val="superscript"/>
        </w:rPr>
      </w:pPr>
      <w:r>
        <w:rPr>
          <w:rFonts w:ascii="Arial" w:eastAsia="Arial" w:hAnsi="Arial" w:cs="Arial"/>
          <w:sz w:val="24"/>
          <w:szCs w:val="24"/>
        </w:rPr>
        <w:t>IFRJ</w:t>
      </w:r>
      <w:r w:rsidR="00D73843">
        <w:rPr>
          <w:rFonts w:ascii="Arial" w:eastAsia="Arial" w:hAnsi="Arial" w:cs="Arial"/>
          <w:sz w:val="24"/>
          <w:szCs w:val="24"/>
        </w:rPr>
        <w:t>;</w:t>
      </w:r>
      <w:r>
        <w:rPr>
          <w:rFonts w:ascii="Arial" w:eastAsia="Arial" w:hAnsi="Arial" w:cs="Arial"/>
          <w:sz w:val="24"/>
          <w:szCs w:val="24"/>
        </w:rPr>
        <w:t xml:space="preserve"> livia.paiva@ifrj.edu.br</w:t>
      </w:r>
      <w:r w:rsidR="00D73843">
        <w:rPr>
          <w:rFonts w:ascii="Arial" w:eastAsia="Arial" w:hAnsi="Arial" w:cs="Arial"/>
          <w:sz w:val="24"/>
          <w:szCs w:val="24"/>
        </w:rPr>
        <w:t>;</w:t>
      </w:r>
      <w:r w:rsidR="00D73843">
        <w:rPr>
          <w:rFonts w:ascii="Arial" w:eastAsia="Arial" w:hAnsi="Arial" w:cs="Arial"/>
          <w:color w:val="000000"/>
          <w:sz w:val="24"/>
          <w:szCs w:val="24"/>
          <w:vertAlign w:val="superscript"/>
        </w:rPr>
        <w:t xml:space="preserve"> </w:t>
      </w:r>
    </w:p>
    <w:p w14:paraId="3FA5F533" w14:textId="77777777" w:rsidR="00C12CB7" w:rsidRDefault="00C12CB7">
      <w:pPr>
        <w:widowControl w:val="0"/>
        <w:spacing w:before="6" w:after="0" w:line="420" w:lineRule="auto"/>
        <w:jc w:val="both"/>
        <w:rPr>
          <w:rFonts w:ascii="Times New Roman" w:eastAsia="Times New Roman" w:hAnsi="Times New Roman" w:cs="Times New Roman"/>
          <w:color w:val="006FC0"/>
          <w:sz w:val="24"/>
          <w:szCs w:val="24"/>
        </w:rPr>
      </w:pPr>
    </w:p>
    <w:p w14:paraId="3FA5F535" w14:textId="1348B6B6" w:rsidR="00C12CB7" w:rsidRPr="00562028" w:rsidRDefault="00D73843" w:rsidP="00A70A6F">
      <w:pPr>
        <w:widowControl w:val="0"/>
        <w:spacing w:before="6" w:after="0" w:line="420" w:lineRule="auto"/>
        <w:jc w:val="both"/>
        <w:rPr>
          <w:rFonts w:ascii="Arial" w:eastAsia="Arial" w:hAnsi="Arial" w:cs="Arial"/>
          <w:b/>
          <w:color w:val="000000" w:themeColor="text1"/>
          <w:sz w:val="24"/>
          <w:szCs w:val="24"/>
        </w:rPr>
      </w:pPr>
      <w:r>
        <w:rPr>
          <w:rFonts w:ascii="Arial" w:eastAsia="Arial" w:hAnsi="Arial" w:cs="Arial"/>
          <w:b/>
          <w:sz w:val="24"/>
          <w:szCs w:val="24"/>
        </w:rPr>
        <w:t>RESUMO</w:t>
      </w:r>
      <w:bookmarkStart w:id="0" w:name="_heading=h.gjdgxs" w:colFirst="0" w:colLast="0"/>
      <w:bookmarkEnd w:id="0"/>
    </w:p>
    <w:p w14:paraId="300A6549" w14:textId="75DC6A1C" w:rsidR="00562028" w:rsidRDefault="00A70A6F" w:rsidP="00562028">
      <w:pPr>
        <w:pStyle w:val="NormalWeb"/>
        <w:spacing w:line="360" w:lineRule="auto"/>
        <w:ind w:firstLine="709"/>
        <w:jc w:val="both"/>
        <w:rPr>
          <w:rFonts w:ascii="Arial" w:hAnsi="Arial" w:cs="Arial"/>
          <w:color w:val="000000" w:themeColor="text1"/>
        </w:rPr>
      </w:pPr>
      <w:r w:rsidRPr="00562028">
        <w:rPr>
          <w:rFonts w:ascii="Arial" w:hAnsi="Arial" w:cs="Arial"/>
          <w:color w:val="000000" w:themeColor="text1"/>
        </w:rPr>
        <w:t xml:space="preserve">Este trabalho tem como objetivo apresentar alguns apontamentos sobre a produção e reprodução de estereótipos nos julgamentos de casos que envolveram </w:t>
      </w:r>
      <w:proofErr w:type="spellStart"/>
      <w:r w:rsidRPr="00562028">
        <w:rPr>
          <w:rFonts w:ascii="Arial" w:hAnsi="Arial" w:cs="Arial"/>
          <w:color w:val="000000" w:themeColor="text1"/>
        </w:rPr>
        <w:t>feminicídio</w:t>
      </w:r>
      <w:proofErr w:type="spellEnd"/>
      <w:r w:rsidRPr="00562028">
        <w:rPr>
          <w:rFonts w:ascii="Arial" w:hAnsi="Arial" w:cs="Arial"/>
          <w:color w:val="000000" w:themeColor="text1"/>
        </w:rPr>
        <w:t xml:space="preserve"> e foram julgados pelo Tribunal de Justiça do Estado do Rio de Janeiro, tais como: apagamento de violências</w:t>
      </w:r>
      <w:r w:rsidRPr="00562028">
        <w:rPr>
          <w:rFonts w:ascii="Arial" w:hAnsi="Arial" w:cs="Arial"/>
          <w:color w:val="000000" w:themeColor="text1"/>
        </w:rPr>
        <w:t>º</w:t>
      </w:r>
      <w:r w:rsidRPr="00562028">
        <w:rPr>
          <w:rFonts w:ascii="Arial" w:hAnsi="Arial" w:cs="Arial"/>
          <w:color w:val="000000" w:themeColor="text1"/>
        </w:rPr>
        <w:t xml:space="preserve"> interseccionais, como o </w:t>
      </w:r>
      <w:proofErr w:type="spellStart"/>
      <w:r w:rsidRPr="00562028">
        <w:rPr>
          <w:rFonts w:ascii="Arial" w:hAnsi="Arial" w:cs="Arial"/>
          <w:color w:val="000000" w:themeColor="text1"/>
        </w:rPr>
        <w:t>lesbocídio</w:t>
      </w:r>
      <w:proofErr w:type="spellEnd"/>
      <w:r w:rsidRPr="00562028">
        <w:rPr>
          <w:rFonts w:ascii="Arial" w:hAnsi="Arial" w:cs="Arial"/>
          <w:color w:val="000000" w:themeColor="text1"/>
        </w:rPr>
        <w:t xml:space="preserve">, a utilização de estereótipos nos processos que julgam a vítima e não o agressor, a </w:t>
      </w:r>
      <w:proofErr w:type="spellStart"/>
      <w:r w:rsidRPr="00562028">
        <w:rPr>
          <w:rFonts w:ascii="Arial" w:hAnsi="Arial" w:cs="Arial"/>
          <w:color w:val="000000" w:themeColor="text1"/>
        </w:rPr>
        <w:t>revitimização</w:t>
      </w:r>
      <w:proofErr w:type="spellEnd"/>
      <w:r w:rsidRPr="00562028">
        <w:rPr>
          <w:rFonts w:ascii="Arial" w:hAnsi="Arial" w:cs="Arial"/>
          <w:color w:val="000000" w:themeColor="text1"/>
        </w:rPr>
        <w:t xml:space="preserve">, entre outros. </w:t>
      </w:r>
      <w:r w:rsidR="00562028">
        <w:rPr>
          <w:rFonts w:ascii="Arial" w:hAnsi="Arial" w:cs="Arial"/>
          <w:color w:val="000000" w:themeColor="text1"/>
        </w:rPr>
        <w:t>Trata-se de parte da investigação doutoral da autora.</w:t>
      </w:r>
    </w:p>
    <w:p w14:paraId="18484DDF" w14:textId="5FC1FCC1" w:rsidR="00A70A6F" w:rsidRPr="00562028" w:rsidRDefault="00A70A6F" w:rsidP="00562028">
      <w:pPr>
        <w:pStyle w:val="NormalWeb"/>
        <w:spacing w:line="360" w:lineRule="auto"/>
        <w:ind w:firstLine="709"/>
        <w:jc w:val="both"/>
        <w:rPr>
          <w:rFonts w:ascii="Arial" w:hAnsi="Arial" w:cs="Arial"/>
          <w:color w:val="000000" w:themeColor="text1"/>
        </w:rPr>
      </w:pPr>
      <w:r w:rsidRPr="00562028">
        <w:rPr>
          <w:rFonts w:ascii="Arial" w:hAnsi="Arial" w:cs="Arial"/>
          <w:color w:val="000000" w:themeColor="text1"/>
        </w:rPr>
        <w:t xml:space="preserve">A segunda parte da apresentação visa refletir sobre os processos analisados e a necessidade de implementação de procedimentos que busquem a introdução de perspectiva de gênero e raça nos julgados. Isto porque consideramos o julgamento que não leva em consideração as assimetrias existentes entre os sujeitos envolvidos nos conflitos para analisar o caso incorre em grave erro, reproduzindo e </w:t>
      </w:r>
      <w:proofErr w:type="spellStart"/>
      <w:r w:rsidRPr="00562028">
        <w:rPr>
          <w:rFonts w:ascii="Arial" w:hAnsi="Arial" w:cs="Arial"/>
          <w:color w:val="000000" w:themeColor="text1"/>
        </w:rPr>
        <w:t>invisibilizando</w:t>
      </w:r>
      <w:proofErr w:type="spellEnd"/>
      <w:r w:rsidRPr="00562028">
        <w:rPr>
          <w:rFonts w:ascii="Arial" w:hAnsi="Arial" w:cs="Arial"/>
          <w:color w:val="000000" w:themeColor="text1"/>
        </w:rPr>
        <w:t xml:space="preserve"> as violências das quais as mulheres foram vítimas. </w:t>
      </w:r>
    </w:p>
    <w:p w14:paraId="5CB129CB" w14:textId="74D5FD52" w:rsidR="00562028" w:rsidRPr="00562028" w:rsidRDefault="00A70A6F" w:rsidP="00562028">
      <w:pPr>
        <w:spacing w:line="360" w:lineRule="auto"/>
        <w:ind w:firstLine="709"/>
        <w:jc w:val="both"/>
        <w:rPr>
          <w:rFonts w:ascii="Arial" w:hAnsi="Arial" w:cs="Arial"/>
          <w:color w:val="000000" w:themeColor="text1"/>
          <w:sz w:val="24"/>
          <w:szCs w:val="24"/>
        </w:rPr>
      </w:pPr>
      <w:r w:rsidRPr="00562028">
        <w:rPr>
          <w:rFonts w:ascii="Arial" w:hAnsi="Arial" w:cs="Arial"/>
          <w:color w:val="000000" w:themeColor="text1"/>
          <w:sz w:val="24"/>
          <w:szCs w:val="24"/>
        </w:rPr>
        <w:t xml:space="preserve">A metodologia utilizada é a </w:t>
      </w:r>
      <w:proofErr w:type="spellStart"/>
      <w:r w:rsidRPr="00562028">
        <w:rPr>
          <w:rFonts w:ascii="Arial" w:hAnsi="Arial" w:cs="Arial"/>
          <w:color w:val="000000" w:themeColor="text1"/>
          <w:sz w:val="24"/>
          <w:szCs w:val="24"/>
        </w:rPr>
        <w:t>Grounded</w:t>
      </w:r>
      <w:proofErr w:type="spellEnd"/>
      <w:r w:rsidRPr="00562028">
        <w:rPr>
          <w:rFonts w:ascii="Arial" w:hAnsi="Arial" w:cs="Arial"/>
          <w:color w:val="000000" w:themeColor="text1"/>
          <w:sz w:val="24"/>
          <w:szCs w:val="24"/>
        </w:rPr>
        <w:t xml:space="preserve"> </w:t>
      </w:r>
      <w:proofErr w:type="spellStart"/>
      <w:r w:rsidRPr="00562028">
        <w:rPr>
          <w:rFonts w:ascii="Arial" w:hAnsi="Arial" w:cs="Arial"/>
          <w:color w:val="000000" w:themeColor="text1"/>
          <w:sz w:val="24"/>
          <w:szCs w:val="24"/>
        </w:rPr>
        <w:t>Theory</w:t>
      </w:r>
      <w:proofErr w:type="spellEnd"/>
      <w:r w:rsidRPr="00562028">
        <w:rPr>
          <w:rFonts w:ascii="Arial" w:hAnsi="Arial" w:cs="Arial"/>
          <w:color w:val="000000" w:themeColor="text1"/>
          <w:sz w:val="24"/>
          <w:szCs w:val="24"/>
        </w:rPr>
        <w:t xml:space="preserve"> (GT), também conhecida como Teoria Fundamentada em Dados e foi escolhida por melhor adequar-se aos objetivos e características da pesquisa proposta. </w:t>
      </w:r>
      <w:r w:rsidR="00562028" w:rsidRPr="00562028">
        <w:rPr>
          <w:rFonts w:ascii="Arial" w:hAnsi="Arial" w:cs="Arial"/>
          <w:color w:val="000000" w:themeColor="text1"/>
          <w:sz w:val="24"/>
          <w:szCs w:val="24"/>
        </w:rPr>
        <w:t>D</w:t>
      </w:r>
      <w:r w:rsidR="00562028" w:rsidRPr="00562028">
        <w:rPr>
          <w:rFonts w:ascii="Arial" w:hAnsi="Arial" w:cs="Arial"/>
          <w:color w:val="000000" w:themeColor="text1"/>
          <w:sz w:val="24"/>
          <w:szCs w:val="24"/>
        </w:rPr>
        <w:t xml:space="preserve">esenvolvida por Glaser e Strauss na década de 1960, </w:t>
      </w:r>
      <w:r w:rsidR="00562028" w:rsidRPr="00562028">
        <w:rPr>
          <w:rFonts w:ascii="Arial" w:hAnsi="Arial" w:cs="Arial"/>
          <w:color w:val="000000" w:themeColor="text1"/>
          <w:sz w:val="24"/>
          <w:szCs w:val="24"/>
        </w:rPr>
        <w:t>a GT é</w:t>
      </w:r>
      <w:r w:rsidR="00562028" w:rsidRPr="00562028">
        <w:rPr>
          <w:rFonts w:ascii="Arial" w:hAnsi="Arial" w:cs="Arial"/>
          <w:color w:val="000000" w:themeColor="text1"/>
          <w:sz w:val="24"/>
          <w:szCs w:val="24"/>
        </w:rPr>
        <w:t xml:space="preserve"> um método geral de análise comparativa e um conjunto de procedimentos capazes de gerar – sistematicamente– uma teoria fundamentada nos dados.</w:t>
      </w:r>
      <w:r w:rsidR="00562028" w:rsidRPr="00562028">
        <w:rPr>
          <w:rStyle w:val="Refdenotaderodap"/>
          <w:rFonts w:ascii="Arial" w:hAnsi="Arial" w:cs="Arial"/>
          <w:color w:val="000000" w:themeColor="text1"/>
          <w:sz w:val="24"/>
          <w:szCs w:val="24"/>
        </w:rPr>
        <w:footnoteReference w:id="1"/>
      </w:r>
      <w:r w:rsidR="00562028" w:rsidRPr="00562028">
        <w:rPr>
          <w:rFonts w:ascii="Arial" w:hAnsi="Arial" w:cs="Arial"/>
          <w:color w:val="000000" w:themeColor="text1"/>
          <w:sz w:val="24"/>
          <w:szCs w:val="24"/>
        </w:rPr>
        <w:t xml:space="preserve"> A GT busca </w:t>
      </w:r>
      <w:r w:rsidR="00562028" w:rsidRPr="00562028">
        <w:rPr>
          <w:rFonts w:ascii="Arial" w:eastAsia="GungsuhChe" w:hAnsi="Arial" w:cs="Arial"/>
          <w:color w:val="000000" w:themeColor="text1"/>
          <w:sz w:val="24"/>
          <w:szCs w:val="24"/>
        </w:rPr>
        <w:t xml:space="preserve">compreender o significado das </w:t>
      </w:r>
      <w:r w:rsidR="00562028" w:rsidRPr="00562028">
        <w:rPr>
          <w:rFonts w:ascii="Arial" w:eastAsia="GungsuhChe" w:hAnsi="Arial" w:cs="Arial"/>
          <w:color w:val="000000" w:themeColor="text1"/>
          <w:sz w:val="24"/>
          <w:szCs w:val="24"/>
        </w:rPr>
        <w:lastRenderedPageBreak/>
        <w:t>relações e interações entre os fenômenos sociais, o entendimento da realidade, bem como da vida e da ação humana no mundo real.</w:t>
      </w:r>
    </w:p>
    <w:p w14:paraId="28E01D2F" w14:textId="6CA5F8E5" w:rsidR="00A70A6F" w:rsidRPr="00562028" w:rsidRDefault="00A70A6F" w:rsidP="00562028">
      <w:pPr>
        <w:pStyle w:val="NormalWeb"/>
        <w:spacing w:line="360" w:lineRule="auto"/>
        <w:ind w:firstLine="709"/>
        <w:jc w:val="both"/>
        <w:rPr>
          <w:rFonts w:ascii="Arial" w:hAnsi="Arial" w:cs="Arial"/>
          <w:color w:val="000000" w:themeColor="text1"/>
        </w:rPr>
      </w:pPr>
      <w:r w:rsidRPr="00562028">
        <w:rPr>
          <w:rFonts w:ascii="Arial" w:hAnsi="Arial" w:cs="Arial"/>
          <w:color w:val="000000" w:themeColor="text1"/>
        </w:rPr>
        <w:t>A partir da coleta de dados das decisões e análise no software "</w:t>
      </w:r>
      <w:proofErr w:type="spellStart"/>
      <w:r w:rsidRPr="00562028">
        <w:rPr>
          <w:rFonts w:ascii="Arial" w:hAnsi="Arial" w:cs="Arial"/>
          <w:color w:val="000000" w:themeColor="text1"/>
        </w:rPr>
        <w:t>Atlas.ti</w:t>
      </w:r>
      <w:proofErr w:type="spellEnd"/>
      <w:r w:rsidRPr="00562028">
        <w:rPr>
          <w:rFonts w:ascii="Arial" w:hAnsi="Arial" w:cs="Arial"/>
          <w:color w:val="000000" w:themeColor="text1"/>
        </w:rPr>
        <w:t xml:space="preserve">", foi estruturada uma teoria que reflita sobre o Direito a partir experiências e subjetividades frequentemente </w:t>
      </w:r>
      <w:proofErr w:type="spellStart"/>
      <w:r w:rsidRPr="00562028">
        <w:rPr>
          <w:rFonts w:ascii="Arial" w:hAnsi="Arial" w:cs="Arial"/>
          <w:color w:val="000000" w:themeColor="text1"/>
        </w:rPr>
        <w:t>invisibilizadas</w:t>
      </w:r>
      <w:proofErr w:type="spellEnd"/>
      <w:r w:rsidRPr="00562028">
        <w:rPr>
          <w:rFonts w:ascii="Arial" w:hAnsi="Arial" w:cs="Arial"/>
          <w:color w:val="000000" w:themeColor="text1"/>
        </w:rPr>
        <w:t xml:space="preserve"> na prática jurídica.</w:t>
      </w:r>
    </w:p>
    <w:p w14:paraId="364A4B59" w14:textId="5AA57A5C" w:rsidR="00562028" w:rsidRDefault="00562028" w:rsidP="00562028">
      <w:pPr>
        <w:pStyle w:val="NormalWeb"/>
        <w:spacing w:line="360" w:lineRule="auto"/>
        <w:ind w:firstLine="720"/>
        <w:jc w:val="both"/>
        <w:rPr>
          <w:rFonts w:ascii="Arial" w:hAnsi="Arial" w:cs="Arial"/>
          <w:color w:val="000000" w:themeColor="text1"/>
        </w:rPr>
      </w:pPr>
      <w:r w:rsidRPr="00562028">
        <w:rPr>
          <w:rFonts w:ascii="Arial" w:hAnsi="Arial" w:cs="Arial"/>
          <w:color w:val="000000" w:themeColor="text1"/>
        </w:rPr>
        <w:t xml:space="preserve">A ideia do julgamento com perspectiva de gênero e raça é </w:t>
      </w:r>
      <w:proofErr w:type="spellStart"/>
      <w:r w:rsidRPr="00562028">
        <w:rPr>
          <w:rFonts w:ascii="Arial" w:hAnsi="Arial" w:cs="Arial"/>
          <w:color w:val="000000" w:themeColor="text1"/>
        </w:rPr>
        <w:t>i</w:t>
      </w:r>
      <w:r w:rsidRPr="00562028">
        <w:rPr>
          <w:rFonts w:ascii="Arial" w:hAnsi="Arial" w:cs="Arial"/>
          <w:color w:val="000000" w:themeColor="text1"/>
        </w:rPr>
        <w:t>nscrever</w:t>
      </w:r>
      <w:proofErr w:type="spellEnd"/>
      <w:r w:rsidRPr="00562028">
        <w:rPr>
          <w:rFonts w:ascii="Arial" w:hAnsi="Arial" w:cs="Arial"/>
          <w:color w:val="000000" w:themeColor="text1"/>
        </w:rPr>
        <w:t xml:space="preserve"> o caso na dimensão estrutural: por se tratar de uma </w:t>
      </w:r>
      <w:proofErr w:type="spellStart"/>
      <w:r w:rsidRPr="00562028">
        <w:rPr>
          <w:rFonts w:ascii="Arial" w:hAnsi="Arial" w:cs="Arial"/>
          <w:color w:val="000000" w:themeColor="text1"/>
        </w:rPr>
        <w:t>violência</w:t>
      </w:r>
      <w:proofErr w:type="spellEnd"/>
      <w:r w:rsidRPr="00562028">
        <w:rPr>
          <w:rFonts w:ascii="Arial" w:hAnsi="Arial" w:cs="Arial"/>
          <w:color w:val="000000" w:themeColor="text1"/>
        </w:rPr>
        <w:t xml:space="preserve"> estrutural, o tratamento dos </w:t>
      </w:r>
      <w:proofErr w:type="spellStart"/>
      <w:r w:rsidRPr="00562028">
        <w:rPr>
          <w:rFonts w:ascii="Arial" w:hAnsi="Arial" w:cs="Arial"/>
          <w:color w:val="000000" w:themeColor="text1"/>
        </w:rPr>
        <w:t>feminicídios</w:t>
      </w:r>
      <w:proofErr w:type="spellEnd"/>
      <w:r w:rsidRPr="00562028">
        <w:rPr>
          <w:rFonts w:ascii="Arial" w:hAnsi="Arial" w:cs="Arial"/>
          <w:color w:val="000000" w:themeColor="text1"/>
        </w:rPr>
        <w:t xml:space="preserve"> como “crimes individuais” faz com que o sistema de </w:t>
      </w:r>
      <w:proofErr w:type="spellStart"/>
      <w:r w:rsidRPr="00562028">
        <w:rPr>
          <w:rFonts w:ascii="Arial" w:hAnsi="Arial" w:cs="Arial"/>
          <w:color w:val="000000" w:themeColor="text1"/>
        </w:rPr>
        <w:t>justiça</w:t>
      </w:r>
      <w:proofErr w:type="spellEnd"/>
      <w:r w:rsidRPr="00562028">
        <w:rPr>
          <w:rFonts w:ascii="Arial" w:hAnsi="Arial" w:cs="Arial"/>
          <w:color w:val="000000" w:themeColor="text1"/>
        </w:rPr>
        <w:t xml:space="preserve"> feche os olhos para as particularidades desse tipo de delito. </w:t>
      </w:r>
      <w:r w:rsidRPr="00562028">
        <w:rPr>
          <w:rFonts w:ascii="Arial" w:hAnsi="Arial" w:cs="Arial"/>
          <w:color w:val="000000" w:themeColor="text1"/>
        </w:rPr>
        <w:t>A</w:t>
      </w:r>
      <w:r w:rsidRPr="00562028">
        <w:rPr>
          <w:rFonts w:ascii="Arial" w:hAnsi="Arial" w:cs="Arial"/>
          <w:color w:val="000000" w:themeColor="text1"/>
        </w:rPr>
        <w:t xml:space="preserve">s </w:t>
      </w:r>
      <w:proofErr w:type="spellStart"/>
      <w:r w:rsidRPr="00562028">
        <w:rPr>
          <w:rFonts w:ascii="Arial" w:hAnsi="Arial" w:cs="Arial"/>
          <w:color w:val="000000" w:themeColor="text1"/>
        </w:rPr>
        <w:t>dimensões</w:t>
      </w:r>
      <w:proofErr w:type="spellEnd"/>
      <w:r w:rsidRPr="00562028">
        <w:rPr>
          <w:rFonts w:ascii="Arial" w:hAnsi="Arial" w:cs="Arial"/>
          <w:color w:val="000000" w:themeColor="text1"/>
        </w:rPr>
        <w:t xml:space="preserve"> sociais e </w:t>
      </w:r>
      <w:proofErr w:type="spellStart"/>
      <w:r w:rsidRPr="00562028">
        <w:rPr>
          <w:rFonts w:ascii="Arial" w:hAnsi="Arial" w:cs="Arial"/>
          <w:color w:val="000000" w:themeColor="text1"/>
        </w:rPr>
        <w:t>simbólicas</w:t>
      </w:r>
      <w:proofErr w:type="spellEnd"/>
      <w:r w:rsidRPr="00562028">
        <w:rPr>
          <w:rFonts w:ascii="Arial" w:hAnsi="Arial" w:cs="Arial"/>
          <w:color w:val="000000" w:themeColor="text1"/>
        </w:rPr>
        <w:t xml:space="preserve"> </w:t>
      </w:r>
      <w:proofErr w:type="spellStart"/>
      <w:r w:rsidRPr="00562028">
        <w:rPr>
          <w:rFonts w:ascii="Arial" w:hAnsi="Arial" w:cs="Arial"/>
          <w:color w:val="000000" w:themeColor="text1"/>
        </w:rPr>
        <w:t>são</w:t>
      </w:r>
      <w:proofErr w:type="spellEnd"/>
      <w:r w:rsidRPr="00562028">
        <w:rPr>
          <w:rFonts w:ascii="Arial" w:hAnsi="Arial" w:cs="Arial"/>
          <w:color w:val="000000" w:themeColor="text1"/>
        </w:rPr>
        <w:t xml:space="preserve"> apagadas do conflito quando este é tratado como um “crime comum”. </w:t>
      </w:r>
    </w:p>
    <w:p w14:paraId="19540CF1" w14:textId="79A92A3A" w:rsidR="00562028" w:rsidRPr="00562028" w:rsidRDefault="00562028" w:rsidP="00562028">
      <w:pPr>
        <w:pStyle w:val="NormalWeb"/>
        <w:spacing w:line="360" w:lineRule="auto"/>
        <w:ind w:firstLine="720"/>
        <w:jc w:val="both"/>
        <w:rPr>
          <w:rFonts w:ascii="Arial" w:hAnsi="Arial" w:cs="Arial"/>
          <w:color w:val="000000" w:themeColor="text1"/>
        </w:rPr>
      </w:pPr>
      <w:r>
        <w:rPr>
          <w:rFonts w:ascii="Arial" w:hAnsi="Arial" w:cs="Arial"/>
          <w:color w:val="000000" w:themeColor="text1"/>
        </w:rPr>
        <w:t xml:space="preserve">Com base no protocolo realizado pela Suprema Corte de Justiça da Nação Mexicana e dos dados analisados, apresentaremos alguns marcos e protocolos que podem ser utilizados como modelo para superar </w:t>
      </w:r>
      <w:r w:rsidR="00001FDF">
        <w:rPr>
          <w:rFonts w:ascii="Arial" w:hAnsi="Arial" w:cs="Arial"/>
          <w:color w:val="000000" w:themeColor="text1"/>
        </w:rPr>
        <w:t xml:space="preserve">as </w:t>
      </w:r>
      <w:proofErr w:type="spellStart"/>
      <w:r w:rsidR="00001FDF">
        <w:rPr>
          <w:rFonts w:ascii="Arial" w:hAnsi="Arial" w:cs="Arial"/>
          <w:color w:val="000000" w:themeColor="text1"/>
        </w:rPr>
        <w:t>invisibilizações</w:t>
      </w:r>
      <w:proofErr w:type="spellEnd"/>
      <w:r w:rsidR="00001FDF">
        <w:rPr>
          <w:rFonts w:ascii="Arial" w:hAnsi="Arial" w:cs="Arial"/>
          <w:color w:val="000000" w:themeColor="text1"/>
        </w:rPr>
        <w:t xml:space="preserve"> judiciais, para </w:t>
      </w:r>
      <w:r>
        <w:rPr>
          <w:rFonts w:ascii="Arial" w:hAnsi="Arial" w:cs="Arial"/>
          <w:color w:val="000000" w:themeColor="text1"/>
        </w:rPr>
        <w:t xml:space="preserve">processar e julgar casos que envolvam este tipo de violência sem que haja </w:t>
      </w:r>
      <w:proofErr w:type="spellStart"/>
      <w:r>
        <w:rPr>
          <w:rFonts w:ascii="Arial" w:hAnsi="Arial" w:cs="Arial"/>
          <w:color w:val="000000" w:themeColor="text1"/>
        </w:rPr>
        <w:t>revitimizações</w:t>
      </w:r>
      <w:proofErr w:type="spellEnd"/>
      <w:r>
        <w:rPr>
          <w:rFonts w:ascii="Arial" w:hAnsi="Arial" w:cs="Arial"/>
          <w:color w:val="000000" w:themeColor="text1"/>
        </w:rPr>
        <w:t xml:space="preserve"> e o olvido das vítimas durante o processo judicial.</w:t>
      </w:r>
    </w:p>
    <w:p w14:paraId="3FA5F537" w14:textId="77777777" w:rsidR="00C12CB7" w:rsidRDefault="00C12CB7">
      <w:pPr>
        <w:spacing w:after="0" w:line="360" w:lineRule="auto"/>
        <w:jc w:val="both"/>
        <w:rPr>
          <w:rFonts w:ascii="Arial" w:eastAsia="Arial" w:hAnsi="Arial" w:cs="Arial"/>
          <w:sz w:val="24"/>
          <w:szCs w:val="24"/>
        </w:rPr>
      </w:pPr>
    </w:p>
    <w:p w14:paraId="3FA5F538" w14:textId="50642368" w:rsidR="00C12CB7" w:rsidRDefault="00D73843">
      <w:pPr>
        <w:rPr>
          <w:rFonts w:ascii="Arial" w:eastAsia="Arial" w:hAnsi="Arial" w:cs="Arial"/>
          <w:sz w:val="24"/>
          <w:szCs w:val="24"/>
        </w:rPr>
      </w:pPr>
      <w:r>
        <w:rPr>
          <w:rFonts w:ascii="Arial" w:eastAsia="Arial" w:hAnsi="Arial" w:cs="Arial"/>
          <w:b/>
          <w:sz w:val="24"/>
          <w:szCs w:val="24"/>
        </w:rPr>
        <w:t>Palavras-chave</w:t>
      </w:r>
      <w:r>
        <w:rPr>
          <w:rFonts w:ascii="Arial" w:eastAsia="Arial" w:hAnsi="Arial" w:cs="Arial"/>
          <w:sz w:val="24"/>
          <w:szCs w:val="24"/>
        </w:rPr>
        <w:t xml:space="preserve">: </w:t>
      </w:r>
      <w:proofErr w:type="spellStart"/>
      <w:r w:rsidR="00A70A6F">
        <w:rPr>
          <w:rFonts w:ascii="Arial" w:eastAsia="Arial" w:hAnsi="Arial" w:cs="Arial"/>
          <w:sz w:val="24"/>
          <w:szCs w:val="24"/>
        </w:rPr>
        <w:t>Feminicídio</w:t>
      </w:r>
      <w:proofErr w:type="spellEnd"/>
      <w:r>
        <w:rPr>
          <w:rFonts w:ascii="Arial" w:eastAsia="Arial" w:hAnsi="Arial" w:cs="Arial"/>
          <w:sz w:val="24"/>
          <w:szCs w:val="24"/>
        </w:rPr>
        <w:t>;</w:t>
      </w:r>
      <w:r w:rsidR="00A70A6F">
        <w:rPr>
          <w:rFonts w:ascii="Arial" w:eastAsia="Arial" w:hAnsi="Arial" w:cs="Arial"/>
          <w:sz w:val="24"/>
          <w:szCs w:val="24"/>
        </w:rPr>
        <w:t xml:space="preserve"> discriminação; processos judiciais</w:t>
      </w:r>
      <w:r>
        <w:rPr>
          <w:rFonts w:ascii="Arial" w:eastAsia="Arial" w:hAnsi="Arial" w:cs="Arial"/>
          <w:sz w:val="24"/>
          <w:szCs w:val="24"/>
        </w:rPr>
        <w:t>;</w:t>
      </w:r>
      <w:r w:rsidR="00A70A6F">
        <w:rPr>
          <w:rFonts w:ascii="Arial" w:eastAsia="Arial" w:hAnsi="Arial" w:cs="Arial"/>
          <w:sz w:val="24"/>
          <w:szCs w:val="24"/>
        </w:rPr>
        <w:t xml:space="preserve"> julgamento com perspectiva de gêner</w:t>
      </w:r>
      <w:r w:rsidR="00562028">
        <w:rPr>
          <w:rFonts w:ascii="Arial" w:eastAsia="Arial" w:hAnsi="Arial" w:cs="Arial"/>
          <w:sz w:val="24"/>
          <w:szCs w:val="24"/>
        </w:rPr>
        <w:t>o</w:t>
      </w:r>
      <w:r>
        <w:rPr>
          <w:rFonts w:ascii="Arial" w:eastAsia="Arial" w:hAnsi="Arial" w:cs="Arial"/>
          <w:sz w:val="24"/>
          <w:szCs w:val="24"/>
        </w:rPr>
        <w:t>.</w:t>
      </w:r>
    </w:p>
    <w:p w14:paraId="3FA5F539" w14:textId="77777777" w:rsidR="00C12CB7" w:rsidRPr="00562028" w:rsidRDefault="00C12CB7" w:rsidP="00562028">
      <w:pPr>
        <w:jc w:val="both"/>
        <w:rPr>
          <w:rFonts w:ascii="Arial" w:eastAsia="Arial" w:hAnsi="Arial" w:cs="Arial"/>
          <w:sz w:val="24"/>
          <w:szCs w:val="24"/>
        </w:rPr>
      </w:pPr>
    </w:p>
    <w:p w14:paraId="3FA5F53A" w14:textId="39A5C9F6" w:rsidR="00C12CB7" w:rsidRPr="00562028" w:rsidRDefault="00D73843" w:rsidP="00562028">
      <w:pPr>
        <w:jc w:val="both"/>
        <w:rPr>
          <w:rFonts w:ascii="Arial" w:eastAsia="Arial" w:hAnsi="Arial" w:cs="Arial"/>
          <w:b/>
          <w:sz w:val="24"/>
          <w:szCs w:val="24"/>
        </w:rPr>
      </w:pPr>
      <w:r w:rsidRPr="00562028">
        <w:rPr>
          <w:rFonts w:ascii="Arial" w:eastAsia="Arial" w:hAnsi="Arial" w:cs="Arial"/>
          <w:b/>
          <w:sz w:val="24"/>
          <w:szCs w:val="24"/>
        </w:rPr>
        <w:t>Referências Bibliográficas (Opcional)</w:t>
      </w:r>
    </w:p>
    <w:p w14:paraId="2841AA9A" w14:textId="4A8C4D12" w:rsidR="00562028" w:rsidRPr="00562028" w:rsidRDefault="00562028" w:rsidP="00562028">
      <w:pPr>
        <w:jc w:val="both"/>
        <w:rPr>
          <w:rFonts w:ascii="Arial" w:hAnsi="Arial" w:cs="Arial"/>
          <w:sz w:val="24"/>
          <w:szCs w:val="24"/>
          <w:lang w:val="en-US"/>
        </w:rPr>
      </w:pPr>
      <w:r w:rsidRPr="00562028">
        <w:rPr>
          <w:rFonts w:ascii="Arial" w:hAnsi="Arial" w:cs="Arial"/>
          <w:sz w:val="24"/>
          <w:szCs w:val="24"/>
          <w:lang w:val="en-US"/>
        </w:rPr>
        <w:t xml:space="preserve">GLASER, B. G; STRAUSS, A. L. </w:t>
      </w:r>
      <w:r w:rsidRPr="00562028">
        <w:rPr>
          <w:rFonts w:ascii="Arial" w:hAnsi="Arial" w:cs="Arial"/>
          <w:bCs/>
          <w:sz w:val="24"/>
          <w:szCs w:val="24"/>
          <w:lang w:val="en-US"/>
        </w:rPr>
        <w:t xml:space="preserve">The discovery of grounded theory: strategies for qualitative research. </w:t>
      </w:r>
      <w:proofErr w:type="spellStart"/>
      <w:r w:rsidRPr="00562028">
        <w:rPr>
          <w:rFonts w:ascii="Arial" w:hAnsi="Arial" w:cs="Arial"/>
          <w:sz w:val="24"/>
          <w:szCs w:val="24"/>
          <w:lang w:val="en-US"/>
        </w:rPr>
        <w:t>NewYork</w:t>
      </w:r>
      <w:proofErr w:type="spellEnd"/>
      <w:r w:rsidRPr="00562028">
        <w:rPr>
          <w:rFonts w:ascii="Arial" w:hAnsi="Arial" w:cs="Arial"/>
          <w:sz w:val="24"/>
          <w:szCs w:val="24"/>
          <w:lang w:val="en-US"/>
        </w:rPr>
        <w:t xml:space="preserve">: </w:t>
      </w:r>
      <w:proofErr w:type="spellStart"/>
      <w:r w:rsidRPr="00562028">
        <w:rPr>
          <w:rFonts w:ascii="Arial" w:hAnsi="Arial" w:cs="Arial"/>
          <w:sz w:val="24"/>
          <w:szCs w:val="24"/>
          <w:lang w:val="en-US"/>
        </w:rPr>
        <w:t>AldinedeGruyter</w:t>
      </w:r>
      <w:proofErr w:type="spellEnd"/>
      <w:r w:rsidRPr="00562028">
        <w:rPr>
          <w:rFonts w:ascii="Arial" w:hAnsi="Arial" w:cs="Arial"/>
          <w:sz w:val="24"/>
          <w:szCs w:val="24"/>
          <w:lang w:val="en-US"/>
        </w:rPr>
        <w:t>, 1967. Strauss, A. &amp; Corbin, J. Basics of Qualitative Research: Grounded Theory Procedures and Techniques. 2ed. Newbury Park: Sage, 1998.</w:t>
      </w:r>
    </w:p>
    <w:p w14:paraId="037576D9" w14:textId="1088FEBB" w:rsidR="00562028" w:rsidRPr="00562028" w:rsidRDefault="00562028" w:rsidP="00562028">
      <w:pPr>
        <w:pStyle w:val="NormalWeb"/>
        <w:jc w:val="both"/>
        <w:rPr>
          <w:rFonts w:ascii="Arial" w:hAnsi="Arial" w:cs="Arial"/>
          <w:lang w:val="es-ES"/>
        </w:rPr>
      </w:pPr>
      <w:r w:rsidRPr="00562028">
        <w:rPr>
          <w:rFonts w:ascii="Arial" w:hAnsi="Arial" w:cs="Arial"/>
          <w:lang w:val="es-ES"/>
        </w:rPr>
        <w:t>SEGATO</w:t>
      </w:r>
      <w:r w:rsidRPr="00562028">
        <w:rPr>
          <w:rFonts w:ascii="Arial" w:hAnsi="Arial" w:cs="Arial"/>
          <w:lang w:val="es-ES"/>
        </w:rPr>
        <w:t xml:space="preserve">, </w:t>
      </w:r>
      <w:r>
        <w:rPr>
          <w:rFonts w:ascii="Arial" w:hAnsi="Arial" w:cs="Arial"/>
          <w:lang w:val="es-ES"/>
        </w:rPr>
        <w:t>R</w:t>
      </w:r>
      <w:r w:rsidRPr="00562028">
        <w:rPr>
          <w:rFonts w:ascii="Arial" w:hAnsi="Arial" w:cs="Arial"/>
          <w:lang w:val="es-ES"/>
        </w:rPr>
        <w:t xml:space="preserve">ita </w:t>
      </w:r>
      <w:r>
        <w:rPr>
          <w:rFonts w:ascii="Arial" w:hAnsi="Arial" w:cs="Arial"/>
          <w:lang w:val="es-ES"/>
        </w:rPr>
        <w:t>L</w:t>
      </w:r>
      <w:r w:rsidRPr="00562028">
        <w:rPr>
          <w:rFonts w:ascii="Arial" w:hAnsi="Arial" w:cs="Arial"/>
          <w:lang w:val="es-ES"/>
        </w:rPr>
        <w:t xml:space="preserve">aura. </w:t>
      </w:r>
      <w:r>
        <w:rPr>
          <w:rFonts w:ascii="Arial" w:hAnsi="Arial" w:cs="Arial"/>
          <w:lang w:val="es-ES"/>
        </w:rPr>
        <w:t>Q</w:t>
      </w:r>
      <w:r w:rsidRPr="00562028">
        <w:rPr>
          <w:rFonts w:ascii="Arial" w:hAnsi="Arial" w:cs="Arial"/>
          <w:lang w:val="es-ES"/>
        </w:rPr>
        <w:t xml:space="preserve">ue </w:t>
      </w:r>
      <w:proofErr w:type="spellStart"/>
      <w:r w:rsidRPr="00562028">
        <w:rPr>
          <w:rFonts w:ascii="Arial" w:hAnsi="Arial" w:cs="Arial"/>
          <w:lang w:val="es-ES"/>
        </w:rPr>
        <w:t>és</w:t>
      </w:r>
      <w:proofErr w:type="spellEnd"/>
      <w:r w:rsidRPr="00562028">
        <w:rPr>
          <w:rFonts w:ascii="Arial" w:hAnsi="Arial" w:cs="Arial"/>
          <w:lang w:val="es-ES"/>
        </w:rPr>
        <w:t xml:space="preserve"> un </w:t>
      </w:r>
      <w:proofErr w:type="spellStart"/>
      <w:r w:rsidRPr="00562028">
        <w:rPr>
          <w:rFonts w:ascii="Arial" w:hAnsi="Arial" w:cs="Arial"/>
          <w:lang w:val="es-ES"/>
        </w:rPr>
        <w:t>feminicídio</w:t>
      </w:r>
      <w:proofErr w:type="spellEnd"/>
      <w:r w:rsidRPr="00562028">
        <w:rPr>
          <w:rFonts w:ascii="Arial" w:hAnsi="Arial" w:cs="Arial"/>
          <w:lang w:val="es-ES"/>
        </w:rPr>
        <w:t xml:space="preserve">. notas para un debate emergente. </w:t>
      </w:r>
      <w:proofErr w:type="spellStart"/>
      <w:r w:rsidRPr="00562028">
        <w:rPr>
          <w:rFonts w:ascii="Arial" w:hAnsi="Arial" w:cs="Arial"/>
          <w:lang w:val="es-ES"/>
        </w:rPr>
        <w:t>brasília</w:t>
      </w:r>
      <w:proofErr w:type="spellEnd"/>
      <w:r w:rsidRPr="00562028">
        <w:rPr>
          <w:rFonts w:ascii="Arial" w:hAnsi="Arial" w:cs="Arial"/>
          <w:lang w:val="es-ES"/>
        </w:rPr>
        <w:t xml:space="preserve">, 2006. </w:t>
      </w:r>
    </w:p>
    <w:p w14:paraId="1882E221" w14:textId="240EC0DB" w:rsidR="00562028" w:rsidRPr="00562028" w:rsidRDefault="00562028" w:rsidP="00562028">
      <w:pPr>
        <w:pStyle w:val="NormalWeb"/>
        <w:jc w:val="both"/>
        <w:rPr>
          <w:rFonts w:ascii="Arial" w:hAnsi="Arial" w:cs="Arial"/>
          <w:lang w:val="es-ES"/>
        </w:rPr>
      </w:pPr>
      <w:r w:rsidRPr="00562028">
        <w:rPr>
          <w:rFonts w:ascii="Arial" w:hAnsi="Arial" w:cs="Arial"/>
          <w:lang w:val="es-ES"/>
        </w:rPr>
        <w:lastRenderedPageBreak/>
        <w:t>SMART</w:t>
      </w:r>
      <w:r w:rsidRPr="00562028">
        <w:rPr>
          <w:rFonts w:ascii="Arial" w:hAnsi="Arial" w:cs="Arial"/>
          <w:lang w:val="es-ES"/>
        </w:rPr>
        <w:t xml:space="preserve">, </w:t>
      </w:r>
      <w:proofErr w:type="spellStart"/>
      <w:r w:rsidRPr="00562028">
        <w:rPr>
          <w:rFonts w:ascii="Arial" w:hAnsi="Arial" w:cs="Arial"/>
          <w:lang w:val="es-ES"/>
        </w:rPr>
        <w:t>carol</w:t>
      </w:r>
      <w:proofErr w:type="spellEnd"/>
      <w:r w:rsidRPr="00562028">
        <w:rPr>
          <w:rFonts w:ascii="Arial" w:hAnsi="Arial" w:cs="Arial"/>
          <w:lang w:val="es-ES"/>
        </w:rPr>
        <w:t xml:space="preserve">. </w:t>
      </w:r>
      <w:r>
        <w:rPr>
          <w:rFonts w:ascii="Arial" w:hAnsi="Arial" w:cs="Arial"/>
          <w:lang w:val="es-ES"/>
        </w:rPr>
        <w:t>L</w:t>
      </w:r>
      <w:r w:rsidRPr="00562028">
        <w:rPr>
          <w:rFonts w:ascii="Arial" w:hAnsi="Arial" w:cs="Arial"/>
          <w:lang w:val="es-ES"/>
        </w:rPr>
        <w:t xml:space="preserve">a mujer del discurso </w:t>
      </w:r>
      <w:proofErr w:type="spellStart"/>
      <w:r w:rsidRPr="00562028">
        <w:rPr>
          <w:rFonts w:ascii="Arial" w:hAnsi="Arial" w:cs="Arial"/>
          <w:lang w:val="es-ES"/>
        </w:rPr>
        <w:t>jurídico</w:t>
      </w:r>
      <w:proofErr w:type="spellEnd"/>
      <w:r w:rsidRPr="00562028">
        <w:rPr>
          <w:rFonts w:ascii="Arial" w:hAnsi="Arial" w:cs="Arial"/>
          <w:lang w:val="es-ES"/>
        </w:rPr>
        <w:t xml:space="preserve">, en mujeres, derecho pe- </w:t>
      </w:r>
      <w:proofErr w:type="spellStart"/>
      <w:r w:rsidRPr="00562028">
        <w:rPr>
          <w:rFonts w:ascii="Arial" w:hAnsi="Arial" w:cs="Arial"/>
          <w:lang w:val="es-ES"/>
        </w:rPr>
        <w:t>nal</w:t>
      </w:r>
      <w:proofErr w:type="spellEnd"/>
      <w:r w:rsidRPr="00562028">
        <w:rPr>
          <w:rFonts w:ascii="Arial" w:hAnsi="Arial" w:cs="Arial"/>
          <w:lang w:val="es-ES"/>
        </w:rPr>
        <w:t xml:space="preserve"> y </w:t>
      </w:r>
      <w:proofErr w:type="spellStart"/>
      <w:r w:rsidRPr="00562028">
        <w:rPr>
          <w:rFonts w:ascii="Arial" w:hAnsi="Arial" w:cs="Arial"/>
          <w:lang w:val="es-ES"/>
        </w:rPr>
        <w:t>criminología</w:t>
      </w:r>
      <w:proofErr w:type="spellEnd"/>
      <w:r w:rsidRPr="00562028">
        <w:rPr>
          <w:rFonts w:ascii="Arial" w:hAnsi="Arial" w:cs="Arial"/>
          <w:lang w:val="es-ES"/>
        </w:rPr>
        <w:t>. (</w:t>
      </w:r>
      <w:proofErr w:type="spellStart"/>
      <w:r w:rsidRPr="00562028">
        <w:rPr>
          <w:rFonts w:ascii="Arial" w:hAnsi="Arial" w:cs="Arial"/>
          <w:lang w:val="es-ES"/>
        </w:rPr>
        <w:t>elena</w:t>
      </w:r>
      <w:proofErr w:type="spellEnd"/>
      <w:r w:rsidRPr="00562028">
        <w:rPr>
          <w:rFonts w:ascii="Arial" w:hAnsi="Arial" w:cs="Arial"/>
          <w:lang w:val="es-ES"/>
        </w:rPr>
        <w:t xml:space="preserve"> </w:t>
      </w:r>
      <w:proofErr w:type="spellStart"/>
      <w:r w:rsidRPr="00562028">
        <w:rPr>
          <w:rFonts w:ascii="Arial" w:hAnsi="Arial" w:cs="Arial"/>
          <w:lang w:val="es-ES"/>
        </w:rPr>
        <w:t>larrauri</w:t>
      </w:r>
      <w:proofErr w:type="spellEnd"/>
      <w:r w:rsidRPr="00562028">
        <w:rPr>
          <w:rFonts w:ascii="Arial" w:hAnsi="Arial" w:cs="Arial"/>
          <w:lang w:val="es-ES"/>
        </w:rPr>
        <w:t xml:space="preserve">, </w:t>
      </w:r>
      <w:proofErr w:type="spellStart"/>
      <w:r w:rsidRPr="00562028">
        <w:rPr>
          <w:rFonts w:ascii="Arial" w:hAnsi="Arial" w:cs="Arial"/>
          <w:lang w:val="es-ES"/>
        </w:rPr>
        <w:t>org</w:t>
      </w:r>
      <w:proofErr w:type="spellEnd"/>
      <w:r w:rsidRPr="00562028">
        <w:rPr>
          <w:rFonts w:ascii="Arial" w:hAnsi="Arial" w:cs="Arial"/>
          <w:lang w:val="es-ES"/>
        </w:rPr>
        <w:t xml:space="preserve">.). </w:t>
      </w:r>
      <w:proofErr w:type="spellStart"/>
      <w:r w:rsidRPr="00562028">
        <w:rPr>
          <w:rFonts w:ascii="Arial" w:hAnsi="Arial" w:cs="Arial"/>
          <w:lang w:val="es-ES"/>
        </w:rPr>
        <w:t>madrid</w:t>
      </w:r>
      <w:proofErr w:type="spellEnd"/>
      <w:r w:rsidRPr="00562028">
        <w:rPr>
          <w:rFonts w:ascii="Arial" w:hAnsi="Arial" w:cs="Arial"/>
          <w:lang w:val="es-ES"/>
        </w:rPr>
        <w:t xml:space="preserve">: siglo Veintiuno, 1994; </w:t>
      </w:r>
    </w:p>
    <w:p w14:paraId="1BFB0328" w14:textId="0834FC62" w:rsidR="00562028" w:rsidRPr="00562028" w:rsidRDefault="00562028" w:rsidP="00562028">
      <w:pPr>
        <w:pStyle w:val="NormalWeb"/>
        <w:jc w:val="both"/>
        <w:rPr>
          <w:lang w:val="es-ES"/>
        </w:rPr>
      </w:pPr>
      <w:r w:rsidRPr="00562028">
        <w:rPr>
          <w:rFonts w:ascii="Arial" w:hAnsi="Arial" w:cs="Arial"/>
          <w:lang w:val="es-ES"/>
        </w:rPr>
        <w:t xml:space="preserve">SUPREMA CORTE DE JUSTICIA DE LA NACIÓN </w:t>
      </w:r>
      <w:r w:rsidRPr="00562028">
        <w:rPr>
          <w:rFonts w:ascii="Arial" w:hAnsi="Arial" w:cs="Arial"/>
          <w:lang w:val="es-ES"/>
        </w:rPr>
        <w:t>(</w:t>
      </w:r>
      <w:r w:rsidRPr="00562028">
        <w:rPr>
          <w:rFonts w:ascii="Arial" w:hAnsi="Arial" w:cs="Arial"/>
          <w:lang w:val="es-ES"/>
        </w:rPr>
        <w:t>SCJN</w:t>
      </w:r>
      <w:r w:rsidRPr="00562028">
        <w:rPr>
          <w:rFonts w:ascii="Arial" w:hAnsi="Arial" w:cs="Arial"/>
          <w:lang w:val="es-ES"/>
        </w:rPr>
        <w:t xml:space="preserve">). Protocolo para juzgar con perspectiva de </w:t>
      </w:r>
      <w:proofErr w:type="spellStart"/>
      <w:r w:rsidRPr="00562028">
        <w:rPr>
          <w:rFonts w:ascii="Arial" w:hAnsi="Arial" w:cs="Arial"/>
          <w:lang w:val="es-ES"/>
        </w:rPr>
        <w:t>género</w:t>
      </w:r>
      <w:proofErr w:type="spellEnd"/>
      <w:r w:rsidRPr="00562028">
        <w:rPr>
          <w:rFonts w:ascii="Arial" w:hAnsi="Arial" w:cs="Arial"/>
          <w:lang w:val="es-ES"/>
        </w:rPr>
        <w:t xml:space="preserve">: haciendo realidad el derecho a la igual- dad. 2a </w:t>
      </w:r>
      <w:proofErr w:type="spellStart"/>
      <w:r w:rsidRPr="00562028">
        <w:rPr>
          <w:rFonts w:ascii="Arial" w:hAnsi="Arial" w:cs="Arial"/>
          <w:lang w:val="es-ES"/>
        </w:rPr>
        <w:t>edición</w:t>
      </w:r>
      <w:proofErr w:type="spellEnd"/>
      <w:r w:rsidRPr="00562028">
        <w:rPr>
          <w:rFonts w:ascii="Arial" w:hAnsi="Arial" w:cs="Arial"/>
          <w:lang w:val="es-ES"/>
        </w:rPr>
        <w:t xml:space="preserve">. ciudad de </w:t>
      </w:r>
      <w:proofErr w:type="spellStart"/>
      <w:r w:rsidRPr="00562028">
        <w:rPr>
          <w:rFonts w:ascii="Arial" w:hAnsi="Arial" w:cs="Arial"/>
          <w:lang w:val="es-ES"/>
        </w:rPr>
        <w:t>méxico</w:t>
      </w:r>
      <w:proofErr w:type="spellEnd"/>
      <w:r w:rsidRPr="00562028">
        <w:rPr>
          <w:rFonts w:ascii="Arial" w:hAnsi="Arial" w:cs="Arial"/>
          <w:lang w:val="es-ES"/>
        </w:rPr>
        <w:t>, noviembre de 2015</w:t>
      </w:r>
      <w:r w:rsidRPr="00562028">
        <w:rPr>
          <w:rFonts w:ascii="GeometricSlab712BT" w:hAnsi="GeometricSlab712BT"/>
          <w:sz w:val="22"/>
          <w:szCs w:val="22"/>
          <w:lang w:val="es-ES"/>
        </w:rPr>
        <w:t xml:space="preserve"> </w:t>
      </w:r>
    </w:p>
    <w:p w14:paraId="0F20B123" w14:textId="77777777" w:rsidR="00562028" w:rsidRPr="00562028" w:rsidRDefault="00562028">
      <w:pPr>
        <w:rPr>
          <w:rFonts w:ascii="Arial" w:eastAsia="Arial" w:hAnsi="Arial" w:cs="Arial"/>
          <w:sz w:val="24"/>
          <w:szCs w:val="24"/>
          <w:lang w:val="es-ES"/>
        </w:rPr>
      </w:pPr>
    </w:p>
    <w:p w14:paraId="3FA5F53B" w14:textId="77777777" w:rsidR="00C12CB7" w:rsidRDefault="00D73843">
      <w:pPr>
        <w:rPr>
          <w:rFonts w:ascii="Arial" w:eastAsia="Arial" w:hAnsi="Arial" w:cs="Arial"/>
          <w:sz w:val="24"/>
          <w:szCs w:val="24"/>
        </w:rPr>
      </w:pPr>
      <w:r>
        <w:rPr>
          <w:rFonts w:ascii="Arial" w:eastAsia="Arial" w:hAnsi="Arial" w:cs="Arial"/>
          <w:sz w:val="24"/>
          <w:szCs w:val="24"/>
        </w:rPr>
        <w:t>(Normas da ABNT)</w:t>
      </w:r>
    </w:p>
    <w:p w14:paraId="3FA5F53C" w14:textId="77777777" w:rsidR="00C12CB7" w:rsidRDefault="00C12CB7">
      <w:pPr>
        <w:pBdr>
          <w:top w:val="nil"/>
          <w:left w:val="nil"/>
          <w:bottom w:val="nil"/>
          <w:right w:val="nil"/>
          <w:between w:val="nil"/>
        </w:pBdr>
        <w:spacing w:after="0" w:line="360" w:lineRule="auto"/>
        <w:jc w:val="both"/>
        <w:rPr>
          <w:color w:val="000000"/>
          <w:sz w:val="24"/>
          <w:szCs w:val="24"/>
        </w:rPr>
      </w:pPr>
    </w:p>
    <w:sectPr w:rsidR="00C12CB7">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0" w:footer="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DD221" w14:textId="77777777" w:rsidR="00BD5434" w:rsidRDefault="00BD5434">
      <w:pPr>
        <w:spacing w:after="0" w:line="240" w:lineRule="auto"/>
      </w:pPr>
      <w:r>
        <w:separator/>
      </w:r>
    </w:p>
  </w:endnote>
  <w:endnote w:type="continuationSeparator" w:id="0">
    <w:p w14:paraId="2F1792CA" w14:textId="77777777" w:rsidR="00BD5434" w:rsidRDefault="00BD5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ungsuhChe">
    <w:panose1 w:val="02030609000101010101"/>
    <w:charset w:val="81"/>
    <w:family w:val="modern"/>
    <w:pitch w:val="fixed"/>
    <w:sig w:usb0="B00002AF" w:usb1="69D77CFB" w:usb2="00000030" w:usb3="00000000" w:csb0="0008009F" w:csb1="00000000"/>
  </w:font>
  <w:font w:name="GeometricSlab712B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02C02" w14:textId="77777777" w:rsidR="00012C54" w:rsidRDefault="00012C5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5F542" w14:textId="5100D175" w:rsidR="00C12CB7" w:rsidRDefault="00BD5434" w:rsidP="00625E3F">
    <w:pPr>
      <w:pBdr>
        <w:top w:val="nil"/>
        <w:left w:val="nil"/>
        <w:bottom w:val="nil"/>
        <w:right w:val="nil"/>
        <w:between w:val="nil"/>
      </w:pBdr>
      <w:tabs>
        <w:tab w:val="center" w:pos="4252"/>
        <w:tab w:val="right" w:pos="8504"/>
      </w:tabs>
      <w:spacing w:after="0" w:line="240" w:lineRule="auto"/>
      <w:ind w:left="-1701"/>
      <w:rPr>
        <w:color w:val="000000"/>
      </w:rPr>
    </w:pPr>
    <w:r>
      <w:rPr>
        <w:noProof/>
      </w:rPr>
      <w:object w:dxaOrig="13760" w:dyaOrig="1560" w14:anchorId="68271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96.05pt;height:66.85pt;mso-width-percent:0;mso-height-percent:0;mso-width-percent:0;mso-height-percent:0">
          <v:imagedata r:id="rId1" o:title=""/>
        </v:shape>
        <o:OLEObject Type="Embed" ProgID="CorelDraw.Graphic.17" ShapeID="_x0000_i1025" DrawAspect="Content" ObjectID="_1665395640" r:id="rId2"/>
      </w:obje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CCCA2" w14:textId="77777777" w:rsidR="00012C54" w:rsidRDefault="00012C5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4031DB" w14:textId="77777777" w:rsidR="00BD5434" w:rsidRDefault="00BD5434">
      <w:pPr>
        <w:spacing w:after="0" w:line="240" w:lineRule="auto"/>
      </w:pPr>
      <w:r>
        <w:separator/>
      </w:r>
    </w:p>
  </w:footnote>
  <w:footnote w:type="continuationSeparator" w:id="0">
    <w:p w14:paraId="48A2C63D" w14:textId="77777777" w:rsidR="00BD5434" w:rsidRDefault="00BD5434">
      <w:pPr>
        <w:spacing w:after="0" w:line="240" w:lineRule="auto"/>
      </w:pPr>
      <w:r>
        <w:continuationSeparator/>
      </w:r>
    </w:p>
  </w:footnote>
  <w:footnote w:id="1">
    <w:p w14:paraId="1126BAC5" w14:textId="77777777" w:rsidR="00562028" w:rsidRPr="00361CE4" w:rsidRDefault="00562028" w:rsidP="00562028">
      <w:pPr>
        <w:pStyle w:val="Textodenotaderodap"/>
        <w:rPr>
          <w:rFonts w:asciiTheme="minorHAnsi" w:hAnsiTheme="minorHAnsi" w:cs="Arial"/>
          <w:lang w:val="en-US"/>
        </w:rPr>
      </w:pPr>
      <w:r w:rsidRPr="00361CE4">
        <w:rPr>
          <w:rStyle w:val="Refdenotaderodap"/>
          <w:rFonts w:asciiTheme="minorHAnsi" w:hAnsiTheme="minorHAnsi" w:cs="Arial"/>
        </w:rPr>
        <w:footnoteRef/>
      </w:r>
      <w:r w:rsidRPr="00361CE4">
        <w:rPr>
          <w:rFonts w:asciiTheme="minorHAnsi" w:hAnsiTheme="minorHAnsi" w:cs="Arial"/>
          <w:lang w:val="en-US"/>
        </w:rPr>
        <w:t xml:space="preserve"> GLASER, B. G; STRAUSS, A. L. </w:t>
      </w:r>
      <w:r w:rsidRPr="00361CE4">
        <w:rPr>
          <w:rFonts w:asciiTheme="minorHAnsi" w:hAnsiTheme="minorHAnsi" w:cs="Arial"/>
          <w:bCs/>
          <w:lang w:val="en-US"/>
        </w:rPr>
        <w:t xml:space="preserve">The discovery of grounded theory: strategies for qualitative research. </w:t>
      </w:r>
      <w:proofErr w:type="spellStart"/>
      <w:r w:rsidRPr="00361CE4">
        <w:rPr>
          <w:rFonts w:asciiTheme="minorHAnsi" w:hAnsiTheme="minorHAnsi" w:cs="Arial"/>
          <w:lang w:val="en-US"/>
        </w:rPr>
        <w:t>NewYork</w:t>
      </w:r>
      <w:proofErr w:type="spellEnd"/>
      <w:r w:rsidRPr="00361CE4">
        <w:rPr>
          <w:rFonts w:asciiTheme="minorHAnsi" w:hAnsiTheme="minorHAnsi" w:cs="Arial"/>
          <w:lang w:val="en-US"/>
        </w:rPr>
        <w:t xml:space="preserve">: </w:t>
      </w:r>
      <w:proofErr w:type="spellStart"/>
      <w:r w:rsidRPr="00361CE4">
        <w:rPr>
          <w:rFonts w:asciiTheme="minorHAnsi" w:hAnsiTheme="minorHAnsi" w:cs="Arial"/>
          <w:lang w:val="en-US"/>
        </w:rPr>
        <w:t>AldinedeGruyter</w:t>
      </w:r>
      <w:proofErr w:type="spellEnd"/>
      <w:r w:rsidRPr="00361CE4">
        <w:rPr>
          <w:rFonts w:asciiTheme="minorHAnsi" w:hAnsiTheme="minorHAnsi" w:cs="Arial"/>
          <w:lang w:val="en-US"/>
        </w:rPr>
        <w:t>, 1967. Strauss, A. &amp; Corbin, J. Basics of Qualitative Research: Grounded Theory Procedures and Techniques. 2ed. Newbury Park: Sage, 1998.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67766" w14:textId="77777777" w:rsidR="00012C54" w:rsidRDefault="00012C5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5F541" w14:textId="088FB3CD" w:rsidR="00C12CB7" w:rsidRDefault="00BD5434">
    <w:pPr>
      <w:pBdr>
        <w:top w:val="nil"/>
        <w:left w:val="nil"/>
        <w:bottom w:val="nil"/>
        <w:right w:val="nil"/>
        <w:between w:val="nil"/>
      </w:pBdr>
      <w:tabs>
        <w:tab w:val="center" w:pos="4252"/>
        <w:tab w:val="right" w:pos="8504"/>
      </w:tabs>
      <w:spacing w:after="0" w:line="240" w:lineRule="auto"/>
      <w:ind w:left="-1701" w:right="-1701"/>
      <w:jc w:val="both"/>
      <w:rPr>
        <w:color w:val="000000"/>
      </w:rPr>
    </w:pPr>
    <w:r>
      <w:rPr>
        <w:noProof/>
      </w:rPr>
      <w:object w:dxaOrig="13780" w:dyaOrig="2520" w14:anchorId="61DCF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94pt;height:108pt;mso-width-percent:0;mso-height-percent:0;mso-width-percent:0;mso-height-percent:0">
          <v:imagedata r:id="rId1" o:title=""/>
        </v:shape>
        <o:OLEObject Type="Embed" ProgID="CorelDraw.Graphic.17" ShapeID="_x0000_i1026" DrawAspect="Content" ObjectID="_1665395639" r:id="rId2"/>
      </w:object>
    </w:r>
    <w:r w:rsidR="00D73843">
      <w:rPr>
        <w:color w:val="000000"/>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E543D" w14:textId="77777777" w:rsidR="00012C54" w:rsidRDefault="00012C5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CB7"/>
    <w:rsid w:val="00001FDF"/>
    <w:rsid w:val="00012C54"/>
    <w:rsid w:val="0017260C"/>
    <w:rsid w:val="00562028"/>
    <w:rsid w:val="00625E3F"/>
    <w:rsid w:val="009B6E1B"/>
    <w:rsid w:val="00A102A8"/>
    <w:rsid w:val="00A644B4"/>
    <w:rsid w:val="00A70A6F"/>
    <w:rsid w:val="00BD5434"/>
    <w:rsid w:val="00C12CB7"/>
    <w:rsid w:val="00D738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5F525"/>
  <w15:docId w15:val="{60C53F35-1AF1-4337-8B41-31E26CE68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990D8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90D80"/>
  </w:style>
  <w:style w:type="paragraph" w:styleId="Rodap">
    <w:name w:val="footer"/>
    <w:basedOn w:val="Normal"/>
    <w:link w:val="RodapChar"/>
    <w:uiPriority w:val="99"/>
    <w:unhideWhenUsed/>
    <w:rsid w:val="00990D80"/>
    <w:pPr>
      <w:tabs>
        <w:tab w:val="center" w:pos="4252"/>
        <w:tab w:val="right" w:pos="8504"/>
      </w:tabs>
      <w:spacing w:after="0" w:line="240" w:lineRule="auto"/>
    </w:pPr>
  </w:style>
  <w:style w:type="character" w:customStyle="1" w:styleId="RodapChar">
    <w:name w:val="Rodapé Char"/>
    <w:basedOn w:val="Fontepargpadro"/>
    <w:link w:val="Rodap"/>
    <w:uiPriority w:val="99"/>
    <w:rsid w:val="00990D80"/>
  </w:style>
  <w:style w:type="character" w:customStyle="1" w:styleId="a">
    <w:name w:val="_"/>
    <w:basedOn w:val="Fontepargpadro"/>
    <w:rsid w:val="004A404F"/>
  </w:style>
  <w:style w:type="character" w:customStyle="1" w:styleId="pg-1ff1">
    <w:name w:val="pg-1ff1"/>
    <w:basedOn w:val="Fontepargpadro"/>
    <w:rsid w:val="004A404F"/>
  </w:style>
  <w:style w:type="character" w:customStyle="1" w:styleId="pg-1fc1">
    <w:name w:val="pg-1fc1"/>
    <w:basedOn w:val="Fontepargpadro"/>
    <w:rsid w:val="004A404F"/>
  </w:style>
  <w:style w:type="paragraph" w:customStyle="1" w:styleId="Default">
    <w:name w:val="Default"/>
    <w:rsid w:val="0084168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Textodenotaderodap">
    <w:name w:val="footnote text"/>
    <w:aliases w:val="Texto nota pie Car Car Car Car Car Car,Texto nota pie Car Car Car Car Car,Texto nota pie Car Car Car Car,Texto nota pie Car Car Car Car Car Car Car Car,Texto nota pie Car Car Car Car Car Ca,FA Fu"/>
    <w:basedOn w:val="Normal"/>
    <w:link w:val="TextodenotaderodapChar"/>
    <w:unhideWhenUsed/>
    <w:rsid w:val="006566FD"/>
    <w:pPr>
      <w:spacing w:after="0" w:line="240" w:lineRule="auto"/>
    </w:pPr>
    <w:rPr>
      <w:rFonts w:cs="Times New Roman"/>
      <w:sz w:val="20"/>
      <w:szCs w:val="20"/>
      <w:lang w:eastAsia="en-US"/>
    </w:rPr>
  </w:style>
  <w:style w:type="character" w:customStyle="1" w:styleId="TextodenotaderodapChar">
    <w:name w:val="Texto de nota de rodapé Char"/>
    <w:aliases w:val="Texto nota pie Car Car Car Car Car Car Char,Texto nota pie Car Car Car Car Car Char,Texto nota pie Car Car Car Car Char,Texto nota pie Car Car Car Car Car Car Car Car Char,Texto nota pie Car Car Car Car Car Ca Char"/>
    <w:basedOn w:val="Fontepargpadro"/>
    <w:link w:val="Textodenotaderodap"/>
    <w:qFormat/>
    <w:rsid w:val="006566FD"/>
    <w:rPr>
      <w:rFonts w:ascii="Calibri" w:eastAsia="Calibri" w:hAnsi="Calibri" w:cs="Times New Roman"/>
      <w:sz w:val="20"/>
      <w:szCs w:val="20"/>
      <w:lang w:eastAsia="en-US"/>
    </w:rPr>
  </w:style>
  <w:style w:type="character" w:styleId="Refdenotaderodap">
    <w:name w:val="footnote reference"/>
    <w:aliases w:val="referencia nota al pie,Texto de nota al pie,BVI fnr,Footnote symbol,Footnote,Footnotes refss,Appel note de bas de page,Ref. de nota al pie.,Footnote Text Char1 Car Car Car Car,Footnote Text Char Char Car Car Car Car"/>
    <w:unhideWhenUsed/>
    <w:qFormat/>
    <w:rsid w:val="006566FD"/>
    <w:rPr>
      <w:vertAlign w:val="superscript"/>
    </w:rPr>
  </w:style>
  <w:style w:type="paragraph" w:styleId="Textodebalo">
    <w:name w:val="Balloon Text"/>
    <w:basedOn w:val="Normal"/>
    <w:link w:val="TextodebaloChar"/>
    <w:uiPriority w:val="99"/>
    <w:semiHidden/>
    <w:unhideWhenUsed/>
    <w:rsid w:val="00A54FA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54FA6"/>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A70A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570277">
      <w:bodyDiv w:val="1"/>
      <w:marLeft w:val="0"/>
      <w:marRight w:val="0"/>
      <w:marTop w:val="0"/>
      <w:marBottom w:val="0"/>
      <w:divBdr>
        <w:top w:val="none" w:sz="0" w:space="0" w:color="auto"/>
        <w:left w:val="none" w:sz="0" w:space="0" w:color="auto"/>
        <w:bottom w:val="none" w:sz="0" w:space="0" w:color="auto"/>
        <w:right w:val="none" w:sz="0" w:space="0" w:color="auto"/>
      </w:divBdr>
      <w:divsChild>
        <w:div w:id="139807429">
          <w:marLeft w:val="0"/>
          <w:marRight w:val="0"/>
          <w:marTop w:val="0"/>
          <w:marBottom w:val="0"/>
          <w:divBdr>
            <w:top w:val="none" w:sz="0" w:space="0" w:color="auto"/>
            <w:left w:val="none" w:sz="0" w:space="0" w:color="auto"/>
            <w:bottom w:val="none" w:sz="0" w:space="0" w:color="auto"/>
            <w:right w:val="none" w:sz="0" w:space="0" w:color="auto"/>
          </w:divBdr>
          <w:divsChild>
            <w:div w:id="828864430">
              <w:marLeft w:val="0"/>
              <w:marRight w:val="0"/>
              <w:marTop w:val="0"/>
              <w:marBottom w:val="0"/>
              <w:divBdr>
                <w:top w:val="none" w:sz="0" w:space="0" w:color="auto"/>
                <w:left w:val="none" w:sz="0" w:space="0" w:color="auto"/>
                <w:bottom w:val="none" w:sz="0" w:space="0" w:color="auto"/>
                <w:right w:val="none" w:sz="0" w:space="0" w:color="auto"/>
              </w:divBdr>
              <w:divsChild>
                <w:div w:id="28928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06650">
      <w:bodyDiv w:val="1"/>
      <w:marLeft w:val="0"/>
      <w:marRight w:val="0"/>
      <w:marTop w:val="0"/>
      <w:marBottom w:val="0"/>
      <w:divBdr>
        <w:top w:val="none" w:sz="0" w:space="0" w:color="auto"/>
        <w:left w:val="none" w:sz="0" w:space="0" w:color="auto"/>
        <w:bottom w:val="none" w:sz="0" w:space="0" w:color="auto"/>
        <w:right w:val="none" w:sz="0" w:space="0" w:color="auto"/>
      </w:divBdr>
      <w:divsChild>
        <w:div w:id="564462063">
          <w:marLeft w:val="0"/>
          <w:marRight w:val="0"/>
          <w:marTop w:val="0"/>
          <w:marBottom w:val="0"/>
          <w:divBdr>
            <w:top w:val="none" w:sz="0" w:space="0" w:color="auto"/>
            <w:left w:val="none" w:sz="0" w:space="0" w:color="auto"/>
            <w:bottom w:val="none" w:sz="0" w:space="0" w:color="auto"/>
            <w:right w:val="none" w:sz="0" w:space="0" w:color="auto"/>
          </w:divBdr>
          <w:divsChild>
            <w:div w:id="422535209">
              <w:marLeft w:val="0"/>
              <w:marRight w:val="0"/>
              <w:marTop w:val="0"/>
              <w:marBottom w:val="0"/>
              <w:divBdr>
                <w:top w:val="none" w:sz="0" w:space="0" w:color="auto"/>
                <w:left w:val="none" w:sz="0" w:space="0" w:color="auto"/>
                <w:bottom w:val="none" w:sz="0" w:space="0" w:color="auto"/>
                <w:right w:val="none" w:sz="0" w:space="0" w:color="auto"/>
              </w:divBdr>
              <w:divsChild>
                <w:div w:id="9723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72001">
      <w:bodyDiv w:val="1"/>
      <w:marLeft w:val="0"/>
      <w:marRight w:val="0"/>
      <w:marTop w:val="0"/>
      <w:marBottom w:val="0"/>
      <w:divBdr>
        <w:top w:val="none" w:sz="0" w:space="0" w:color="auto"/>
        <w:left w:val="none" w:sz="0" w:space="0" w:color="auto"/>
        <w:bottom w:val="none" w:sz="0" w:space="0" w:color="auto"/>
        <w:right w:val="none" w:sz="0" w:space="0" w:color="auto"/>
      </w:divBdr>
      <w:divsChild>
        <w:div w:id="1046178512">
          <w:marLeft w:val="0"/>
          <w:marRight w:val="0"/>
          <w:marTop w:val="0"/>
          <w:marBottom w:val="0"/>
          <w:divBdr>
            <w:top w:val="none" w:sz="0" w:space="0" w:color="auto"/>
            <w:left w:val="none" w:sz="0" w:space="0" w:color="auto"/>
            <w:bottom w:val="none" w:sz="0" w:space="0" w:color="auto"/>
            <w:right w:val="none" w:sz="0" w:space="0" w:color="auto"/>
          </w:divBdr>
          <w:divsChild>
            <w:div w:id="1250578519">
              <w:marLeft w:val="0"/>
              <w:marRight w:val="0"/>
              <w:marTop w:val="0"/>
              <w:marBottom w:val="0"/>
              <w:divBdr>
                <w:top w:val="none" w:sz="0" w:space="0" w:color="auto"/>
                <w:left w:val="none" w:sz="0" w:space="0" w:color="auto"/>
                <w:bottom w:val="none" w:sz="0" w:space="0" w:color="auto"/>
                <w:right w:val="none" w:sz="0" w:space="0" w:color="auto"/>
              </w:divBdr>
              <w:divsChild>
                <w:div w:id="8521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8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fjxyo2VvmEtLETh4WeeDlMDZRQ==">AMUW2mWrASrpcPC7+PI1QkzJ6LW81Lw1K88yDovgq2U7HVidrLKHEm4X8lTkRNfACt3Lj6jjw3a96cv3XLiYdOIssyRN3z5lMYuTZT/jNHr0sVoGmJYbNnTYOtnh6SDz0/VNm1enk6VY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170659-34F8-B34E-91F3-E3B00C033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550</Words>
  <Characters>2974</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Cyntia Tavares</dc:creator>
  <cp:lastModifiedBy>Lívia de Meira Lima Paiva</cp:lastModifiedBy>
  <cp:revision>2</cp:revision>
  <dcterms:created xsi:type="dcterms:W3CDTF">2020-10-28T19:08:00Z</dcterms:created>
  <dcterms:modified xsi:type="dcterms:W3CDTF">2020-10-28T19:08:00Z</dcterms:modified>
</cp:coreProperties>
</file>