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EFEEE" w14:textId="7189C872" w:rsidR="009828D0" w:rsidRPr="009828D0" w:rsidRDefault="009828D0" w:rsidP="00AA3E89">
      <w:pPr>
        <w:spacing w:after="0" w:line="240" w:lineRule="auto"/>
        <w:jc w:val="center"/>
        <w:rPr>
          <w:rFonts w:ascii="Times New Roman" w:hAnsi="Times New Roman" w:cs="Times New Roman"/>
          <w:b/>
          <w:sz w:val="24"/>
          <w:szCs w:val="24"/>
        </w:rPr>
      </w:pPr>
      <w:r w:rsidRPr="009828D0">
        <w:rPr>
          <w:rFonts w:ascii="Times New Roman" w:hAnsi="Times New Roman" w:cs="Times New Roman"/>
          <w:b/>
          <w:sz w:val="24"/>
          <w:szCs w:val="24"/>
        </w:rPr>
        <w:t>Missão estrange</w:t>
      </w:r>
      <w:r w:rsidR="00A56CDB">
        <w:rPr>
          <w:rFonts w:ascii="Times New Roman" w:hAnsi="Times New Roman" w:cs="Times New Roman"/>
          <w:b/>
          <w:sz w:val="24"/>
          <w:szCs w:val="24"/>
        </w:rPr>
        <w:t>i</w:t>
      </w:r>
      <w:r w:rsidRPr="009828D0">
        <w:rPr>
          <w:rFonts w:ascii="Times New Roman" w:hAnsi="Times New Roman" w:cs="Times New Roman"/>
          <w:b/>
          <w:sz w:val="24"/>
          <w:szCs w:val="24"/>
        </w:rPr>
        <w:t>ra na USP (1934-1938): entre espaço de experiência e horizonte de expectativa</w:t>
      </w:r>
    </w:p>
    <w:p w14:paraId="6E378589" w14:textId="77777777" w:rsidR="00982F23" w:rsidRPr="00796045" w:rsidRDefault="00982F23" w:rsidP="00982F23">
      <w:pPr>
        <w:rPr>
          <w:rFonts w:ascii="Times New Roman" w:hAnsi="Times New Roman" w:cs="Times New Roman"/>
          <w:sz w:val="24"/>
          <w:szCs w:val="24"/>
        </w:rPr>
      </w:pPr>
    </w:p>
    <w:p w14:paraId="34EEBB04" w14:textId="77A8ADD8" w:rsidR="00796045" w:rsidRDefault="009828D0" w:rsidP="00D774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Névio de Campos</w:t>
      </w:r>
      <w:r w:rsidR="00D77435">
        <w:rPr>
          <w:rStyle w:val="Refdenotaderodap"/>
          <w:rFonts w:ascii="Times New Roman" w:hAnsi="Times New Roman" w:cs="Times New Roman"/>
          <w:sz w:val="24"/>
          <w:szCs w:val="24"/>
        </w:rPr>
        <w:footnoteReference w:id="1"/>
      </w:r>
    </w:p>
    <w:p w14:paraId="3A7A5384" w14:textId="77777777" w:rsidR="0022073E" w:rsidRPr="00796045" w:rsidRDefault="0022073E" w:rsidP="00C32DEB">
      <w:pPr>
        <w:spacing w:after="0" w:line="240" w:lineRule="auto"/>
        <w:jc w:val="right"/>
        <w:rPr>
          <w:rFonts w:ascii="Times New Roman" w:hAnsi="Times New Roman" w:cs="Times New Roman"/>
          <w:sz w:val="24"/>
          <w:szCs w:val="24"/>
        </w:rPr>
      </w:pPr>
    </w:p>
    <w:p w14:paraId="458957F4" w14:textId="77777777" w:rsidR="00796045" w:rsidRPr="00796045" w:rsidRDefault="00796045" w:rsidP="00796045">
      <w:pPr>
        <w:rPr>
          <w:rFonts w:ascii="Times New Roman" w:hAnsi="Times New Roman" w:cs="Times New Roman"/>
          <w:sz w:val="24"/>
          <w:szCs w:val="24"/>
        </w:rPr>
      </w:pPr>
    </w:p>
    <w:p w14:paraId="40FFFAC4" w14:textId="77777777" w:rsidR="00796045" w:rsidRPr="000D72FF" w:rsidRDefault="00796045" w:rsidP="00796045">
      <w:pPr>
        <w:rPr>
          <w:rFonts w:ascii="Times New Roman" w:hAnsi="Times New Roman" w:cs="Times New Roman"/>
          <w:b/>
          <w:bCs/>
          <w:sz w:val="24"/>
          <w:szCs w:val="24"/>
        </w:rPr>
      </w:pPr>
      <w:r w:rsidRPr="000D72FF">
        <w:rPr>
          <w:rFonts w:ascii="Times New Roman" w:hAnsi="Times New Roman" w:cs="Times New Roman"/>
          <w:b/>
          <w:bCs/>
          <w:sz w:val="24"/>
          <w:szCs w:val="24"/>
        </w:rPr>
        <w:t>Resumo</w:t>
      </w:r>
    </w:p>
    <w:p w14:paraId="0BA3FF3A" w14:textId="705C0408" w:rsidR="00964AD7" w:rsidRPr="00AB0D78" w:rsidRDefault="00964AD7" w:rsidP="00964AD7">
      <w:pPr>
        <w:spacing w:after="0" w:line="240" w:lineRule="auto"/>
        <w:jc w:val="both"/>
        <w:rPr>
          <w:rFonts w:ascii="Times New Roman" w:hAnsi="Times New Roman" w:cs="Times New Roman"/>
          <w:sz w:val="24"/>
          <w:szCs w:val="24"/>
        </w:rPr>
      </w:pPr>
      <w:r w:rsidRPr="00AB0D78">
        <w:rPr>
          <w:rFonts w:ascii="Times New Roman" w:hAnsi="Times New Roman" w:cs="Times New Roman"/>
          <w:sz w:val="24"/>
          <w:szCs w:val="24"/>
        </w:rPr>
        <w:t>Est</w:t>
      </w:r>
      <w:r w:rsidR="009F0571">
        <w:rPr>
          <w:rFonts w:ascii="Times New Roman" w:hAnsi="Times New Roman" w:cs="Times New Roman"/>
          <w:sz w:val="24"/>
          <w:szCs w:val="24"/>
        </w:rPr>
        <w:t xml:space="preserve">e texto apresenta os posicionamentos de personagens envolvidos </w:t>
      </w:r>
      <w:r w:rsidR="00B22126">
        <w:rPr>
          <w:rFonts w:ascii="Times New Roman" w:hAnsi="Times New Roman" w:cs="Times New Roman"/>
          <w:sz w:val="24"/>
          <w:szCs w:val="24"/>
        </w:rPr>
        <w:t>com o</w:t>
      </w:r>
      <w:r w:rsidR="009F0571">
        <w:rPr>
          <w:rFonts w:ascii="Times New Roman" w:hAnsi="Times New Roman" w:cs="Times New Roman"/>
          <w:sz w:val="24"/>
          <w:szCs w:val="24"/>
        </w:rPr>
        <w:t xml:space="preserve"> processo de organização das atividades acadêmicas da Faculdade de Filosofia, Ciências e Letras da Universidade de São Paulo</w:t>
      </w:r>
      <w:r w:rsidR="001A4791">
        <w:rPr>
          <w:rFonts w:ascii="Times New Roman" w:hAnsi="Times New Roman" w:cs="Times New Roman"/>
          <w:sz w:val="24"/>
          <w:szCs w:val="24"/>
        </w:rPr>
        <w:t xml:space="preserve"> (</w:t>
      </w:r>
      <w:r w:rsidR="001A4791" w:rsidRPr="001A4791">
        <w:rPr>
          <w:rFonts w:ascii="Times New Roman" w:hAnsi="Times New Roman" w:cs="Times New Roman"/>
          <w:sz w:val="24"/>
          <w:szCs w:val="24"/>
        </w:rPr>
        <w:t>FFCL-USP</w:t>
      </w:r>
      <w:r w:rsidR="001A4791">
        <w:rPr>
          <w:rFonts w:ascii="Times New Roman" w:hAnsi="Times New Roman" w:cs="Times New Roman"/>
          <w:sz w:val="24"/>
          <w:szCs w:val="24"/>
        </w:rPr>
        <w:t>)</w:t>
      </w:r>
      <w:r w:rsidR="009F0571">
        <w:rPr>
          <w:rFonts w:ascii="Times New Roman" w:hAnsi="Times New Roman" w:cs="Times New Roman"/>
          <w:sz w:val="24"/>
          <w:szCs w:val="24"/>
        </w:rPr>
        <w:t xml:space="preserve">, privilegiando </w:t>
      </w:r>
      <w:r w:rsidRPr="00AB0D78">
        <w:rPr>
          <w:rFonts w:ascii="Times New Roman" w:hAnsi="Times New Roman" w:cs="Times New Roman"/>
          <w:sz w:val="24"/>
          <w:szCs w:val="24"/>
        </w:rPr>
        <w:t>uma abordagem do espaço de experiência e do horizonte de expectativa de agentes políticos e docentes dos primeiros anos após a criação d</w:t>
      </w:r>
      <w:r w:rsidR="001A4791">
        <w:rPr>
          <w:rFonts w:ascii="Times New Roman" w:hAnsi="Times New Roman" w:cs="Times New Roman"/>
          <w:sz w:val="24"/>
          <w:szCs w:val="24"/>
        </w:rPr>
        <w:t>esta instituição (1934)</w:t>
      </w:r>
      <w:r w:rsidRPr="00AB0D78">
        <w:rPr>
          <w:rFonts w:ascii="Times New Roman" w:hAnsi="Times New Roman" w:cs="Times New Roman"/>
          <w:sz w:val="24"/>
          <w:szCs w:val="24"/>
        </w:rPr>
        <w:t xml:space="preserve">. </w:t>
      </w:r>
      <w:r w:rsidR="009F0571">
        <w:rPr>
          <w:rFonts w:ascii="Times New Roman" w:hAnsi="Times New Roman" w:cs="Times New Roman"/>
          <w:sz w:val="24"/>
          <w:szCs w:val="24"/>
        </w:rPr>
        <w:t>Com base nos debates da história intelectual e em dados registados n</w:t>
      </w:r>
      <w:r w:rsidRPr="00AB0D78">
        <w:rPr>
          <w:rFonts w:ascii="Times New Roman" w:hAnsi="Times New Roman" w:cs="Times New Roman"/>
          <w:sz w:val="24"/>
          <w:szCs w:val="24"/>
        </w:rPr>
        <w:t>o Anuário</w:t>
      </w:r>
      <w:r w:rsidR="009F0571">
        <w:rPr>
          <w:rFonts w:ascii="Times New Roman" w:hAnsi="Times New Roman" w:cs="Times New Roman"/>
          <w:sz w:val="24"/>
          <w:szCs w:val="24"/>
        </w:rPr>
        <w:t xml:space="preserve"> (</w:t>
      </w:r>
      <w:r w:rsidRPr="00AB0D78">
        <w:rPr>
          <w:rFonts w:ascii="Times New Roman" w:hAnsi="Times New Roman" w:cs="Times New Roman"/>
          <w:sz w:val="24"/>
          <w:szCs w:val="24"/>
        </w:rPr>
        <w:t>aulas inaugurais, seminários, relatórios</w:t>
      </w:r>
      <w:r w:rsidR="009F0571">
        <w:rPr>
          <w:rFonts w:ascii="Times New Roman" w:hAnsi="Times New Roman" w:cs="Times New Roman"/>
          <w:sz w:val="24"/>
          <w:szCs w:val="24"/>
        </w:rPr>
        <w:t>)</w:t>
      </w:r>
      <w:r w:rsidR="001A4791">
        <w:rPr>
          <w:rFonts w:ascii="Times New Roman" w:hAnsi="Times New Roman" w:cs="Times New Roman"/>
          <w:sz w:val="24"/>
          <w:szCs w:val="24"/>
        </w:rPr>
        <w:t xml:space="preserve"> esta narrativa</w:t>
      </w:r>
      <w:r w:rsidR="009F0571">
        <w:rPr>
          <w:rFonts w:ascii="Times New Roman" w:hAnsi="Times New Roman" w:cs="Times New Roman"/>
          <w:sz w:val="24"/>
          <w:szCs w:val="24"/>
        </w:rPr>
        <w:t xml:space="preserve"> expõe as avaliações referentes a ideia de universidade e ao papel da </w:t>
      </w:r>
      <w:r w:rsidR="001A4791" w:rsidRPr="001A4791">
        <w:rPr>
          <w:rFonts w:ascii="Times New Roman" w:hAnsi="Times New Roman" w:cs="Times New Roman"/>
          <w:sz w:val="24"/>
          <w:szCs w:val="24"/>
        </w:rPr>
        <w:t>FFCL</w:t>
      </w:r>
      <w:r w:rsidR="001A4791">
        <w:rPr>
          <w:rFonts w:ascii="Times New Roman" w:hAnsi="Times New Roman" w:cs="Times New Roman"/>
          <w:sz w:val="24"/>
          <w:szCs w:val="24"/>
        </w:rPr>
        <w:t xml:space="preserve"> </w:t>
      </w:r>
      <w:r w:rsidR="009F0571">
        <w:rPr>
          <w:rFonts w:ascii="Times New Roman" w:hAnsi="Times New Roman" w:cs="Times New Roman"/>
          <w:sz w:val="24"/>
          <w:szCs w:val="24"/>
        </w:rPr>
        <w:t>no contexto da década de 1930</w:t>
      </w:r>
      <w:r w:rsidRPr="00AB0D78">
        <w:rPr>
          <w:rFonts w:ascii="Times New Roman" w:hAnsi="Times New Roman" w:cs="Times New Roman"/>
          <w:sz w:val="24"/>
          <w:szCs w:val="24"/>
        </w:rPr>
        <w:t xml:space="preserve">. Nesses documentos, percebe-se a tentativa de demarcar um horizonte de expectativa no âmbito da história da educação superior no Brasil, especialmente por parte das lideranças políticas da instituição. Ao mesmo tempo, as publicações do Anuário dão visibilidade aos posicionamentos de inúmeros docentes, nos quais se observa a expectativa da missão estrangeira e a expectativa dos próprios professores, mas, sobretudo, nota-se o registro de uma certa ambivalência entre horizontes de expectativa e espaços de experiência. </w:t>
      </w:r>
      <w:r w:rsidR="009F0571">
        <w:rPr>
          <w:rFonts w:ascii="Times New Roman" w:hAnsi="Times New Roman" w:cs="Times New Roman"/>
          <w:sz w:val="24"/>
          <w:szCs w:val="24"/>
        </w:rPr>
        <w:t>A</w:t>
      </w:r>
      <w:r w:rsidRPr="00AB0D78">
        <w:rPr>
          <w:rFonts w:ascii="Times New Roman" w:hAnsi="Times New Roman" w:cs="Times New Roman"/>
          <w:sz w:val="24"/>
          <w:szCs w:val="24"/>
        </w:rPr>
        <w:t xml:space="preserve"> análise desses dados está articulada ao conjunto de produção existente sobre a história d</w:t>
      </w:r>
      <w:r w:rsidR="001A4791">
        <w:rPr>
          <w:rFonts w:ascii="Times New Roman" w:hAnsi="Times New Roman" w:cs="Times New Roman"/>
          <w:sz w:val="24"/>
          <w:szCs w:val="24"/>
        </w:rPr>
        <w:t>o ensino superior no Brasil</w:t>
      </w:r>
      <w:r w:rsidRPr="00AB0D78">
        <w:rPr>
          <w:rFonts w:ascii="Times New Roman" w:hAnsi="Times New Roman" w:cs="Times New Roman"/>
          <w:sz w:val="24"/>
          <w:szCs w:val="24"/>
        </w:rPr>
        <w:t>. Em síntese, est</w:t>
      </w:r>
      <w:r w:rsidR="009F0571">
        <w:rPr>
          <w:rFonts w:ascii="Times New Roman" w:hAnsi="Times New Roman" w:cs="Times New Roman"/>
          <w:sz w:val="24"/>
          <w:szCs w:val="24"/>
        </w:rPr>
        <w:t>a</w:t>
      </w:r>
      <w:r w:rsidRPr="00AB0D78">
        <w:rPr>
          <w:rFonts w:ascii="Times New Roman" w:hAnsi="Times New Roman" w:cs="Times New Roman"/>
          <w:sz w:val="24"/>
          <w:szCs w:val="24"/>
        </w:rPr>
        <w:t xml:space="preserve"> proposta inscreve-se na história intelectual, domínio que ganhou espaço a partir dos anos 1980</w:t>
      </w:r>
      <w:r w:rsidR="009F0571">
        <w:rPr>
          <w:rFonts w:ascii="Times New Roman" w:hAnsi="Times New Roman" w:cs="Times New Roman"/>
          <w:sz w:val="24"/>
          <w:szCs w:val="24"/>
        </w:rPr>
        <w:t>, direciona</w:t>
      </w:r>
      <w:r w:rsidR="001A4791">
        <w:rPr>
          <w:rFonts w:ascii="Times New Roman" w:hAnsi="Times New Roman" w:cs="Times New Roman"/>
          <w:sz w:val="24"/>
          <w:szCs w:val="24"/>
        </w:rPr>
        <w:t>n</w:t>
      </w:r>
      <w:r w:rsidR="009F0571">
        <w:rPr>
          <w:rFonts w:ascii="Times New Roman" w:hAnsi="Times New Roman" w:cs="Times New Roman"/>
          <w:sz w:val="24"/>
          <w:szCs w:val="24"/>
        </w:rPr>
        <w:t xml:space="preserve">do </w:t>
      </w:r>
      <w:r w:rsidRPr="00AB0D78">
        <w:rPr>
          <w:rFonts w:ascii="Times New Roman" w:hAnsi="Times New Roman" w:cs="Times New Roman"/>
          <w:sz w:val="24"/>
          <w:szCs w:val="24"/>
        </w:rPr>
        <w:t xml:space="preserve">para uma interlocução entre história intelectual, história dos intelectuais e sociologia dos intelectuais, cuja preocupação é observar a atividade intelectual de modo relacional ao mundo da vida e de maneira </w:t>
      </w:r>
      <w:r w:rsidR="001A4791">
        <w:rPr>
          <w:rFonts w:ascii="Times New Roman" w:hAnsi="Times New Roman" w:cs="Times New Roman"/>
          <w:sz w:val="24"/>
          <w:szCs w:val="24"/>
        </w:rPr>
        <w:t>articulado</w:t>
      </w:r>
      <w:r w:rsidRPr="00AB0D78">
        <w:rPr>
          <w:rFonts w:ascii="Times New Roman" w:hAnsi="Times New Roman" w:cs="Times New Roman"/>
          <w:sz w:val="24"/>
          <w:szCs w:val="24"/>
        </w:rPr>
        <w:t xml:space="preserve"> ao mundo cultural.</w:t>
      </w:r>
    </w:p>
    <w:p w14:paraId="2066324A" w14:textId="77777777" w:rsidR="00964AD7" w:rsidRDefault="00964AD7" w:rsidP="009237AE">
      <w:pPr>
        <w:spacing w:after="0" w:line="240" w:lineRule="auto"/>
        <w:jc w:val="both"/>
        <w:rPr>
          <w:rFonts w:ascii="Times New Roman" w:hAnsi="Times New Roman" w:cs="Times New Roman"/>
          <w:sz w:val="24"/>
          <w:szCs w:val="24"/>
        </w:rPr>
      </w:pPr>
    </w:p>
    <w:p w14:paraId="76300E6C" w14:textId="77777777" w:rsidR="009237AE" w:rsidRPr="00796045" w:rsidRDefault="009237AE" w:rsidP="009237AE">
      <w:pPr>
        <w:spacing w:after="0" w:line="240" w:lineRule="auto"/>
        <w:jc w:val="both"/>
        <w:rPr>
          <w:rFonts w:ascii="Times New Roman" w:hAnsi="Times New Roman" w:cs="Times New Roman"/>
          <w:sz w:val="24"/>
          <w:szCs w:val="24"/>
        </w:rPr>
      </w:pPr>
    </w:p>
    <w:p w14:paraId="11E1FC42" w14:textId="0A5540CE" w:rsidR="00796045" w:rsidRPr="001A4791" w:rsidRDefault="00796045" w:rsidP="009237AE">
      <w:pPr>
        <w:spacing w:after="0" w:line="240" w:lineRule="auto"/>
        <w:rPr>
          <w:rFonts w:ascii="Times New Roman" w:hAnsi="Times New Roman" w:cs="Times New Roman"/>
          <w:sz w:val="24"/>
          <w:szCs w:val="24"/>
        </w:rPr>
      </w:pPr>
      <w:r w:rsidRPr="000D72FF">
        <w:rPr>
          <w:rFonts w:ascii="Times New Roman" w:hAnsi="Times New Roman" w:cs="Times New Roman"/>
          <w:b/>
          <w:bCs/>
          <w:sz w:val="24"/>
          <w:szCs w:val="24"/>
        </w:rPr>
        <w:t>Palavras-chave</w:t>
      </w:r>
      <w:r w:rsidR="009237AE" w:rsidRPr="000D72FF">
        <w:rPr>
          <w:rFonts w:ascii="Times New Roman" w:hAnsi="Times New Roman" w:cs="Times New Roman"/>
          <w:b/>
          <w:bCs/>
          <w:sz w:val="24"/>
          <w:szCs w:val="24"/>
        </w:rPr>
        <w:t>:</w:t>
      </w:r>
      <w:r w:rsidR="001A4791">
        <w:rPr>
          <w:rFonts w:ascii="Times New Roman" w:hAnsi="Times New Roman" w:cs="Times New Roman"/>
          <w:b/>
          <w:bCs/>
          <w:sz w:val="24"/>
          <w:szCs w:val="24"/>
        </w:rPr>
        <w:t xml:space="preserve"> </w:t>
      </w:r>
      <w:r w:rsidR="001A4791" w:rsidRPr="001A4791">
        <w:rPr>
          <w:rFonts w:ascii="Times New Roman" w:hAnsi="Times New Roman" w:cs="Times New Roman"/>
          <w:sz w:val="24"/>
          <w:szCs w:val="24"/>
        </w:rPr>
        <w:t>Espaços de experiência, Horizontes de expectativa, FFCL-USP.</w:t>
      </w:r>
    </w:p>
    <w:p w14:paraId="2DBD6D9F" w14:textId="77777777" w:rsidR="00982F23" w:rsidRPr="00796045" w:rsidRDefault="00982F23" w:rsidP="00982F23">
      <w:pPr>
        <w:rPr>
          <w:rFonts w:ascii="Times New Roman" w:hAnsi="Times New Roman" w:cs="Times New Roman"/>
        </w:rPr>
      </w:pPr>
    </w:p>
    <w:p w14:paraId="7F5573BE" w14:textId="77777777" w:rsidR="00982F23" w:rsidRPr="00982F23" w:rsidRDefault="00982F23" w:rsidP="00982F23"/>
    <w:p w14:paraId="7EA79C67" w14:textId="77777777" w:rsidR="00982F23" w:rsidRPr="00982F23" w:rsidRDefault="00982F23" w:rsidP="00982F23"/>
    <w:p w14:paraId="268062AC" w14:textId="77777777" w:rsidR="00A70CC4" w:rsidRDefault="00A70CC4" w:rsidP="00982F23"/>
    <w:p w14:paraId="6B1E84C4" w14:textId="77777777" w:rsidR="00982F23" w:rsidRPr="00982F23" w:rsidRDefault="00982F23" w:rsidP="00982F23">
      <w:pPr>
        <w:jc w:val="center"/>
      </w:pPr>
    </w:p>
    <w:sectPr w:rsidR="00982F23" w:rsidRPr="00982F23" w:rsidSect="00AA3E89">
      <w:headerReference w:type="default" r:id="rId7"/>
      <w:footerReference w:type="default" r:id="rId8"/>
      <w:pgSz w:w="11906" w:h="16838"/>
      <w:pgMar w:top="993"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309DD" w14:textId="77777777" w:rsidR="001F3980" w:rsidRDefault="001F3980" w:rsidP="00982F23">
      <w:pPr>
        <w:spacing w:after="0" w:line="240" w:lineRule="auto"/>
      </w:pPr>
      <w:r>
        <w:separator/>
      </w:r>
    </w:p>
  </w:endnote>
  <w:endnote w:type="continuationSeparator" w:id="0">
    <w:p w14:paraId="129CF94C" w14:textId="77777777" w:rsidR="001F3980" w:rsidRDefault="001F3980" w:rsidP="0098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2775" w14:textId="7500388C" w:rsidR="00982F23" w:rsidRDefault="00982F23" w:rsidP="00982F23">
    <w:pPr>
      <w:pStyle w:val="Rodap"/>
      <w:ind w:left="-170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3AC64" w14:textId="77777777" w:rsidR="001F3980" w:rsidRDefault="001F3980" w:rsidP="00982F23">
      <w:pPr>
        <w:spacing w:after="0" w:line="240" w:lineRule="auto"/>
      </w:pPr>
      <w:r>
        <w:separator/>
      </w:r>
    </w:p>
  </w:footnote>
  <w:footnote w:type="continuationSeparator" w:id="0">
    <w:p w14:paraId="2A404D71" w14:textId="77777777" w:rsidR="001F3980" w:rsidRDefault="001F3980" w:rsidP="00982F23">
      <w:pPr>
        <w:spacing w:after="0" w:line="240" w:lineRule="auto"/>
      </w:pPr>
      <w:r>
        <w:continuationSeparator/>
      </w:r>
    </w:p>
  </w:footnote>
  <w:footnote w:id="1">
    <w:p w14:paraId="11BD5921" w14:textId="2458DF6A" w:rsidR="00D77435" w:rsidRPr="00A56CDB" w:rsidRDefault="00D77435" w:rsidP="00A56CDB">
      <w:pPr>
        <w:pStyle w:val="Textodenotaderodap"/>
        <w:ind w:left="142" w:hanging="142"/>
        <w:jc w:val="both"/>
        <w:rPr>
          <w:rFonts w:ascii="Times New Roman" w:hAnsi="Times New Roman" w:cs="Times New Roman"/>
        </w:rPr>
      </w:pPr>
      <w:r w:rsidRPr="00A56CDB">
        <w:rPr>
          <w:rStyle w:val="Refdenotaderodap"/>
          <w:rFonts w:ascii="Times New Roman" w:hAnsi="Times New Roman" w:cs="Times New Roman"/>
        </w:rPr>
        <w:footnoteRef/>
      </w:r>
      <w:r w:rsidRPr="00A56CDB">
        <w:rPr>
          <w:rFonts w:ascii="Times New Roman" w:hAnsi="Times New Roman" w:cs="Times New Roman"/>
        </w:rPr>
        <w:t xml:space="preserve"> </w:t>
      </w:r>
      <w:r w:rsidR="009828D0" w:rsidRPr="00A56CDB">
        <w:rPr>
          <w:rFonts w:ascii="Times New Roman" w:hAnsi="Times New Roman" w:cs="Times New Roman"/>
        </w:rPr>
        <w:t xml:space="preserve">Doutor e professor nos Programas de Pós-Graduação em História e </w:t>
      </w:r>
      <w:r w:rsidR="009828D0" w:rsidRPr="00A56CDB">
        <w:rPr>
          <w:rFonts w:ascii="Times New Roman" w:hAnsi="Times New Roman" w:cs="Times New Roman"/>
        </w:rPr>
        <w:t xml:space="preserve">em </w:t>
      </w:r>
      <w:r w:rsidR="009828D0" w:rsidRPr="00A56CDB">
        <w:rPr>
          <w:rFonts w:ascii="Times New Roman" w:hAnsi="Times New Roman" w:cs="Times New Roman"/>
        </w:rPr>
        <w:t xml:space="preserve">Educação da Universidade Estadual de Ponta Grossa, Paraná, Brasil. Pesquisador produtividade CNPq. Membro do Centro Europeu de Sociologia e Ciência Política. Área de interesse: </w:t>
      </w:r>
      <w:r w:rsidR="00A56CDB">
        <w:rPr>
          <w:rFonts w:ascii="Times New Roman" w:hAnsi="Times New Roman" w:cs="Times New Roman"/>
        </w:rPr>
        <w:t>H</w:t>
      </w:r>
      <w:r w:rsidR="009828D0" w:rsidRPr="00A56CDB">
        <w:rPr>
          <w:rFonts w:ascii="Times New Roman" w:hAnsi="Times New Roman" w:cs="Times New Roman"/>
        </w:rPr>
        <w:t>istória intelectual e dos intelectuais.</w:t>
      </w:r>
      <w:r w:rsidR="003E20CE" w:rsidRPr="00A56CDB">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6C607" w14:textId="4DC327F7" w:rsidR="00E750E4" w:rsidRDefault="00E750E4" w:rsidP="00AA3E89">
    <w:pPr>
      <w:pStyle w:val="Cabealho"/>
      <w:ind w:left="-851"/>
      <w:jc w:val="center"/>
    </w:pPr>
    <w:r>
      <w:rPr>
        <w:noProof/>
      </w:rPr>
      <w:drawing>
        <wp:inline distT="0" distB="0" distL="0" distR="0" wp14:anchorId="20CAB3AA" wp14:editId="6C8E7545">
          <wp:extent cx="6480175" cy="982980"/>
          <wp:effectExtent l="0" t="0" r="0" b="7620"/>
          <wp:docPr id="1203961917"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65844" name="Imagem 1" descr="Interface gráfica do usuário, Texto&#10;&#10;Descrição gerada automaticamente"/>
                  <pic:cNvPicPr/>
                </pic:nvPicPr>
                <pic:blipFill rotWithShape="1">
                  <a:blip r:embed="rId1">
                    <a:extLst>
                      <a:ext uri="{28A0092B-C50C-407E-A947-70E740481C1C}">
                        <a14:useLocalDpi xmlns:a14="http://schemas.microsoft.com/office/drawing/2010/main" val="0"/>
                      </a:ext>
                    </a:extLst>
                  </a:blip>
                  <a:srcRect t="32458" b="37201"/>
                  <a:stretch/>
                </pic:blipFill>
                <pic:spPr bwMode="auto">
                  <a:xfrm>
                    <a:off x="0" y="0"/>
                    <a:ext cx="6480175" cy="982980"/>
                  </a:xfrm>
                  <a:prstGeom prst="rect">
                    <a:avLst/>
                  </a:prstGeom>
                  <a:ln>
                    <a:noFill/>
                  </a:ln>
                  <a:extLst>
                    <a:ext uri="{53640926-AAD7-44D8-BBD7-CCE9431645EC}">
                      <a14:shadowObscured xmlns:a14="http://schemas.microsoft.com/office/drawing/2010/main"/>
                    </a:ext>
                  </a:extLst>
                </pic:spPr>
              </pic:pic>
            </a:graphicData>
          </a:graphic>
        </wp:inline>
      </w:drawing>
    </w:r>
  </w:p>
  <w:p w14:paraId="4CDCA980" w14:textId="7AFF5550" w:rsidR="00982F23" w:rsidRDefault="00982F23" w:rsidP="00982F23">
    <w:pPr>
      <w:pStyle w:val="Cabealho"/>
      <w:tabs>
        <w:tab w:val="clear" w:pos="8504"/>
        <w:tab w:val="right" w:pos="10205"/>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23"/>
    <w:rsid w:val="000D72FF"/>
    <w:rsid w:val="00121F09"/>
    <w:rsid w:val="00190DCE"/>
    <w:rsid w:val="001A4791"/>
    <w:rsid w:val="001F1BB8"/>
    <w:rsid w:val="001F3980"/>
    <w:rsid w:val="00213A7B"/>
    <w:rsid w:val="0022073E"/>
    <w:rsid w:val="00225B38"/>
    <w:rsid w:val="00226072"/>
    <w:rsid w:val="002A0C3B"/>
    <w:rsid w:val="00316369"/>
    <w:rsid w:val="0036420F"/>
    <w:rsid w:val="003E20CE"/>
    <w:rsid w:val="0042457E"/>
    <w:rsid w:val="00465E69"/>
    <w:rsid w:val="004A583B"/>
    <w:rsid w:val="005A7ADD"/>
    <w:rsid w:val="005B74BD"/>
    <w:rsid w:val="006B6108"/>
    <w:rsid w:val="006C7FBC"/>
    <w:rsid w:val="00760F65"/>
    <w:rsid w:val="00796045"/>
    <w:rsid w:val="0084404A"/>
    <w:rsid w:val="00882329"/>
    <w:rsid w:val="009237AE"/>
    <w:rsid w:val="00964AD7"/>
    <w:rsid w:val="009828D0"/>
    <w:rsid w:val="00982F23"/>
    <w:rsid w:val="009F0571"/>
    <w:rsid w:val="00A56CDB"/>
    <w:rsid w:val="00A70CC4"/>
    <w:rsid w:val="00A84CCB"/>
    <w:rsid w:val="00AA3E89"/>
    <w:rsid w:val="00AD1DE7"/>
    <w:rsid w:val="00B173A2"/>
    <w:rsid w:val="00B22126"/>
    <w:rsid w:val="00C32DEB"/>
    <w:rsid w:val="00C53FE3"/>
    <w:rsid w:val="00C54813"/>
    <w:rsid w:val="00D201B4"/>
    <w:rsid w:val="00D77435"/>
    <w:rsid w:val="00DB383E"/>
    <w:rsid w:val="00E750E4"/>
    <w:rsid w:val="00E833E8"/>
    <w:rsid w:val="00EF13C2"/>
    <w:rsid w:val="00F311F9"/>
    <w:rsid w:val="00FA4488"/>
    <w:rsid w:val="00FE41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7173"/>
  <w15:chartTrackingRefBased/>
  <w15:docId w15:val="{737FB555-601C-4673-84FE-6FF6B80D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82F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982F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82F2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982F2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982F2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982F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82F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82F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82F2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2F2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982F2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982F2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982F2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982F2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982F2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82F2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82F2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82F23"/>
    <w:rPr>
      <w:rFonts w:eastAsiaTheme="majorEastAsia" w:cstheme="majorBidi"/>
      <w:color w:val="272727" w:themeColor="text1" w:themeTint="D8"/>
    </w:rPr>
  </w:style>
  <w:style w:type="paragraph" w:styleId="Ttulo">
    <w:name w:val="Title"/>
    <w:basedOn w:val="Normal"/>
    <w:next w:val="Normal"/>
    <w:link w:val="TtuloChar"/>
    <w:uiPriority w:val="10"/>
    <w:qFormat/>
    <w:rsid w:val="00982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82F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82F2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82F2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82F23"/>
    <w:pPr>
      <w:spacing w:before="160"/>
      <w:jc w:val="center"/>
    </w:pPr>
    <w:rPr>
      <w:i/>
      <w:iCs/>
      <w:color w:val="404040" w:themeColor="text1" w:themeTint="BF"/>
    </w:rPr>
  </w:style>
  <w:style w:type="character" w:customStyle="1" w:styleId="CitaoChar">
    <w:name w:val="Citação Char"/>
    <w:basedOn w:val="Fontepargpadro"/>
    <w:link w:val="Citao"/>
    <w:uiPriority w:val="29"/>
    <w:rsid w:val="00982F23"/>
    <w:rPr>
      <w:i/>
      <w:iCs/>
      <w:color w:val="404040" w:themeColor="text1" w:themeTint="BF"/>
    </w:rPr>
  </w:style>
  <w:style w:type="paragraph" w:styleId="PargrafodaLista">
    <w:name w:val="List Paragraph"/>
    <w:basedOn w:val="Normal"/>
    <w:uiPriority w:val="34"/>
    <w:qFormat/>
    <w:rsid w:val="00982F23"/>
    <w:pPr>
      <w:ind w:left="720"/>
      <w:contextualSpacing/>
    </w:pPr>
  </w:style>
  <w:style w:type="character" w:styleId="nfaseIntensa">
    <w:name w:val="Intense Emphasis"/>
    <w:basedOn w:val="Fontepargpadro"/>
    <w:uiPriority w:val="21"/>
    <w:qFormat/>
    <w:rsid w:val="00982F23"/>
    <w:rPr>
      <w:i/>
      <w:iCs/>
      <w:color w:val="2F5496" w:themeColor="accent1" w:themeShade="BF"/>
    </w:rPr>
  </w:style>
  <w:style w:type="paragraph" w:styleId="CitaoIntensa">
    <w:name w:val="Intense Quote"/>
    <w:basedOn w:val="Normal"/>
    <w:next w:val="Normal"/>
    <w:link w:val="CitaoIntensaChar"/>
    <w:uiPriority w:val="30"/>
    <w:qFormat/>
    <w:rsid w:val="00982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982F23"/>
    <w:rPr>
      <w:i/>
      <w:iCs/>
      <w:color w:val="2F5496" w:themeColor="accent1" w:themeShade="BF"/>
    </w:rPr>
  </w:style>
  <w:style w:type="character" w:styleId="RefernciaIntensa">
    <w:name w:val="Intense Reference"/>
    <w:basedOn w:val="Fontepargpadro"/>
    <w:uiPriority w:val="32"/>
    <w:qFormat/>
    <w:rsid w:val="00982F23"/>
    <w:rPr>
      <w:b/>
      <w:bCs/>
      <w:smallCaps/>
      <w:color w:val="2F5496" w:themeColor="accent1" w:themeShade="BF"/>
      <w:spacing w:val="5"/>
    </w:rPr>
  </w:style>
  <w:style w:type="paragraph" w:styleId="Cabealho">
    <w:name w:val="header"/>
    <w:basedOn w:val="Normal"/>
    <w:link w:val="CabealhoChar"/>
    <w:uiPriority w:val="99"/>
    <w:unhideWhenUsed/>
    <w:rsid w:val="00982F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2F23"/>
  </w:style>
  <w:style w:type="paragraph" w:styleId="Rodap">
    <w:name w:val="footer"/>
    <w:basedOn w:val="Normal"/>
    <w:link w:val="RodapChar"/>
    <w:uiPriority w:val="99"/>
    <w:unhideWhenUsed/>
    <w:rsid w:val="00982F23"/>
    <w:pPr>
      <w:tabs>
        <w:tab w:val="center" w:pos="4252"/>
        <w:tab w:val="right" w:pos="8504"/>
      </w:tabs>
      <w:spacing w:after="0" w:line="240" w:lineRule="auto"/>
    </w:pPr>
  </w:style>
  <w:style w:type="character" w:customStyle="1" w:styleId="RodapChar">
    <w:name w:val="Rodapé Char"/>
    <w:basedOn w:val="Fontepargpadro"/>
    <w:link w:val="Rodap"/>
    <w:uiPriority w:val="99"/>
    <w:rsid w:val="00982F23"/>
  </w:style>
  <w:style w:type="paragraph" w:styleId="Textodenotaderodap">
    <w:name w:val="footnote text"/>
    <w:basedOn w:val="Normal"/>
    <w:link w:val="TextodenotaderodapChar"/>
    <w:uiPriority w:val="99"/>
    <w:semiHidden/>
    <w:unhideWhenUsed/>
    <w:rsid w:val="00D7743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7435"/>
    <w:rPr>
      <w:sz w:val="20"/>
      <w:szCs w:val="20"/>
    </w:rPr>
  </w:style>
  <w:style w:type="character" w:styleId="Refdenotaderodap">
    <w:name w:val="footnote reference"/>
    <w:basedOn w:val="Fontepargpadro"/>
    <w:uiPriority w:val="99"/>
    <w:semiHidden/>
    <w:unhideWhenUsed/>
    <w:rsid w:val="00D77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02076">
      <w:bodyDiv w:val="1"/>
      <w:marLeft w:val="0"/>
      <w:marRight w:val="0"/>
      <w:marTop w:val="0"/>
      <w:marBottom w:val="0"/>
      <w:divBdr>
        <w:top w:val="none" w:sz="0" w:space="0" w:color="auto"/>
        <w:left w:val="none" w:sz="0" w:space="0" w:color="auto"/>
        <w:bottom w:val="none" w:sz="0" w:space="0" w:color="auto"/>
        <w:right w:val="none" w:sz="0" w:space="0" w:color="auto"/>
      </w:divBdr>
    </w:div>
    <w:div w:id="259488963">
      <w:bodyDiv w:val="1"/>
      <w:marLeft w:val="0"/>
      <w:marRight w:val="0"/>
      <w:marTop w:val="0"/>
      <w:marBottom w:val="0"/>
      <w:divBdr>
        <w:top w:val="none" w:sz="0" w:space="0" w:color="auto"/>
        <w:left w:val="none" w:sz="0" w:space="0" w:color="auto"/>
        <w:bottom w:val="none" w:sz="0" w:space="0" w:color="auto"/>
        <w:right w:val="none" w:sz="0" w:space="0" w:color="auto"/>
      </w:divBdr>
      <w:divsChild>
        <w:div w:id="1939677133">
          <w:marLeft w:val="0"/>
          <w:marRight w:val="0"/>
          <w:marTop w:val="0"/>
          <w:marBottom w:val="0"/>
          <w:divBdr>
            <w:top w:val="none" w:sz="0" w:space="0" w:color="auto"/>
            <w:left w:val="none" w:sz="0" w:space="0" w:color="auto"/>
            <w:bottom w:val="none" w:sz="0" w:space="0" w:color="auto"/>
            <w:right w:val="none" w:sz="0" w:space="0" w:color="auto"/>
          </w:divBdr>
          <w:divsChild>
            <w:div w:id="8285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2921">
      <w:bodyDiv w:val="1"/>
      <w:marLeft w:val="0"/>
      <w:marRight w:val="0"/>
      <w:marTop w:val="0"/>
      <w:marBottom w:val="0"/>
      <w:divBdr>
        <w:top w:val="none" w:sz="0" w:space="0" w:color="auto"/>
        <w:left w:val="none" w:sz="0" w:space="0" w:color="auto"/>
        <w:bottom w:val="none" w:sz="0" w:space="0" w:color="auto"/>
        <w:right w:val="none" w:sz="0" w:space="0" w:color="auto"/>
      </w:divBdr>
      <w:divsChild>
        <w:div w:id="1150362030">
          <w:marLeft w:val="0"/>
          <w:marRight w:val="0"/>
          <w:marTop w:val="0"/>
          <w:marBottom w:val="0"/>
          <w:divBdr>
            <w:top w:val="none" w:sz="0" w:space="0" w:color="auto"/>
            <w:left w:val="none" w:sz="0" w:space="0" w:color="auto"/>
            <w:bottom w:val="none" w:sz="0" w:space="0" w:color="auto"/>
            <w:right w:val="none" w:sz="0" w:space="0" w:color="auto"/>
          </w:divBdr>
          <w:divsChild>
            <w:div w:id="253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4A15F-D2E8-46ED-B88B-6125014E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286</Words>
  <Characters>1547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Lídia Ramires</dc:creator>
  <cp:keywords/>
  <dc:description/>
  <cp:lastModifiedBy>Nevio Campos</cp:lastModifiedBy>
  <cp:revision>4</cp:revision>
  <dcterms:created xsi:type="dcterms:W3CDTF">2025-01-07T11:51:00Z</dcterms:created>
  <dcterms:modified xsi:type="dcterms:W3CDTF">2025-01-07T13:47:00Z</dcterms:modified>
</cp:coreProperties>
</file>