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5E779E7C" w:rsidR="001478EE" w:rsidRDefault="00F454F0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ATENÇÃO INTEGRAL AO PACIENTE COM DOENÇA RENAL CRÔNICA: ABORDAGEM MULTIDISCIPLINAR E INTERVENÇÕES PRECOCES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3BBD4B" w:rsidR="007D585B" w:rsidRPr="004838E0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2761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778DF13B" w:rsidR="007D585B" w:rsidRPr="004838E0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501446CF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665DFB1" w:rsidR="00FA5B62" w:rsidRPr="004838E0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A512C19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7516F0C" w:rsidR="00F211FD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94B8AE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B511601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51159350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CC82C88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62F03C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1D259CDB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2F05769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C1672C3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0ED4C21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15E50F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D280D0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3744D92C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E5615A1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4A3338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F2772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185385A7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4AE432E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D4AFE04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A0B03B8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511CA009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C0C491A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8C04AA5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148211C4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4B9D45CA" w14:textId="3724C3FB" w:rsidR="00BD7609" w:rsidRPr="005209BC" w:rsidRDefault="00FA5B62" w:rsidP="005209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D7609" w:rsidRPr="00BD7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D7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bookmarkStart w:id="0" w:name="_GoBack"/>
      <w:bookmarkEnd w:id="0"/>
    </w:p>
    <w:p w14:paraId="65494537" w14:textId="18227A08" w:rsidR="00F04186" w:rsidRPr="00BB022F" w:rsidRDefault="008503F0" w:rsidP="005B3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Doença Renal Crônica (DRC) é uma condição progressiva caracterizada pela perda gradual da função renal, com potencial para evoluir para insuficiência renal terminal (IRT) caso não seja devidamente monitorada e tratada. A DRC é um problema de saúde pública global, associada a altas taxas de morbidade e mortalidade, além de impactos significativos na qualidade de vida dos pacientes. A abordagem adequada dessa condição exige não apenas tratamentos médicos, mas também intervenções precoces e um atendimento integral que envolva diferentes profissionais de saúde. A estratégia multidisciplinar tem se mostrado eficaz na gestão da DRC, </w:t>
      </w:r>
      <w:proofErr w:type="gramStart"/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otimizando</w:t>
      </w:r>
      <w:proofErr w:type="gramEnd"/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manejo clínico e a prevenção de complicações graves.</w:t>
      </w:r>
      <w:r w:rsid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iscutir a importância de uma abordagem integral no manejo de pacientes com Doença Renal Crônica</w:t>
      </w:r>
      <w:r w:rsid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</w:t>
      </w:r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</w:t>
      </w:r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5B323D">
        <w:rPr>
          <w:rFonts w:ascii="Times New Roman" w:hAnsi="Times New Roman" w:cs="Times New Roman"/>
          <w:sz w:val="24"/>
          <w:szCs w:val="24"/>
        </w:rPr>
        <w:t>Doença Renal C</w:t>
      </w:r>
      <w:r w:rsidR="005B323D" w:rsidRPr="005B323D">
        <w:rPr>
          <w:rFonts w:ascii="Times New Roman" w:hAnsi="Times New Roman" w:cs="Times New Roman"/>
          <w:sz w:val="24"/>
          <w:szCs w:val="24"/>
        </w:rPr>
        <w:t>rônica</w:t>
      </w:r>
      <w:r w:rsidR="005B323D">
        <w:rPr>
          <w:rFonts w:ascii="Times New Roman" w:hAnsi="Times New Roman" w:cs="Times New Roman"/>
          <w:sz w:val="24"/>
          <w:szCs w:val="24"/>
        </w:rPr>
        <w:t>”, “Abordagem M</w:t>
      </w:r>
      <w:r w:rsidR="005B323D" w:rsidRPr="005B323D">
        <w:rPr>
          <w:rFonts w:ascii="Times New Roman" w:hAnsi="Times New Roman" w:cs="Times New Roman"/>
          <w:sz w:val="24"/>
          <w:szCs w:val="24"/>
        </w:rPr>
        <w:t>ultidis</w:t>
      </w:r>
      <w:r w:rsidR="005B323D">
        <w:rPr>
          <w:rFonts w:ascii="Times New Roman" w:hAnsi="Times New Roman" w:cs="Times New Roman"/>
          <w:sz w:val="24"/>
          <w:szCs w:val="24"/>
        </w:rPr>
        <w:t>ciplinar”, “Intervenções Precoces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resultados indicaram que a intervenção precoce é fundamental para evitar a progressão rápida da DRC para estágios mais avançados, como a insuficiência renal terminal. O controle rigoroso de fatores de risco, como hipertensão arterial e diabetes mellitus, foi apontado como a principal estratégia para retardar a evolução da doença. A utilização de medicamentos, como os inibidores da enzima conversora de angiotensina (IECA) e os antagonistas dos receptores de angiotensina II (ARA II), demonstrou ser eficaz na proteção renal e na diminuição da proteína urinária, um indicador i</w:t>
      </w:r>
      <w:r w:rsid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mportante da progressão da DRC. </w:t>
      </w:r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ponto discutido foi a importância da abordagem multidisciplinar. A inclusão de diferentes profissionais no cuidado do paciente permite um tratamento mais completo e individualizado. Os nutricionistas desempenham papel crucial na orientação dietética, ajustando a ingestão de proteínas, potássio, fósforo e sódio, de acordo com as necessidades do paciente. A psicologia e o suporte social também são essenciais, considerando o impacto emocional da doença crônica e o </w:t>
      </w:r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</w:t>
      </w:r>
      <w:r w:rsid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uxílio na adesão ao tratamento. </w:t>
      </w:r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disso, os cuidados preventivos como a promoção de um estilo de vida saudável, a cessação do tabagismo e a prática regular de atividades físicas foram discutidos como importantes no manejo da DRC. O acompanhamento regular, com a monitorização da função renal, também foi apontado como crucial para identificar precocemente qualquer deterioração da função renal.</w:t>
      </w:r>
      <w:r w:rsid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gestão da Doença Renal Crônica requer uma abordagem multidisciplinar que envolva diversos profissionais de saúde e que seja focada em intervenções precoces. O controle rigoroso das condições que agravam a DRC, como </w:t>
      </w:r>
      <w:proofErr w:type="gramStart"/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diabetes e hipertensão, juntamente com o uso de medicamentos específicos, é</w:t>
      </w:r>
      <w:proofErr w:type="gramEnd"/>
      <w:r w:rsidR="005B323D" w:rsidRPr="005B32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fundamental para retardar a progressão da doença. A participação ativa do paciente, por meio da educação em saúde, apoio psicológico e modificações no estilo de vida, também desempenha um papel crucial no sucesso do tratamento. Com intervenções adequadas e monitoramento contínuo, é possível melhorar o prognóstico dos pacientes com DRC e proporcionar uma melhor qualidade de vida.</w:t>
      </w:r>
      <w:proofErr w:type="gramStart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proofErr w:type="gramEnd"/>
    </w:p>
    <w:p w14:paraId="1FAC7F28" w14:textId="0C5CDF60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B323D">
        <w:rPr>
          <w:rFonts w:ascii="Times New Roman" w:eastAsia="Times New Roman" w:hAnsi="Times New Roman" w:cs="Times New Roman"/>
          <w:color w:val="000000"/>
          <w:sz w:val="24"/>
          <w:szCs w:val="24"/>
        </w:rPr>
        <w:t>Doença Renal Crônica, Abordagem Multidisciplinar, I</w:t>
      </w:r>
      <w:r w:rsidR="005B323D" w:rsidRPr="005B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ntervenções </w:t>
      </w:r>
      <w:r w:rsidR="005B323D">
        <w:rPr>
          <w:rFonts w:ascii="Times New Roman" w:eastAsia="Times New Roman" w:hAnsi="Times New Roman" w:cs="Times New Roman"/>
          <w:color w:val="000000"/>
          <w:sz w:val="24"/>
          <w:szCs w:val="24"/>
        </w:rPr>
        <w:t>Precoces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6C0C1BAB" w14:textId="0BEA57CF" w:rsidR="005B323D" w:rsidRDefault="005B323D" w:rsidP="005B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23D">
        <w:rPr>
          <w:rFonts w:ascii="Times New Roman" w:hAnsi="Times New Roman" w:cs="Times New Roman"/>
          <w:sz w:val="24"/>
          <w:szCs w:val="24"/>
        </w:rPr>
        <w:t xml:space="preserve">AMMIRATI, Adriano Luiz.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. Revista da Associação Médica Brasileira, v. 66, n.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2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323D">
        <w:rPr>
          <w:rFonts w:ascii="Times New Roman" w:hAnsi="Times New Roman" w:cs="Times New Roman"/>
          <w:sz w:val="24"/>
          <w:szCs w:val="24"/>
        </w:rPr>
        <w:t>, p. s03-s09, 2020.</w:t>
      </w:r>
    </w:p>
    <w:p w14:paraId="7A78DDD6" w14:textId="37FC7B1F" w:rsidR="005B323D" w:rsidRDefault="005B323D" w:rsidP="005B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23D">
        <w:rPr>
          <w:rFonts w:ascii="Times New Roman" w:hAnsi="Times New Roman" w:cs="Times New Roman"/>
          <w:sz w:val="24"/>
          <w:szCs w:val="24"/>
        </w:rPr>
        <w:t xml:space="preserve">KALANTAR-ZADEH,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Kamyar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23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5B323D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proofErr w:type="gramStart"/>
      <w:r w:rsidRPr="005B323D">
        <w:rPr>
          <w:rFonts w:ascii="Times New Roman" w:hAnsi="Times New Roman" w:cs="Times New Roman"/>
          <w:sz w:val="24"/>
          <w:szCs w:val="24"/>
        </w:rPr>
        <w:t>lancet</w:t>
      </w:r>
      <w:proofErr w:type="spellEnd"/>
      <w:proofErr w:type="gramEnd"/>
      <w:r w:rsidRPr="005B323D">
        <w:rPr>
          <w:rFonts w:ascii="Times New Roman" w:hAnsi="Times New Roman" w:cs="Times New Roman"/>
          <w:sz w:val="24"/>
          <w:szCs w:val="24"/>
        </w:rPr>
        <w:t>, v. 398, n. 10302, p. 786-802, 2021.</w:t>
      </w:r>
    </w:p>
    <w:p w14:paraId="0CB5ED59" w14:textId="17EE9624" w:rsidR="00C94EDB" w:rsidRDefault="005B323D" w:rsidP="005B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23D">
        <w:rPr>
          <w:rFonts w:ascii="Times New Roman" w:hAnsi="Times New Roman" w:cs="Times New Roman"/>
          <w:sz w:val="24"/>
          <w:szCs w:val="24"/>
        </w:rPr>
        <w:t xml:space="preserve">MARINHO, Ana Wanda Guerra Barreto </w:t>
      </w:r>
      <w:proofErr w:type="gramStart"/>
      <w:r w:rsidRPr="005B323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5B323D">
        <w:rPr>
          <w:rFonts w:ascii="Times New Roman" w:hAnsi="Times New Roman" w:cs="Times New Roman"/>
          <w:sz w:val="24"/>
          <w:szCs w:val="24"/>
        </w:rPr>
        <w:t xml:space="preserve"> al. Prevalência de doença renal crônica em adultos no Brasil: revisão sistemática da literatura. Cadernos Saúde Coletiva, v. 25, p. 379-388, 2017.</w:t>
      </w:r>
    </w:p>
    <w:p w14:paraId="7F908E7C" w14:textId="75773D55" w:rsidR="005B323D" w:rsidRDefault="005B323D" w:rsidP="005B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23D">
        <w:rPr>
          <w:rFonts w:ascii="Times New Roman" w:hAnsi="Times New Roman" w:cs="Times New Roman"/>
          <w:sz w:val="24"/>
          <w:szCs w:val="24"/>
        </w:rPr>
        <w:t xml:space="preserve">ROMAGNANI, Paola </w:t>
      </w:r>
      <w:proofErr w:type="gramStart"/>
      <w:r w:rsidRPr="005B323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5B323D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sz w:val="24"/>
          <w:szCs w:val="24"/>
        </w:rPr>
        <w:t>primers</w:t>
      </w:r>
      <w:proofErr w:type="spellEnd"/>
      <w:r w:rsidRPr="005B323D">
        <w:rPr>
          <w:rFonts w:ascii="Times New Roman" w:hAnsi="Times New Roman" w:cs="Times New Roman"/>
          <w:sz w:val="24"/>
          <w:szCs w:val="24"/>
        </w:rPr>
        <w:t>, v. 3, n. 1, p. 1-24, 2017.</w:t>
      </w:r>
    </w:p>
    <w:p w14:paraId="37028F36" w14:textId="271C3100" w:rsidR="005B323D" w:rsidRPr="006C7F86" w:rsidRDefault="005B323D" w:rsidP="005B32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323D">
        <w:rPr>
          <w:rFonts w:ascii="Times New Roman" w:hAnsi="Times New Roman" w:cs="Times New Roman"/>
          <w:color w:val="000000"/>
          <w:sz w:val="24"/>
          <w:szCs w:val="24"/>
        </w:rPr>
        <w:t xml:space="preserve">WEBSTER, </w:t>
      </w:r>
      <w:proofErr w:type="spellStart"/>
      <w:r w:rsidRPr="005B323D">
        <w:rPr>
          <w:rFonts w:ascii="Times New Roman" w:hAnsi="Times New Roman" w:cs="Times New Roman"/>
          <w:color w:val="000000"/>
          <w:sz w:val="24"/>
          <w:szCs w:val="24"/>
        </w:rPr>
        <w:t>Angela</w:t>
      </w:r>
      <w:proofErr w:type="spellEnd"/>
      <w:r w:rsidRPr="005B323D">
        <w:rPr>
          <w:rFonts w:ascii="Times New Roman" w:hAnsi="Times New Roman" w:cs="Times New Roman"/>
          <w:color w:val="000000"/>
          <w:sz w:val="24"/>
          <w:szCs w:val="24"/>
        </w:rPr>
        <w:t xml:space="preserve"> C. </w:t>
      </w:r>
      <w:proofErr w:type="gramStart"/>
      <w:r w:rsidRPr="005B323D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5B323D">
        <w:rPr>
          <w:rFonts w:ascii="Times New Roman" w:hAnsi="Times New Roman" w:cs="Times New Roman"/>
          <w:color w:val="000000"/>
          <w:sz w:val="24"/>
          <w:szCs w:val="24"/>
        </w:rPr>
        <w:t xml:space="preserve"> al. </w:t>
      </w:r>
      <w:proofErr w:type="spellStart"/>
      <w:r w:rsidRPr="005B323D">
        <w:rPr>
          <w:rFonts w:ascii="Times New Roman" w:hAnsi="Times New Roman" w:cs="Times New Roman"/>
          <w:color w:val="000000"/>
          <w:sz w:val="24"/>
          <w:szCs w:val="24"/>
        </w:rPr>
        <w:t>Chronic</w:t>
      </w:r>
      <w:proofErr w:type="spellEnd"/>
      <w:r w:rsidRPr="005B3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color w:val="000000"/>
          <w:sz w:val="24"/>
          <w:szCs w:val="24"/>
        </w:rPr>
        <w:t>kidney</w:t>
      </w:r>
      <w:proofErr w:type="spellEnd"/>
      <w:r w:rsidRPr="005B3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323D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5B323D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proofErr w:type="gramStart"/>
      <w:r w:rsidRPr="005B323D">
        <w:rPr>
          <w:rFonts w:ascii="Times New Roman" w:hAnsi="Times New Roman" w:cs="Times New Roman"/>
          <w:color w:val="000000"/>
          <w:sz w:val="24"/>
          <w:szCs w:val="24"/>
        </w:rPr>
        <w:t>lancet</w:t>
      </w:r>
      <w:proofErr w:type="spellEnd"/>
      <w:proofErr w:type="gramEnd"/>
      <w:r w:rsidRPr="005B323D">
        <w:rPr>
          <w:rFonts w:ascii="Times New Roman" w:hAnsi="Times New Roman" w:cs="Times New Roman"/>
          <w:color w:val="000000"/>
          <w:sz w:val="24"/>
          <w:szCs w:val="24"/>
        </w:rPr>
        <w:t>, v. 389, n. 10075, p. 1238-1252, 2017.</w:t>
      </w:r>
    </w:p>
    <w:sectPr w:rsidR="005B323D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03DB1" w14:textId="77777777" w:rsidR="009C3027" w:rsidRDefault="009C3027">
      <w:pPr>
        <w:spacing w:after="0" w:line="240" w:lineRule="auto"/>
      </w:pPr>
      <w:r>
        <w:separator/>
      </w:r>
    </w:p>
  </w:endnote>
  <w:endnote w:type="continuationSeparator" w:id="0">
    <w:p w14:paraId="485E6A9F" w14:textId="77777777" w:rsidR="009C3027" w:rsidRDefault="009C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90B8" w14:textId="77777777" w:rsidR="009C3027" w:rsidRDefault="009C3027">
      <w:pPr>
        <w:spacing w:after="0" w:line="240" w:lineRule="auto"/>
      </w:pPr>
      <w:r>
        <w:separator/>
      </w:r>
    </w:p>
  </w:footnote>
  <w:footnote w:type="continuationSeparator" w:id="0">
    <w:p w14:paraId="313F5943" w14:textId="77777777" w:rsidR="009C3027" w:rsidRDefault="009C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9C30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9C30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74537"/>
    <w:rsid w:val="000940A0"/>
    <w:rsid w:val="000B6A1E"/>
    <w:rsid w:val="00140FE1"/>
    <w:rsid w:val="001478EE"/>
    <w:rsid w:val="001706AF"/>
    <w:rsid w:val="00170955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209BC"/>
    <w:rsid w:val="005A565E"/>
    <w:rsid w:val="005B23C9"/>
    <w:rsid w:val="005B323D"/>
    <w:rsid w:val="005C1435"/>
    <w:rsid w:val="005E4FE7"/>
    <w:rsid w:val="00646C7B"/>
    <w:rsid w:val="00695BC8"/>
    <w:rsid w:val="006C537D"/>
    <w:rsid w:val="006C7F86"/>
    <w:rsid w:val="006D1677"/>
    <w:rsid w:val="006E4C86"/>
    <w:rsid w:val="006F48CB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D511D"/>
    <w:rsid w:val="009B122E"/>
    <w:rsid w:val="009C3027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BD7609"/>
    <w:rsid w:val="00C2462F"/>
    <w:rsid w:val="00C33E98"/>
    <w:rsid w:val="00C94EDB"/>
    <w:rsid w:val="00CA23EF"/>
    <w:rsid w:val="00CF6E1B"/>
    <w:rsid w:val="00D61D38"/>
    <w:rsid w:val="00DA61D6"/>
    <w:rsid w:val="00DB7A67"/>
    <w:rsid w:val="00DC73FF"/>
    <w:rsid w:val="00E4071F"/>
    <w:rsid w:val="00E57A88"/>
    <w:rsid w:val="00F04186"/>
    <w:rsid w:val="00F211FD"/>
    <w:rsid w:val="00F42761"/>
    <w:rsid w:val="00F454F0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1023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6</cp:revision>
  <dcterms:created xsi:type="dcterms:W3CDTF">2025-02-07T17:14:00Z</dcterms:created>
  <dcterms:modified xsi:type="dcterms:W3CDTF">2025-02-08T14:44:00Z</dcterms:modified>
</cp:coreProperties>
</file>