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Cover Pages"/>
          <w:docPartUnique w:val="true"/>
        </w:docPartObj>
        <w:id w:val="1246697302"/>
      </w:sdtPr>
      <w:sdtContent>
        <w:p>
          <w:pPr>
            <w:pStyle w:val="Normal"/>
            <w:rPr/>
          </w:pPr>
          <w:r>
            <w:rPr/>
            <w:drawing>
              <wp:anchor behindDoc="1" distT="0" distB="0" distL="0" distR="0" simplePos="0" locked="0" layoutInCell="1" allowOverlap="1" relativeHeight="17">
                <wp:simplePos x="0" y="0"/>
                <wp:positionH relativeFrom="column">
                  <wp:posOffset>-917575</wp:posOffset>
                </wp:positionH>
                <wp:positionV relativeFrom="paragraph">
                  <wp:posOffset>-861695</wp:posOffset>
                </wp:positionV>
                <wp:extent cx="7578090" cy="10711180"/>
                <wp:effectExtent l="0" t="0" r="0" b="0"/>
                <wp:wrapNone/>
                <wp:docPr id="1"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O conteúdo gerado por IA pode estar incorreto."/>
                        <pic:cNvPicPr>
                          <a:picLocks noChangeAspect="1" noChangeArrowheads="1"/>
                        </pic:cNvPicPr>
                      </pic:nvPicPr>
                      <pic:blipFill>
                        <a:blip r:embed="rId2"/>
                        <a:stretch>
                          <a:fillRect/>
                        </a:stretch>
                      </pic:blipFill>
                      <pic:spPr bwMode="auto">
                        <a:xfrm>
                          <a:off x="0" y="0"/>
                          <a:ext cx="7578090" cy="10711180"/>
                        </a:xfrm>
                        <a:prstGeom prst="rect">
                          <a:avLst/>
                        </a:prstGeom>
                        <a:noFill/>
                      </pic:spPr>
                    </pic:pic>
                  </a:graphicData>
                </a:graphic>
              </wp:anchor>
            </w:drawing>
          </w:r>
        </w:p>
        <w:p>
          <w:pPr>
            <w:pStyle w:val="Normal"/>
            <w:rPr/>
          </w:pPr>
          <w:r>
            <w:rPr/>
            <mc:AlternateContent>
              <mc:Choice Requires="wps">
                <w:drawing>
                  <wp:anchor behindDoc="0" distT="0" distB="0" distL="0" distR="0" simplePos="0" locked="0" layoutInCell="1" allowOverlap="1" relativeHeight="18" wp14:anchorId="784170F8">
                    <wp:simplePos x="0" y="0"/>
                    <wp:positionH relativeFrom="column">
                      <wp:posOffset>520700</wp:posOffset>
                    </wp:positionH>
                    <wp:positionV relativeFrom="paragraph">
                      <wp:posOffset>6855460</wp:posOffset>
                    </wp:positionV>
                    <wp:extent cx="811530" cy="494030"/>
                    <wp:effectExtent l="0" t="0" r="0" b="0"/>
                    <wp:wrapNone/>
                    <wp:docPr id="2" name="Caixa de Texto 4"/>
                    <a:graphic xmlns:a="http://schemas.openxmlformats.org/drawingml/2006/main">
                      <a:graphicData uri="http://schemas.microsoft.com/office/word/2010/wordprocessingShape">
                        <wps:wsp>
                          <wps:cNvSpPr/>
                          <wps:spPr>
                            <a:xfrm>
                              <a:off x="0" y="0"/>
                              <a:ext cx="811440" cy="493920"/>
                            </a:xfrm>
                            <a:prstGeom prst="rect">
                              <a:avLst/>
                            </a:prstGeom>
                            <a:noFill/>
                            <a:ln w="6350">
                              <a:noFill/>
                            </a:ln>
                          </wps:spPr>
                          <wps:style>
                            <a:lnRef idx="0"/>
                            <a:fillRef idx="0"/>
                            <a:effectRef idx="0"/>
                            <a:fontRef idx="minor"/>
                          </wps:style>
                          <wps:txbx>
                            <w:txbxContent>
                              <w:p>
                                <w:pPr>
                                  <w:pStyle w:val="Contedodoquadro"/>
                                  <w:rPr>
                                    <w:rFonts w:ascii="Antonio" w:hAnsi="Antonio"/>
                                    <w:color w:val="F8EDD1"/>
                                    <w:sz w:val="44"/>
                                    <w:szCs w:val="44"/>
                                  </w:rPr>
                                </w:pPr>
                                <w:r>
                                  <w:rPr>
                                    <w:rFonts w:ascii="Antonio" w:hAnsi="Antonio"/>
                                    <w:b/>
                                    <w:bCs/>
                                    <w:color w:val="00A933"/>
                                    <w:sz w:val="44"/>
                                    <w:szCs w:val="44"/>
                                  </w:rPr>
                                  <w:t>GT 9</w:t>
                                </w:r>
                                <w:r>
                                  <w:rPr>
                                    <w:rFonts w:ascii="Antonio" w:hAnsi="Antonio"/>
                                    <w:color w:val="F8EDD1"/>
                                    <w:sz w:val="44"/>
                                    <w:szCs w:val="44"/>
                                  </w:rPr>
                                  <w:t xml:space="preserve"> 01:</w:t>
                                </w:r>
                              </w:p>
                            </w:txbxContent>
                          </wps:txbx>
                          <wps:bodyPr anchor="t">
                            <a:prstTxWarp prst="textNoShape"/>
                            <a:noAutofit/>
                          </wps:bodyPr>
                        </wps:wsp>
                      </a:graphicData>
                    </a:graphic>
                  </wp:anchor>
                </w:drawing>
              </mc:Choice>
              <mc:Fallback>
                <w:pict>
                  <v:rect id="shape_0" ID="Caixa de Texto 4" path="m0,0l-2147483645,0l-2147483645,-2147483646l0,-2147483646xe" stroked="f" o:allowincell="f" style="position:absolute;margin-left:41pt;margin-top:539.8pt;width:63.85pt;height:38.85pt;mso-wrap-style:square;v-text-anchor:top" wp14:anchorId="784170F8">
                    <v:fill o:detectmouseclick="t" on="false"/>
                    <v:stroke color="#3465a4" weight="6480" joinstyle="round" endcap="flat"/>
                    <v:textbox>
                      <w:txbxContent>
                        <w:p>
                          <w:pPr>
                            <w:pStyle w:val="Contedodoquadro"/>
                            <w:rPr>
                              <w:rFonts w:ascii="Antonio" w:hAnsi="Antonio"/>
                              <w:color w:val="F8EDD1"/>
                              <w:sz w:val="44"/>
                              <w:szCs w:val="44"/>
                            </w:rPr>
                          </w:pPr>
                          <w:r>
                            <w:rPr>
                              <w:rFonts w:ascii="Antonio" w:hAnsi="Antonio"/>
                              <w:b/>
                              <w:bCs/>
                              <w:color w:val="00A933"/>
                              <w:sz w:val="44"/>
                              <w:szCs w:val="44"/>
                            </w:rPr>
                            <w:t>GT 9</w:t>
                          </w:r>
                          <w:r>
                            <w:rPr>
                              <w:rFonts w:ascii="Antonio" w:hAnsi="Antonio"/>
                              <w:color w:val="F8EDD1"/>
                              <w:sz w:val="44"/>
                              <w:szCs w:val="44"/>
                            </w:rPr>
                            <w:t xml:space="preserve"> 01:</w:t>
                          </w:r>
                        </w:p>
                      </w:txbxContent>
                    </v:textbox>
                    <w10:wrap type="none"/>
                  </v:rect>
                </w:pict>
              </mc:Fallback>
            </mc:AlternateContent>
            <mc:AlternateContent>
              <mc:Choice Requires="wps">
                <w:drawing>
                  <wp:anchor behindDoc="0" distT="0" distB="0" distL="0" distR="0" simplePos="0" locked="0" layoutInCell="1" allowOverlap="1" relativeHeight="20">
                    <wp:simplePos x="0" y="0"/>
                    <wp:positionH relativeFrom="column">
                      <wp:posOffset>1427480</wp:posOffset>
                    </wp:positionH>
                    <wp:positionV relativeFrom="paragraph">
                      <wp:posOffset>6761480</wp:posOffset>
                    </wp:positionV>
                    <wp:extent cx="2893060" cy="1924050"/>
                    <wp:effectExtent l="0" t="0" r="0" b="0"/>
                    <wp:wrapNone/>
                    <wp:docPr id="3" name="Quadro de texto 1"/>
                    <a:graphic xmlns:a="http://schemas.openxmlformats.org/drawingml/2006/main">
                      <a:graphicData uri="http://schemas.microsoft.com/office/word/2010/wordprocessingShape">
                        <wps:wsp>
                          <wps:cNvSpPr/>
                          <wps:spPr>
                            <a:xfrm>
                              <a:off x="0" y="0"/>
                              <a:ext cx="2892960" cy="1924200"/>
                            </a:xfrm>
                            <a:prstGeom prst="rect">
                              <a:avLst/>
                            </a:prstGeom>
                            <a:noFill/>
                            <a:ln w="0">
                              <a:noFill/>
                            </a:ln>
                          </wps:spPr>
                          <wps:style>
                            <a:lnRef idx="0"/>
                            <a:fillRef idx="0"/>
                            <a:effectRef idx="0"/>
                            <a:fontRef idx="minor"/>
                          </wps:style>
                          <wps:txbx>
                            <w:txbxContent>
                              <w:p>
                                <w:pPr>
                                  <w:pStyle w:val="Contedodoquadrouser"/>
                                  <w:overflowPunct w:val="false"/>
                                  <w:spacing w:before="238" w:after="198"/>
                                  <w:rPr/>
                                </w:pPr>
                                <w:r>
                                  <w:rPr>
                                    <w:b/>
                                    <w:bCs/>
                                    <w:color w:val="00A933"/>
                                    <w:sz w:val="28"/>
                                    <w:szCs w:val="28"/>
                                    <w:shd w:fill="auto" w:val="clear"/>
                                  </w:rPr>
                                  <w:t xml:space="preserve">VIOLÊNCIA E REPRESSÃO NO CAMPO: PERSISTÊNCIAS E (RE)ATUALIZAÇÕES EM TEMPOS DE MUDANÇAS CLIMÁTICAS. </w:t>
                                </w:r>
                              </w:p>
                            </w:txbxContent>
                          </wps:txbx>
                          <wps:bodyPr lIns="0" rIns="0" tIns="0" bIns="0" anchor="t">
                            <a:noAutofit/>
                          </wps:bodyPr>
                        </wps:wsp>
                      </a:graphicData>
                    </a:graphic>
                  </wp:anchor>
                </w:drawing>
              </mc:Choice>
              <mc:Fallback>
                <w:pict>
                  <v:rect id="shape_0" ID="Quadro de texto 1" path="m0,0l-2147483645,0l-2147483645,-2147483646l0,-2147483646xe" stroked="f" o:allowincell="f" style="position:absolute;margin-left:112.4pt;margin-top:532.4pt;width:227.75pt;height:151.45pt;mso-wrap-style:square;v-text-anchor:top">
                    <v:fill o:detectmouseclick="t" on="false"/>
                    <v:stroke color="#3465a4" joinstyle="round" endcap="flat"/>
                    <v:textbox>
                      <w:txbxContent>
                        <w:p>
                          <w:pPr>
                            <w:pStyle w:val="Contedodoquadrouser"/>
                            <w:overflowPunct w:val="false"/>
                            <w:spacing w:before="238" w:after="198"/>
                            <w:rPr/>
                          </w:pPr>
                          <w:r>
                            <w:rPr>
                              <w:b/>
                              <w:bCs/>
                              <w:color w:val="00A933"/>
                              <w:sz w:val="28"/>
                              <w:szCs w:val="28"/>
                              <w:shd w:fill="auto" w:val="clear"/>
                            </w:rPr>
                            <w:t xml:space="preserve">VIOLÊNCIA E REPRESSÃO NO CAMPO: PERSISTÊNCIAS E (RE)ATUALIZAÇÕES EM TEMPOS DE MUDANÇAS CLIMÁTICAS. </w:t>
                          </w:r>
                        </w:p>
                      </w:txbxContent>
                    </v:textbox>
                    <w10:wrap type="none"/>
                  </v:rect>
                </w:pict>
              </mc:Fallback>
            </mc:AlternateContent>
          </w:r>
          <w:r>
            <w:br w:type="page"/>
          </w:r>
        </w:p>
      </w:sdtContent>
    </w:sdt>
    <w:p>
      <w:pPr>
        <w:pStyle w:val="Normal"/>
        <w:spacing w:before="0" w:after="240"/>
        <w:jc w:val="center"/>
        <w:rPr>
          <w:rFonts w:ascii="Avenir Book" w:hAnsi="Avenir Book" w:eastAsia="Arial"/>
          <w:b/>
          <w:bCs/>
        </w:rPr>
      </w:pPr>
      <w:r>
        <w:rPr>
          <w:rFonts w:eastAsia="Arial" w:ascii="Avenir Book" w:hAnsi="Avenir Book"/>
          <w:b/>
          <w:bCs/>
        </w:rPr>
      </w:r>
      <w:bookmarkStart w:id="0" w:name="docs-internal-guid-77c5d735-7fff-8442-ef"/>
      <w:bookmarkStart w:id="1" w:name="docs-internal-guid-77c5d735-7fff-8442-ef"/>
      <w:bookmarkEnd w:id="1"/>
    </w:p>
    <w:p>
      <w:pPr>
        <w:pStyle w:val="BodyText"/>
        <w:bidi w:val="0"/>
        <w:spacing w:lineRule="auto" w:line="288" w:before="0" w:after="240"/>
        <w:ind w:hanging="0" w:left="0" w:right="0"/>
        <w:jc w:val="center"/>
        <w:rPr>
          <w:rFonts w:eastAsia="Arial"/>
          <w:b/>
          <w:bCs/>
        </w:rPr>
      </w:pPr>
      <w:r>
        <w:rPr>
          <w:rFonts w:eastAsia="Arial" w:ascii="Trebuchet MS;sans-serif" w:hAnsi="Trebuchet MS;sans-serif"/>
          <w:b/>
          <w:bCs/>
          <w:i w:val="false"/>
          <w:caps w:val="false"/>
          <w:smallCaps w:val="false"/>
          <w:strike w:val="false"/>
          <w:dstrike w:val="false"/>
          <w:color w:val="000000"/>
          <w:sz w:val="24"/>
          <w:u w:val="none"/>
          <w:effect w:val="none"/>
          <w:shd w:fill="auto" w:val="clear"/>
        </w:rPr>
        <w:t>IMPACTOS DO II PND NO BRASIL RURAL: EXPANSÃO DA MONOCULTURA, CONCENTRAÇÃO FUNDIÁRIA E CONFLITOS AGRÁRIOS.</w:t>
      </w:r>
    </w:p>
    <w:p>
      <w:pPr>
        <w:pStyle w:val="BodyText"/>
        <w:bidi w:val="0"/>
        <w:spacing w:lineRule="auto" w:line="430" w:before="0" w:after="0"/>
        <w:ind w:hanging="2" w:left="0" w:right="0"/>
        <w:jc w:val="center"/>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Lívia Rodrigues Canabrava</w:t>
      </w:r>
      <w:r>
        <w:rPr>
          <w:rStyle w:val="FootnoteReference"/>
          <w:rFonts w:eastAsia="Arial" w:ascii="Trebuchet MS;sans-serif" w:hAnsi="Trebuchet MS;sans-serif"/>
          <w:b w:val="false"/>
          <w:bCs/>
          <w:i w:val="false"/>
          <w:caps w:val="false"/>
          <w:smallCaps w:val="false"/>
          <w:strike w:val="false"/>
          <w:dstrike w:val="false"/>
          <w:color w:val="000000"/>
          <w:sz w:val="24"/>
          <w:u w:val="none"/>
          <w:effect w:val="none"/>
          <w:shd w:fill="auto" w:val="clear"/>
        </w:rPr>
        <w:footnoteReference w:id="2"/>
      </w:r>
    </w:p>
    <w:p>
      <w:pPr>
        <w:pStyle w:val="BodyText"/>
        <w:bidi w:val="0"/>
        <w:spacing w:lineRule="auto" w:line="430" w:before="0" w:after="0"/>
        <w:ind w:hanging="2" w:left="0" w:right="0"/>
        <w:jc w:val="center"/>
        <w:rPr>
          <w:rFonts w:eastAsia="Arial"/>
          <w:b w:val="false"/>
          <w:bCs/>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José Alves Dias</w:t>
      </w:r>
      <w:r>
        <w:rPr>
          <w:rStyle w:val="FootnoteReference"/>
          <w:rFonts w:eastAsia="Arial" w:ascii="Trebuchet MS;sans-serif" w:hAnsi="Trebuchet MS;sans-serif"/>
          <w:b w:val="false"/>
          <w:bCs/>
          <w:i w:val="false"/>
          <w:caps w:val="false"/>
          <w:smallCaps w:val="false"/>
          <w:strike w:val="false"/>
          <w:dstrike w:val="false"/>
          <w:color w:val="000000"/>
          <w:sz w:val="24"/>
          <w:u w:val="none"/>
          <w:effect w:val="none"/>
          <w:shd w:fill="auto" w:val="clear"/>
        </w:rPr>
        <w:footnoteReference w:id="3"/>
      </w:r>
    </w:p>
    <w:p>
      <w:pPr>
        <w:pStyle w:val="BodyText"/>
        <w:bidi w:val="0"/>
        <w:spacing w:lineRule="auto" w:line="360" w:before="0" w:after="0"/>
        <w:ind w:hanging="2" w:left="0" w:right="0"/>
        <w:jc w:val="center"/>
        <w:rPr>
          <w:rFonts w:eastAsia="Arial"/>
          <w:b/>
          <w:bCs/>
        </w:rPr>
      </w:pPr>
      <w:r>
        <w:rPr>
          <w:rFonts w:eastAsia="Arial" w:ascii="Trebuchet MS;sans-serif" w:hAnsi="Trebuchet MS;sans-serif"/>
          <w:b/>
          <w:bCs/>
          <w:i w:val="false"/>
          <w:caps w:val="false"/>
          <w:smallCaps w:val="false"/>
          <w:strike w:val="false"/>
          <w:dstrike w:val="false"/>
          <w:color w:val="000000"/>
          <w:sz w:val="24"/>
          <w:u w:val="none"/>
          <w:effect w:val="none"/>
          <w:shd w:fill="auto" w:val="clear"/>
        </w:rPr>
        <w:t>GT 09:</w:t>
      </w:r>
      <w:r>
        <w:rPr>
          <w:rFonts w:eastAsia="Arial"/>
          <w:b/>
          <w:bCs/>
          <w:caps w:val="false"/>
          <w:smallCaps w:val="false"/>
          <w:strike w:val="false"/>
          <w:dstrike w:val="false"/>
          <w:color w:val="000000"/>
          <w:u w:val="none"/>
          <w:effect w:val="none"/>
          <w:shd w:fill="auto" w:val="clear"/>
        </w:rPr>
        <w:t xml:space="preserve"> </w:t>
      </w:r>
      <w:r>
        <w:rPr>
          <w:rFonts w:eastAsia="Arial" w:ascii="Trebuchet MS;sans-serif" w:hAnsi="Trebuchet MS;sans-serif"/>
          <w:b/>
          <w:bCs/>
          <w:i w:val="false"/>
          <w:caps w:val="false"/>
          <w:smallCaps w:val="false"/>
          <w:strike w:val="false"/>
          <w:dstrike w:val="false"/>
          <w:color w:val="000000"/>
          <w:sz w:val="24"/>
          <w:u w:val="none"/>
          <w:effect w:val="none"/>
          <w:shd w:fill="auto" w:val="clear"/>
        </w:rPr>
        <w:t>Violência e repressão no campo: persistências e (re)atualizações em tempos de mudanças climáticas.</w:t>
      </w:r>
    </w:p>
    <w:p>
      <w:pPr>
        <w:pStyle w:val="BodyText"/>
        <w:bidi w:val="0"/>
        <w:spacing w:lineRule="auto" w:line="430" w:before="0" w:after="0"/>
        <w:ind w:hanging="2" w:left="0" w:right="0"/>
        <w:jc w:val="center"/>
        <w:rPr>
          <w:rFonts w:ascii="Trebuchet MS;sans-serif" w:hAnsi="Trebuchet MS;sans-serif" w:eastAsia="Arial"/>
          <w:b/>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bCs/>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2" w:left="0" w:right="0"/>
        <w:jc w:val="center"/>
        <w:rPr>
          <w:rFonts w:eastAsia="Arial"/>
          <w:b/>
          <w:bCs/>
        </w:rPr>
      </w:pPr>
      <w:r>
        <w:rPr>
          <w:rFonts w:eastAsia="Arial" w:ascii="Trebuchet MS;sans-serif" w:hAnsi="Trebuchet MS;sans-serif"/>
          <w:b/>
          <w:bCs/>
          <w:i w:val="false"/>
          <w:caps w:val="false"/>
          <w:smallCaps w:val="false"/>
          <w:strike w:val="false"/>
          <w:dstrike w:val="false"/>
          <w:color w:val="000000"/>
          <w:sz w:val="24"/>
          <w:u w:val="none"/>
          <w:effect w:val="none"/>
          <w:shd w:fill="auto" w:val="clear"/>
        </w:rPr>
        <w:t>RESUMO </w:t>
      </w:r>
    </w:p>
    <w:p>
      <w:pPr>
        <w:pStyle w:val="BodyText"/>
        <w:bidi w:val="0"/>
        <w:spacing w:lineRule="auto" w:line="240" w:before="0" w:after="0"/>
        <w:ind w:hanging="2"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O texto analisa o II Plano Nacional de Desenvolvimento (1974-1978), implementado durante a ditadura militar no governo Ernesto Geisel, e sua influência no meio rural brasileiro. Sob o discurso de progresso, o plano promoveu a modernização agroindustrial, favorecendo grandes corporações e latifundiários, em detrimento da agricultura familiar, comunidades indígenas, quilombolas e pequenos agricultores. Alinhado aos interesses do capital internacional, o modelo adotado incentivou a concentração fundiária e a produção voltada à exportação. Como consequência, intensificaram-se o êxodo rural e a migração para as periferias urbanas, desestruturando modos de vida tradicionais. A expansão de grandes empresas no campo também agravou conflitos agrários e violações de direitos territoriais. Assim, o II PND consolidou um modelo de desenvolvimento excludente, que ignorou as contradições sociais e ambientais do processo de modernização. O texto baseia-se em revisão bibliográfica para refletir sobre os impactos desse projeto sobre o campo e as populações historicamente marginalizadas.</w:t>
      </w:r>
    </w:p>
    <w:p>
      <w:pPr>
        <w:pStyle w:val="BodyText"/>
        <w:bidi w:val="0"/>
        <w:spacing w:lineRule="auto" w:line="240" w:before="0" w:after="0"/>
        <w:ind w:hanging="2"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2"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Palavras-chave: PND II; Monocultura; Terras Devolutas; </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Expropriação.</w:t>
      </w:r>
    </w:p>
    <w:p>
      <w:pPr>
        <w:pStyle w:val="BodyText"/>
        <w:spacing w:lineRule="auto" w:line="360" w:before="0" w:after="240"/>
        <w:jc w:val="center"/>
        <w:rPr>
          <w:rFonts w:eastAsia="Arial"/>
          <w:b/>
          <w:bCs/>
        </w:rPr>
      </w:pPr>
      <w:r>
        <w:rPr>
          <w:rFonts w:eastAsia="Arial"/>
          <w:b/>
          <w:bCs/>
        </w:rPr>
      </w:r>
    </w:p>
    <w:p>
      <w:pPr>
        <w:pStyle w:val="BodyText"/>
        <w:bidi w:val="0"/>
        <w:spacing w:lineRule="auto" w:line="360" w:before="0" w:after="0"/>
        <w:ind w:hanging="2" w:left="0" w:right="0"/>
        <w:jc w:val="both"/>
        <w:rPr>
          <w:rFonts w:ascii="Trebuchet MS;sans-serif" w:hAnsi="Trebuchet MS;sans-serif" w:eastAsia="Arial"/>
          <w:b/>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bCs/>
          <w:i w:val="false"/>
          <w:caps w:val="false"/>
          <w:smallCaps w:val="false"/>
          <w:strike w:val="false"/>
          <w:dstrike w:val="false"/>
          <w:color w:val="000000"/>
          <w:sz w:val="24"/>
          <w:u w:val="none"/>
          <w:effect w:val="none"/>
          <w:shd w:fill="auto" w:val="clear"/>
        </w:rPr>
        <w:t>INTRODUÇÃO</w:t>
      </w:r>
    </w:p>
    <w:p>
      <w:pPr>
        <w:pStyle w:val="BodyText"/>
        <w:bidi w:val="0"/>
        <w:spacing w:lineRule="auto" w:line="36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O governo de Ernesto Geisel (1974-1979) marcou uma fase crucial da ditadura militar no Brasil, com uma política econômica voltada para a modernização e o crescimento acelerado. Nesse contexto, o II Plano Nacional de Desenvolvimento (II PND) foi lançado como um dos pilares desse projeto, com o objetivo de impulsionar a industrialização e a expansão das exportações, transformando-se em uma das principais respostas da ditadura militar aos desafios econômicos e sociais da década de 1970, para o  enfrentamento dos efeitos da crise global do petróleo de 1973 e do aumento da inflação.  O plano tentou reverter a desaceleração econômica e promover o crescimento industrial e agrícola, por meio de investimentos em setores estratégicos, além de buscar impulsionar a economia, ele provocou profundas transformações na política agrária e na estrutura fundiária do país, cujos impactos ainda reverberam no meio rural.</w:t>
      </w:r>
    </w:p>
    <w:p>
      <w:pPr>
        <w:pStyle w:val="BodyText"/>
        <w:bidi w:val="0"/>
        <w:spacing w:lineRule="auto" w:line="36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Segundo Florestan Fernandes (1995), o conceito de desenvolvimento pode ser interpretado de diferentes maneiras dentro da sociologia. O teórico distingue duas abordagens principais: a estrutural-funcional e a histórico-sociológica. No primeiro nível, o desenvolvimento é entendido como a diferenciação das formas de integração da ordem social, sendo conceituado como a multiplicação das formas de interação numa determinada sociedade. Já no segundo nível, o desenvolvimento é visto como o processo pelo qual os seres humanos transformam socialmente a organização da sociedade. Assim, o mesmo pode ser representado como a forma histórica pela qual os homens lutam socialmente pelo destino do mundo em que vivem, integrando os ideais de organização da vida e de domínio ativo sobre os fatores de desequilíbrio presentes na sociedade de classes. </w:t>
      </w:r>
    </w:p>
    <w:p>
      <w:pPr>
        <w:pStyle w:val="BodyText"/>
        <w:bidi w:val="0"/>
        <w:spacing w:lineRule="auto" w:line="36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O autor apresenta uma análise crítica do conceito, considerando tanto aspectos sociológicos quanto históricos, e focado nas particularidades da formação social brasileira. Segundo Fernandes (1995), o desenvolvimento não pode ser visto de forma simplificada, como se fosse apenas um processo linear de crescimento econômico ou de modernização tecnológica. É preciso analisá-lo levando em conta as relações de classe e a dependência estrutural em relação ao capitalismo internacional, já que em países como o Brasil, o desenvolvimento ocorreu de maneira desigual e subordinada. Quanto a visão tradicional de desenvolvimento, que trata o subdesenvolvimento como uma etapa temporária, superável pela industrialização e modernização dos setores produtivos, precisa ser questionada. Fernandes destaca que essa abordagem ignora as contradições internas geradas pelas relações de classe e como o Brasil se integrou ao capitalismo global, sob a influência de uma burguesia nacional dependente e alinhada aos interesses do capital estrangeiro.</w:t>
      </w:r>
    </w:p>
    <w:p>
      <w:pPr>
        <w:pStyle w:val="BodyText"/>
        <w:bidi w:val="0"/>
        <w:spacing w:lineRule="auto" w:line="36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A partir disso, o artigo realiza uma discussão bibliográfica sobre o II Plano Nacional de Desenvolvimento (II PND), implementado no governo de Ernesto Geisel (1974-1978), abordando suas implicações no meio rural brasileiro. Pois, o O II PND, ao promover políticas de modernização e industrialização, gerou uma profunda reestruturação agrária que favoreceu a expansão da monocultura e a apropriação de terras consideradas devolutas por grandes empresas e latifundiários. Essas políticas, alinhadas aos interesses do capital internacional e da burguesia agrária, resultaram na concentração de terras e na intensificação da produção voltada para exportação, marginalizando pequenos agricultores, comunidades indígenas e quilombolas. Esse processo é compreendido como uma manifestação das contradições de classe, em que o desenvolvimento capitalista no campo acentua a exploração da força de trabalho e a subordinação das camadas populares às demandas do capital. Assim, podemos afirmar que o II PND consolidou um modelo de modernização excludente, que desconsidera os impactos sociais e ambientais gerando o aprofundamento das desigualdades estruturais inerentes ao modo de produção capitalista.</w:t>
      </w:r>
    </w:p>
    <w:p>
      <w:pPr>
        <w:pStyle w:val="BodyText"/>
        <w:spacing w:lineRule="auto" w:line="360" w:before="0" w:after="240"/>
        <w:jc w:val="center"/>
        <w:rPr>
          <w:rFonts w:eastAsia="Arial"/>
          <w:b/>
          <w:bCs/>
        </w:rPr>
      </w:pPr>
      <w:r>
        <w:rPr>
          <w:rFonts w:eastAsia="Arial"/>
          <w:b/>
          <w:bCs/>
        </w:rPr>
      </w:r>
    </w:p>
    <w:p>
      <w:pPr>
        <w:pStyle w:val="BodyText"/>
        <w:bidi w:val="0"/>
        <w:spacing w:lineRule="auto" w:line="430" w:before="0" w:after="0"/>
        <w:ind w:hanging="0" w:left="0" w:right="0"/>
        <w:jc w:val="both"/>
        <w:rPr>
          <w:rFonts w:ascii="Trebuchet MS;sans-serif" w:hAnsi="Trebuchet MS;sans-serif" w:eastAsia="Arial"/>
          <w:b/>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bCs/>
          <w:i w:val="false"/>
          <w:caps w:val="false"/>
          <w:smallCaps w:val="false"/>
          <w:strike w:val="false"/>
          <w:dstrike w:val="false"/>
          <w:color w:val="000000"/>
          <w:sz w:val="24"/>
          <w:u w:val="none"/>
          <w:effect w:val="none"/>
          <w:shd w:fill="auto" w:val="clear"/>
        </w:rPr>
        <w:t>1. O Lançamento do PND II.</w:t>
      </w:r>
    </w:p>
    <w:p>
      <w:pPr>
        <w:pStyle w:val="BodyText"/>
        <w:bidi w:val="0"/>
        <w:spacing w:lineRule="auto" w:line="430" w:before="0" w:after="0"/>
        <w:ind w:hanging="0" w:left="0" w:right="0"/>
        <w:jc w:val="both"/>
        <w:rPr>
          <w:rFonts w:eastAsia="Arial"/>
          <w:b w:val="false"/>
          <w:bCs/>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O governo de Ernesto Geisel (1974-1979) foi marcado por uma conjuntura econômica e política complexa. Pois, embora  na década de 1970 ainda estivesse presente os efeitos do “milagre econômico”, o Brasil enfrentava os efeitos da primeira crise do petróleo (1973), com aumento da inflação e desaceleração do crescimento econômico. Neste contexto, o governo militar desenvolveu o II Plano Nacional de Desenvolvimento (II PND), que tinha como objetivo principal impulsionar a economia, ampliando a industrialização e promovendo grandes investimentos em infraestrutura e setores estratégicos. Geisel buscava consolidar um modelo de crescimento autônomo, baseado em financiamento estatal e no fortalecimento de setores como energia, transporte e agricultura, com ênfase na exportação de commodities. </w:t>
        <w:tab/>
      </w:r>
    </w:p>
    <w:p>
      <w:pPr>
        <w:pStyle w:val="BodyText"/>
        <w:bidi w:val="0"/>
        <w:spacing w:lineRule="auto" w:line="430" w:before="0" w:after="0"/>
        <w:ind w:hanging="0" w:left="0" w:right="0"/>
        <w:jc w:val="both"/>
        <w:rPr>
          <w:rFonts w:eastAsia="Arial"/>
          <w:b w:val="false"/>
          <w:bCs/>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ab/>
        <w:t>A economista Maria da Conceição Tavares (2010), em  sua análise, ajuda a entender por que o plano não alcançou os resultados esperados. Para Tavares, o PND II foi mais uma ideologia do que um plano propriamente dito, pois embora fosse ambicioso em suas metas de desenvolvimento e modernização industrial, o plano carecia de mecanismos para lidar com os desequilíbrios econômicos gerados por sua implementação. Conforme a autora, o II PND aprofundou o endividamento externo do Brasil, ao mesmo tempo em que falhou em controlar a inflação e a deterioração das contas públicas. Ao priorizar grandes projetos de infraestrutura e a produção de bens de capital, o governo Geisel incentivou a concentração de recursos em setores altamente capitalizados, enquanto as classes trabalhadoras, especialmente no campo, continuaram a sofrer com a falta de acesso a crédito e a serviços básicos. </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Em seu plano econômico, Geisel tinha como um dos objetivos a integração de  regiões consideradas subdesenvolvidas à lógica do crescimento econômico nacional, como regiões do Norte,  Nordeste e o Centro-Oeste. O II PND destinou recursos significativos para programas de desenvolvimento agrícola e industrial nessas áreas.  A expansão agrícola promovida pelo governo, particularmente no Cerrado e na Amazônia, esteve orientada para beneficiar grandes latifundiários e o agronegócio exportador, através de  Programas como Poloamazônia e o Polocentro que não atenderam às demandas dos pequenos agricultores e posseiros, levando à expulsão de muitos deles de suas terras. </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O desenvolvimento promovido na ditadura militar foi conduzido de maneira que aprofundou a concentração de renda e poder nas mãos de elites locais, repetindo um padrão de modernização excludente. Essa exclusão dos pequenos agricultores, que dependiam de políticas públicas de apoio que nunca chegaram, deixou evidente as contradições do II PND. Uma vez que, por um lado, havia o discurso do desenvolvimento inclusivo, por outro, as políticas adotadas reforçaram a estrutura desigual da distribuição de terra e riqueza no Brasil.  </w:t>
      </w:r>
    </w:p>
    <w:p>
      <w:pPr>
        <w:pStyle w:val="BodyText"/>
        <w:bidi w:val="0"/>
        <w:spacing w:lineRule="auto" w:line="430" w:before="0" w:after="0"/>
        <w:ind w:firstLine="720" w:left="0" w:right="0"/>
        <w:jc w:val="both"/>
        <w:rPr>
          <w:rFonts w:eastAsia="Arial"/>
          <w:b w:val="false"/>
          <w:bCs/>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Conforme aponta Rafael Moraes e Pedro Paulo Zahluth Bastos, no artigo </w:t>
      </w:r>
      <w:r>
        <w:rPr>
          <w:rFonts w:eastAsia="Arial"/>
          <w:b w:val="false"/>
          <w:bCs/>
          <w:caps w:val="false"/>
          <w:smallCaps w:val="false"/>
          <w:strike w:val="false"/>
          <w:dstrike w:val="false"/>
          <w:color w:val="000000"/>
          <w:u w:val="none"/>
          <w:effect w:val="none"/>
          <w:shd w:fill="auto" w:val="clear"/>
        </w:rPr>
        <w:t>“</w:t>
      </w:r>
      <w:r>
        <w:rPr>
          <w:rFonts w:eastAsia="Arial" w:ascii="Trebuchet MS;sans-serif" w:hAnsi="Trebuchet MS;sans-serif"/>
          <w:b w:val="false"/>
          <w:bCs/>
          <w:i/>
          <w:caps w:val="false"/>
          <w:smallCaps w:val="false"/>
          <w:strike w:val="false"/>
          <w:dstrike w:val="false"/>
          <w:color w:val="000000"/>
          <w:sz w:val="24"/>
          <w:u w:val="none"/>
          <w:effect w:val="none"/>
          <w:shd w:fill="auto" w:val="clear"/>
        </w:rPr>
        <w:t>O Estado em Disputa: Os Objetivos do II PND e os Interesses dos Industriais”</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a relação entre o Estado e o empresariado na época era complexa, caracterizada por uma aliança onde o governo não era totalmente submisso, nem completamente independente do setor empresarial. A ditadura militar, segundo os autores, buscava se legitimar ao apresentar-se como um regime indispensável para proteger a propriedade privada e os interesses econômicos, especialmente diante das “ameaças do comunismo e do sindicalismo” que foram forjadas no período. Nesse contexto, Moraes e Bastos chamam a atenção para a natureza de classe do Estado capitalista, argumentando que o governo estava condicionado pela necessidade de promover a valorização do capital e o crescimento econômico. Assim, mesmo em um regime autoritário, o Estado não rompeu os canais de comunicação com os empresários, pelo contrário, essa cooperação entre governo e setor privado era crucial para o sucesso de iniciativas como o II PND.</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O plano foi elaborado por tecnocratas do IPEA (Instituto de Pesquisa Econômica Aplicada), sob a coordenação do ministro do Planejamento, João Paulo dos Reis Velloso, sem um debate prévio com os diversos setores da sociedade. Essa postura gerou críticas, como a de Carlos Lessa (1978), que se refere ao “Estado-Príncipe”, uma metáfora para descrever o governo que decide os rumos do país sem consultar a sociedade. Segundo Lessa, o plano servia para sustentar a ideologia do “Brasil potência”, marcada por um militarismo ufanista.</w:t>
      </w:r>
    </w:p>
    <w:p>
      <w:pPr>
        <w:pStyle w:val="BodyText"/>
        <w:bidi w:val="0"/>
        <w:spacing w:lineRule="auto" w:line="430" w:before="0" w:after="0"/>
        <w:ind w:hanging="0" w:left="0" w:right="0"/>
        <w:jc w:val="both"/>
        <w:rPr>
          <w:rFonts w:eastAsia="Arial"/>
          <w:b w:val="false"/>
          <w:bCs/>
        </w:rPr>
      </w:pPr>
      <w:r>
        <w:rPr>
          <w:rFonts w:eastAsia="Arial" w:ascii="Trebuchet MS;sans-serif" w:hAnsi="Trebuchet MS;sans-serif"/>
          <w:b/>
          <w:bCs/>
          <w:i w:val="false"/>
          <w:caps w:val="false"/>
          <w:smallCaps w:val="false"/>
          <w:strike w:val="false"/>
          <w:dstrike w:val="false"/>
          <w:color w:val="000000"/>
          <w:sz w:val="24"/>
          <w:u w:val="none"/>
          <w:effect w:val="none"/>
          <w:shd w:fill="auto" w:val="clear"/>
        </w:rPr>
        <w:t>2. Expansão da monocultura no Brasil: o papel do II PND na transformação agrária e concentração fundiária</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O II Plano Nacional de Desenvolvimento (II PND), implementado na ditadura militar, tinha como uma de suas principais metas a modernização da agricultura no Brasil. Nesse contexto, foram criados diversos programas voltados para o desenvolvimento de regiões como a Amazônia e o Centro-Oeste, com o objetivo de ocupar as vastas áreas agricultáveis e promover o crescimento econômico dessas áreas. Contudo, as políticas de crédito que privilegiaram as grandes fazendas contribuíram para aumentar as desigualdades sociais e regionais, especialmente nas áreas onde programas vinculados II PND foram implementados. Pois, os pequenos produtores, sem acesso aos mesmos privilégios da política econômica, ficaram marginalizados em um processo de modernização que não os contemplava.</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De acordo com Patrícia Francisca Matos e Vera Lúcia Salazar Pessôa (2011), a agricultura moderna no Brasil, caracterizada pela adoção crescente de inovações tecnológicas e pela transformação das relações entre capital e trabalho, tem-se expandido. Este modelo agrícola trouxe mudanças substanciais nas condições econômicas, promovendo um aumento significativo da produção agrícola nacional. No entanto, os dados que destacam o crescimento da produção agrícola frequentemente ocultam as reais consequências desse modelo, que não distribui os seus benefícios de forma equitativa, as implicações para os biomas, os trabalhadores e a sociedade como um todo são, muitas vezes, negligenciadas.</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As autoras argumentam que, dentro da lógica capitalista, ser “moderno” implica a adesão a este sistema produtivo, que é excludente e concentrador. Neste contexto, as grandes empresas rurais emergem como o principal símbolo dessa agricultura moderna no Brasil. Assim, a modernização do território, impulsionada pelo avanço técnico-científico e informacional, impacta não apenas as relações econômicas, mas também transforma profundamente as esferas sociais, políticas e culturais. Como resultado, novas dinâmicas surgem entre capital e trabalho, moldadas por um processo de modernização capitalista, industrial e financeira, que se intensificou nos anos 1990. </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Na interpretação de Matos e Pessôa (2011), o agronegócio representa uma manifestação contemporânea do capitalismo no campo. Nesse modelo, a produção está centrada no uso de tecnologias avançadas, grandes extensões de terra, mão de obra reduzida, monocultura e uma dependência direta das dinâmicas do mercado para decidir o que e como produzir. Para o Estado, esse modelo é frequentemente apresentado como motor do desenvolvimento e da prosperidade rural, uma vez que contribui de forma expressiva para o PIB, para a geração de empregos e para a produção de alimentos. Todavia, essa narrativa oficial tende a negligenciar os impactos negativos, tanto ambientais quanto sociais, gerados por este sistema. </w:t>
      </w:r>
    </w:p>
    <w:p>
      <w:pPr>
        <w:pStyle w:val="BodyText"/>
        <w:spacing w:lineRule="auto" w:line="430" w:before="0" w:after="0"/>
        <w:jc w:val="both"/>
        <w:rPr>
          <w:rFonts w:ascii="Trebuchet MS;sans-serif" w:hAnsi="Trebuchet MS;sans-serif" w:eastAsia="Arial"/>
          <w:b/>
          <w:bCs/>
          <w:color w:val="000000"/>
        </w:rPr>
      </w:pPr>
      <w:r>
        <w:rPr>
          <w:rFonts w:eastAsia="Arial" w:ascii="Times New Roman;serif" w:hAnsi="Times New Roman;serif"/>
          <w:b w:val="false"/>
          <w:bCs/>
          <w:i w:val="false"/>
          <w:caps w:val="false"/>
          <w:smallCaps w:val="false"/>
          <w:strike w:val="false"/>
          <w:dstrike w:val="false"/>
          <w:color w:val="000000"/>
          <w:sz w:val="24"/>
          <w:u w:val="none"/>
          <w:effect w:val="none"/>
          <w:shd w:fill="auto" w:val="clear"/>
        </w:rPr>
        <w:tab/>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Ao analisar a ocupação do cerrado brasileiro por projetos agroindustriais com foco na monocultura, Matos e  Pessôa (2011) destacam que o II PND foi fundamental para direcionar a expansão do capital nas áreas do Cerrado, promovendo a ocupação econômica da região. As políticas agrícolas facilitaram a territorialização de grandes empresas agropecuárias, que introduziram monoculturas, como a soja, e transformações socioeconômicas significativas. Assim, o Estado, por meio de incentivos e investimentos, consolidou a agricultura moderna, mas também contribuiu para a exclusão social e a concentração de terras.  Nesta região a modernização da agricultura alterou as formas de apropriação e uso do território ao introduzir inovações tecnológicas e práticas de produção voltadas para a maximização de lucros. Isso resultou na territorialização de grandes empresas agropecuárias, que priorizaram monoculturas e a expansão do capital, em detrimento da função social da terra. </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Thiago Lucas Alves Da Silva (2018), ao analisar a apropriação capitalista da silvicultura no Brasil, destaca que, durante o período da ditadura militar, houve uma expansão significativa no cultivo em larga escala de eucalipto. O governo, na época, oferecia uma série de incentivos, como subsídios fiscais e financiamentos públicos, às grandes empresas que investiam em monoculturas, especialmente de eucalipto e pinus, voltadas para a produção de polpa de celulose e carvão vegetal. Segundo o autor, Esse apoio governamental se intensificou com o lançamento do II Plano Nacional de Desenvolvimento (II PND, em 1974) e do I Programa Nacional de Papel e Celulose (I PNPC), que concentraram suas ações em estados estratégicos como Rio Grande do Sul, Paraná, São Paulo, Minas Gerais, Rio de Janeiro, Espírito Santo, Bahia e Pará. Entre 1974 e 1980, o governo brasileiro injetou aproximadamente 466,8 milhões de dólares no setor de papel e celulose. Esse apoio não se limitou apenas a financiamentos do Banco Nacional de Desenvolvimento Econômico (BNDE); o governo também passou a participar diretamente, por meio de ações e investimentos de empresas estatais, como a Companhia Vale do Rio Doce (CVRD), nas empresas do setor.</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Nesse quadro, um dos aspectos mais importantes do II PND foi a promoção da modernização agrícola, com destaque para a expansão da monocultura, especialmente de commodities como soja, cana-de-açúcar e eucalipto. A monocultura foi vista como uma solução para aumentar a produtividade agrícola e impulsionar as exportações, necessárias para a obtenção de divisas e o equilíbrio da balança comercial. Ao mesmo tempo, políticas de crédito agrícola foram ampliadas, facilitando o acesso ao financiamento para os grandes empreendimentos agrícolas. Essa expansão ocorreu principalmente em regiões consideradas “marginais” para o desenvolvimento econômico até então, como o Centro-Oeste e o Norte do país, mas também em áreas tradicionalmente ocupadas por pequenos agricultores e comunidades rurais. Pequenos produtores, assim como comunidades indígenas, quilombolas e rurais, foram frequentemente marginalizados ou deslocados pela expansão das fronteiras agrícolas e se tornaram vítimas da violência no campo, ou seja, a prática da monocultura favoreceu a produção voltada para exportação, em detrimento da agricultura destinada ao consumo interno, gerando desequilíbrios tanto regionais quanto sociais.</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Segundo Simone Raquel Batista Ferreira (2000, p. 124):</w:t>
      </w:r>
    </w:p>
    <w:p>
      <w:pPr>
        <w:pStyle w:val="BodyText"/>
        <w:bidi w:val="0"/>
        <w:spacing w:lineRule="auto" w:line="288" w:before="0" w:after="0"/>
        <w:ind w:hanging="0" w:left="2268" w:right="0"/>
        <w:jc w:val="both"/>
        <w:rPr>
          <w:rFonts w:ascii="Trebuchet MS;sans-serif" w:hAnsi="Trebuchet MS;sans-serif" w:eastAsia="Arial"/>
          <w:b w:val="false"/>
          <w:bCs/>
          <w:i w:val="false"/>
          <w:i w:val="false"/>
          <w:caps w:val="false"/>
          <w:smallCaps w:val="false"/>
          <w:strike w:val="false"/>
          <w:dstrike w:val="false"/>
          <w:color w:val="000000"/>
          <w:sz w:val="20"/>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0"/>
          <w:u w:val="none"/>
          <w:effect w:val="none"/>
          <w:shd w:fill="auto" w:val="clear"/>
        </w:rPr>
        <w:t>O primeiro “mito” difundido pelas empresas refere-se à ideia da alta produtividade dos plantios de eucalipto e às afirmativas de que os plantios foram realizados em áreas já degradadas, não cobertas por vegetação nativa, ou “áreas desmatadas, coberta por arbustos improdutivos ou com raros cultivos (...). Disseminando a ideia da “não-vocação” destas terras para a agricultura, este discurso inferioriza valorativamente a forma tradicional do uso da terra e constrói a ideia naturalizante acerca da “vocação” do ambiente local, diminuindo a amplitude e importância ambiental, social e econômica da Floresta Tropical nativa e justificando o plantio das “florestas” homogêneas de espécies exóticas. </w:t>
      </w:r>
    </w:p>
    <w:p>
      <w:pPr>
        <w:pStyle w:val="BodyText"/>
        <w:bidi w:val="0"/>
        <w:spacing w:lineRule="auto" w:line="430" w:before="0" w:after="0"/>
        <w:ind w:hanging="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r>
    </w:p>
    <w:p>
      <w:pPr>
        <w:pStyle w:val="BodyText"/>
        <w:bidi w:val="0"/>
        <w:spacing w:lineRule="auto" w:line="430" w:before="0" w:after="0"/>
        <w:ind w:hanging="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ab/>
        <w:t>O Estado Brasileiro consolidou seu apoio aos maciços florestais por meio da criação de órgãos oficiais voltados ao fomento e à fiscalização dos plantios, bem como através de legislações específicas e normas fiscais de incentivo ao setor. Nesse processo, a perda das terras de cultivo e das florestas, que eram base da abundância, causou um impacto profundo na subsistência dessas comunidades, cuja sobrevivência dependia do uso extensivo dos recursos naturais. Nessa perspectiva, a expansão da monocultura sob o II PND foi facilitada pela apropriação de terras devolutas, áreas que o governo militar considerava improdutivas ou sem uso legalizado. Grande parte dessas terras eram, na verdade, ocupadas por trabalhadores rurais e comunidades que viviam da agricultura de subsistência, sem, contudo, possuírem títulos de propriedade formalizados. As terras devolutas, ao serem apropriadas pelo Estado e cedidas a grandes empreendimentos, se tornaram um símbolo das tensões da contradição entre o projeto de desenvolvimento promovido pelo governo e as necessidades das populações rurais.</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Em sua análise sobre o Vale do Jequitinhonha no nordeste de Minas Gerais, Cláudia Maia (2000), destaca que o reflorestamento incentivado começou a se expandir na região na década de 1970, especificamente a partir de 1974, com a implantação de 314 mil hectares de florestas de eucalipto até 1980. Nesse processo, o Alto Jequitinhonha foi a região que mais recebeu incentivos para florestas industriais, devido à abundância de terras baratas e à sua localização privilegiada, próxima ao Vale do Aço, um importante pólo siderúrgico estadual, o que constituía um mercado potencial para o carvão proveniente dos maciços florestais em implantação. Para a autora, o apoio do Estado, por meio da concessão de vultosos incentivos fiscais e da implantação de infraestrutura básica, foi decisivo para a expansão da atividade na região, assim como a intervenção da RURALMINAS, ao determinar a condição legal das terras a serem reflorestadas. Maia (2000) também observa que a atividade reflorestadora foi precedida por intensos conflitos pela posse da terra, de várias formas, que quase sempre culminaram na expropriação dos camponeses ou na compra de suas terras a baixo preço.</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Portanto, diante dos estudos analisados é possível afirmar que os planos de desenvolvimento implementados no meio rural brasileiro contribuíram para o aumento da migração rural e gerou um aumento significativo dos conflitos agrários, levando ao surgimento de movimentos sociais no campo, como o Movimento dos Trabalhadores Rurais Sem Terra (MST), que passou a lutar pela reforma agrária e contra a concentração de terras. O legado do II PND na questão agrária reflete-se, portanto, em uma estrutura fundiária ainda concentrada, em conflitos permanentes pela terra e em uma agricultura voltada para o mercado externo, que, ao longo das décadas, contribuiu para a exclusão dos trabalhadores rurais e a perpetuação da desigualdade no campo brasileiro.</w:t>
      </w:r>
    </w:p>
    <w:p>
      <w:pPr>
        <w:pStyle w:val="BodyText"/>
        <w:bidi w:val="0"/>
        <w:spacing w:lineRule="auto" w:line="430" w:before="0" w:after="0"/>
        <w:ind w:hanging="0" w:left="0" w:right="0"/>
        <w:jc w:val="both"/>
        <w:rPr>
          <w:rFonts w:ascii="Trebuchet MS;sans-serif" w:hAnsi="Trebuchet MS;sans-serif" w:eastAsia="Arial"/>
          <w:b/>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bCs/>
          <w:i w:val="false"/>
          <w:caps w:val="false"/>
          <w:smallCaps w:val="false"/>
          <w:strike w:val="false"/>
          <w:dstrike w:val="false"/>
          <w:color w:val="000000"/>
          <w:sz w:val="24"/>
          <w:u w:val="none"/>
          <w:effect w:val="none"/>
          <w:shd w:fill="auto" w:val="clear"/>
        </w:rPr>
      </w:r>
    </w:p>
    <w:p>
      <w:pPr>
        <w:pStyle w:val="BodyText"/>
        <w:bidi w:val="0"/>
        <w:spacing w:lineRule="auto" w:line="430" w:before="0" w:after="0"/>
        <w:ind w:hanging="0" w:left="0" w:right="0"/>
        <w:jc w:val="both"/>
        <w:rPr>
          <w:rFonts w:ascii="Trebuchet MS;sans-serif" w:hAnsi="Trebuchet MS;sans-serif" w:eastAsia="Arial"/>
          <w:b/>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bCs/>
          <w:i w:val="false"/>
          <w:caps w:val="false"/>
          <w:smallCaps w:val="false"/>
          <w:strike w:val="false"/>
          <w:dstrike w:val="false"/>
          <w:color w:val="000000"/>
          <w:sz w:val="24"/>
          <w:u w:val="none"/>
          <w:effect w:val="none"/>
          <w:shd w:fill="auto" w:val="clear"/>
        </w:rPr>
        <w:t>Considerações finais e encaminhamentos para a pesquisa.</w:t>
      </w:r>
    </w:p>
    <w:p>
      <w:pPr>
        <w:pStyle w:val="BodyText"/>
        <w:bidi w:val="0"/>
        <w:spacing w:lineRule="auto" w:line="430" w:before="0" w:after="0"/>
        <w:ind w:hanging="0" w:left="0" w:right="0"/>
        <w:jc w:val="both"/>
        <w:rPr>
          <w:rFonts w:eastAsia="Arial"/>
          <w:b w:val="false"/>
          <w:bCs/>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ab/>
        <w:t>A análise inicial do II Plano Nacional de Desenvolvimento (II PND) revela como, sob o discurso de progresso e desenvolvimento, o Estado brasileiro, durante a ditadura militar, promoveu transformações no campo que privilegiaram o grande capital e a agroindústria, enquanto desestruturaram comunidades rurais, indígenas e quilombolas. A modernização excludente, marcada pela concentração de terras e expansão da monocultura, provocou o êxodo rural e acirrou conflitos agrários, agravando desigualdades sociais e apagando modos de vida tradicionais. Esse modelo de desenvolvimento, alinhado aos interesses do capital internacional, consolidou uma dualidade no campo, beneficiando o setor exportador às custas da marginalização do campesinato.</w:t>
      </w:r>
    </w:p>
    <w:p>
      <w:pPr>
        <w:pStyle w:val="BodyText"/>
        <w:bidi w:val="0"/>
        <w:spacing w:lineRule="auto" w:line="430" w:before="0" w:after="0"/>
        <w:ind w:firstLine="720" w:left="0" w:right="0"/>
        <w:jc w:val="both"/>
        <w:rPr>
          <w:rFonts w:eastAsia="Arial"/>
          <w:b w:val="false"/>
          <w:bCs/>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Ao abordar essas questões, a pesquisa de doutorado intitulada</w:t>
      </w:r>
      <w:r>
        <w:rPr>
          <w:rFonts w:eastAsia="Arial"/>
          <w:b w:val="false"/>
          <w:bCs/>
          <w:caps w:val="false"/>
          <w:smallCaps w:val="false"/>
          <w:strike w:val="false"/>
          <w:dstrike w:val="false"/>
          <w:color w:val="000000"/>
          <w:u w:val="none"/>
          <w:effect w:val="none"/>
          <w:shd w:fill="auto" w:val="clear"/>
        </w:rPr>
        <w:t xml:space="preserve"> “</w:t>
      </w:r>
      <w:r>
        <w:rPr>
          <w:rFonts w:eastAsia="Arial" w:ascii="Trebuchet MS;sans-serif" w:hAnsi="Trebuchet MS;sans-serif"/>
          <w:b w:val="false"/>
          <w:bCs/>
          <w:i/>
          <w:caps w:val="false"/>
          <w:smallCaps w:val="false"/>
          <w:strike w:val="false"/>
          <w:dstrike w:val="false"/>
          <w:color w:val="000000"/>
          <w:sz w:val="24"/>
          <w:u w:val="none"/>
          <w:effect w:val="none"/>
          <w:shd w:fill="auto" w:val="clear"/>
        </w:rPr>
        <w:t>Terras de Ninguém: Memórias dos Conflitos Sociais na Implementação da Monocultura de Eucalipto no Vale do Jequitinhonha (1970-2020)”</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 atualmente em fase inicial, poderá aprofundar a compreensão dos efeitos do projeto desenvolvimentista da ditadura militar sobre os diversos sujeitos envolvidos.  Como proposição, pretende-se realizar uma análise detalhada dos jornais da época – como exemplo a coleção de jornais publicada entre 28/08/1977 a 04/09/197 sob autoria do jornalista Ricardo Kotscho, intitulada </w:t>
      </w:r>
      <w:r>
        <w:rPr>
          <w:rFonts w:eastAsia="Arial" w:ascii="Trebuchet MS;sans-serif" w:hAnsi="Trebuchet MS;sans-serif"/>
          <w:b w:val="false"/>
          <w:bCs/>
          <w:i/>
          <w:iCs/>
          <w:caps w:val="false"/>
          <w:smallCaps w:val="false"/>
          <w:strike w:val="false"/>
          <w:dstrike w:val="false"/>
          <w:color w:val="000000"/>
          <w:sz w:val="24"/>
          <w:u w:val="none"/>
          <w:effect w:val="none"/>
          <w:shd w:fill="auto" w:val="clear"/>
        </w:rPr>
        <w:t>“O progresso chegando ao Vale da Fome”</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 -  não apenas como registros documentais, mas também como fontes de memória que atuaram na construção das representações públicas dos acontecimentos. Esses veículos de comunicação, ao relatar os eventos em torno do avanço do II PND, moldaram percepções e narrativas que influenciam no que é lembrado e o que é omitido no processo de modernização rural. </w:t>
      </w:r>
    </w:p>
    <w:p>
      <w:pPr>
        <w:pStyle w:val="BodyText"/>
        <w:bidi w:val="0"/>
        <w:spacing w:lineRule="auto" w:line="430" w:before="0" w:after="0"/>
        <w:ind w:firstLine="720" w:left="0" w:right="0"/>
        <w:jc w:val="both"/>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Além da análise de fontes jornalísticas, a pesquisa através de entrevistas com trabalhadores rurais, quilombolas e outras comunidades afetadas pela expansão da monocultura de eucalipto e pelas políticas de desenvolvimento rural é de fundamental importância. Pois, as memórias desses sujeitos são cruciais para confrontar as narrativas oficiais dos agentes políticos e fornecer uma dimensão subjetiva ao estudo, revelando as experiências vividas por aqueles que sofreram diretamente as consequências da expropriação, da marginalização social e da violência. O campo de pesquisa em memória oferece, assim, um espaço rico para explorar como esses sujeitos constroem e compartilham suas lembranças, e como suas memórias resistem, se adaptam ou mesmo são silenciadas diante das narrativas dominantes. </w:t>
      </w:r>
    </w:p>
    <w:p>
      <w:pPr>
        <w:pStyle w:val="BodyText"/>
        <w:bidi w:val="0"/>
        <w:spacing w:lineRule="auto" w:line="430" w:before="0" w:after="0"/>
        <w:ind w:firstLine="720" w:left="0" w:right="0"/>
        <w:jc w:val="both"/>
        <w:rPr>
          <w:rFonts w:ascii="Trebuchet MS;sans-serif" w:hAnsi="Trebuchet MS;sans-serif"/>
          <w:i w:val="false"/>
          <w:i w:val="false"/>
          <w:caps w:val="false"/>
          <w:smallCaps w:val="false"/>
          <w:strike w:val="false"/>
          <w:dstrike w:val="false"/>
          <w:color w:val="000000"/>
          <w:sz w:val="24"/>
          <w:u w:val="none"/>
          <w:effect w:val="none"/>
          <w:shd w:fill="auto" w:val="clear"/>
        </w:rPr>
      </w:pPr>
      <w:r>
        <w:rPr>
          <w:rFonts w:ascii="Trebuchet MS;sans-serif" w:hAnsi="Trebuchet MS;sans-serif"/>
          <w:i w:val="false"/>
          <w:caps w:val="false"/>
          <w:smallCaps w:val="false"/>
          <w:strike w:val="false"/>
          <w:dstrike w:val="false"/>
          <w:color w:val="000000"/>
          <w:sz w:val="24"/>
          <w:u w:val="none"/>
          <w:effect w:val="none"/>
          <w:shd w:fill="auto" w:val="clear"/>
        </w:rPr>
      </w:r>
    </w:p>
    <w:p>
      <w:pPr>
        <w:pStyle w:val="BodyText"/>
        <w:bidi w:val="0"/>
        <w:spacing w:lineRule="auto" w:line="430" w:before="0" w:after="0"/>
        <w:ind w:hanging="0" w:left="0" w:right="0"/>
        <w:jc w:val="both"/>
        <w:rPr>
          <w:rFonts w:ascii="Trebuchet MS;sans-serif" w:hAnsi="Trebuchet MS;sans-serif" w:eastAsia="Arial"/>
          <w:b/>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bCs/>
          <w:i w:val="false"/>
          <w:caps w:val="false"/>
          <w:smallCaps w:val="false"/>
          <w:strike w:val="false"/>
          <w:dstrike w:val="false"/>
          <w:color w:val="000000"/>
          <w:sz w:val="24"/>
          <w:u w:val="none"/>
          <w:effect w:val="none"/>
          <w:shd w:fill="auto" w:val="clear"/>
        </w:rPr>
        <w:t>Referências</w:t>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CARNEIRO, Dionísio Dias. </w:t>
      </w:r>
      <w:r>
        <w:rPr>
          <w:rFonts w:eastAsia="Arial" w:ascii="Trebuchet MS;sans-serif" w:hAnsi="Trebuchet MS;sans-serif"/>
          <w:b/>
          <w:bCs/>
          <w:i w:val="false"/>
          <w:caps w:val="false"/>
          <w:smallCaps w:val="false"/>
          <w:strike w:val="false"/>
          <w:dstrike w:val="false"/>
          <w:color w:val="000000"/>
          <w:sz w:val="24"/>
          <w:u w:val="none"/>
          <w:effect w:val="none"/>
          <w:shd w:fill="auto" w:val="clear"/>
        </w:rPr>
        <w:t>Crise e esperança</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1974-1980. In: ABREU, Marcelo de Paiva et al (Org.). A ordem do progresso: cem anos de política econômica republicana 1889-1989. Rio de Janeiro: Campus, 1990. Cap. 11. p. 295-322.</w:t>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CARNEIRO, Ricardo de Medeiros. </w:t>
      </w:r>
      <w:r>
        <w:rPr>
          <w:rFonts w:eastAsia="Arial" w:ascii="Trebuchet MS;sans-serif" w:hAnsi="Trebuchet MS;sans-serif"/>
          <w:b/>
          <w:bCs/>
          <w:i w:val="false"/>
          <w:caps w:val="false"/>
          <w:smallCaps w:val="false"/>
          <w:strike w:val="false"/>
          <w:dstrike w:val="false"/>
          <w:color w:val="000000"/>
          <w:sz w:val="24"/>
          <w:u w:val="none"/>
          <w:effect w:val="none"/>
          <w:shd w:fill="auto" w:val="clear"/>
        </w:rPr>
        <w:t>Crise, estagnação e hiperinflação</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a economia brasileira dos Anos 80. Tese (Doutorado). Instituto de Economia/Unicamp, Campinas, 1991.</w:t>
      </w:r>
    </w:p>
    <w:p>
      <w:pPr>
        <w:pStyle w:val="BodyText"/>
        <w:bidi w:val="0"/>
        <w:spacing w:lineRule="auto" w:line="240" w:before="0" w:after="0"/>
        <w:ind w:hanging="0" w:left="0" w:right="0"/>
        <w:jc w:val="left"/>
        <w:rPr>
          <w:rFonts w:ascii="Trebuchet MS;sans-serif" w:hAnsi="Trebuchet MS;sans-serif"/>
          <w:i w:val="false"/>
          <w:i w:val="false"/>
          <w:caps w:val="false"/>
          <w:smallCaps w:val="false"/>
          <w:strike w:val="false"/>
          <w:dstrike w:val="false"/>
          <w:color w:val="000000"/>
          <w:sz w:val="24"/>
          <w:u w:val="none"/>
          <w:effect w:val="none"/>
          <w:shd w:fill="auto" w:val="clear"/>
        </w:rPr>
      </w:pPr>
      <w:r>
        <w:rPr>
          <w:rFonts w:ascii="Trebuchet MS;sans-serif" w:hAnsi="Trebuchet MS;sans-serif"/>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FERNANDES, Florestan. S</w:t>
      </w:r>
      <w:r>
        <w:rPr>
          <w:rFonts w:eastAsia="Arial" w:ascii="Trebuchet MS;sans-serif" w:hAnsi="Trebuchet MS;sans-serif"/>
          <w:b/>
          <w:bCs/>
          <w:i w:val="false"/>
          <w:caps w:val="false"/>
          <w:smallCaps w:val="false"/>
          <w:strike w:val="false"/>
          <w:dstrike w:val="false"/>
          <w:color w:val="000000"/>
          <w:sz w:val="24"/>
          <w:u w:val="none"/>
          <w:effect w:val="none"/>
          <w:shd w:fill="auto" w:val="clear"/>
        </w:rPr>
        <w:t>ociedade de Classes e Subdesenvolvimento</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São Paulo: Global Editora. 2015.</w:t>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FERNANDES, Bernardo Mançano. </w:t>
      </w:r>
      <w:r>
        <w:rPr>
          <w:rFonts w:eastAsia="Arial" w:ascii="Trebuchet MS;sans-serif" w:hAnsi="Trebuchet MS;sans-serif"/>
          <w:b/>
          <w:bCs/>
          <w:i w:val="false"/>
          <w:caps w:val="false"/>
          <w:smallCaps w:val="false"/>
          <w:strike w:val="false"/>
          <w:dstrike w:val="false"/>
          <w:color w:val="000000"/>
          <w:sz w:val="24"/>
          <w:u w:val="none"/>
          <w:effect w:val="none"/>
          <w:shd w:fill="auto" w:val="clear"/>
        </w:rPr>
        <w:t>Contribuição ao estudo do campesinato brasileiro</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formação e territorialização do Movimento dos Trabalhadores Rurais Sem Terra-MST: 1979-1999. São Paulo: Departamento de Geografia da Faculdade de Filosofia, Letras e Ciencias Humanas da Universidade de São Paulo, 1999. (Tese de doutorado em Geografia).</w:t>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FERREIRA, Simone Raquel Batista. </w:t>
      </w:r>
      <w:r>
        <w:rPr>
          <w:rFonts w:eastAsia="Arial" w:ascii="Trebuchet MS;sans-serif" w:hAnsi="Trebuchet MS;sans-serif"/>
          <w:b/>
          <w:bCs/>
          <w:i w:val="false"/>
          <w:caps w:val="false"/>
          <w:smallCaps w:val="false"/>
          <w:strike w:val="false"/>
          <w:dstrike w:val="false"/>
          <w:color w:val="000000"/>
          <w:sz w:val="24"/>
          <w:u w:val="none"/>
          <w:effect w:val="none"/>
          <w:shd w:fill="auto" w:val="clear"/>
        </w:rPr>
        <w:t>Da Fartura à Escassez</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a agroindústria de celulose e o fim dos territórios comunais no extremo norte do Espirito Santo. 2002. Dissertação (Mestrado em Geografia Humana) - Faculdade de Filosofia, Letras e Ciências Humanas, University of São Paulo, São Paulo, 2002.</w:t>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FONSECA, Pedro Cezar Dutra; MONTEIRO, Sergio Marley Modesto. </w:t>
      </w:r>
      <w:r>
        <w:rPr>
          <w:rFonts w:eastAsia="Arial" w:ascii="Trebuchet MS;sans-serif" w:hAnsi="Trebuchet MS;sans-serif"/>
          <w:b/>
          <w:bCs/>
          <w:i w:val="false"/>
          <w:caps w:val="false"/>
          <w:smallCaps w:val="false"/>
          <w:strike w:val="false"/>
          <w:dstrike w:val="false"/>
          <w:color w:val="000000"/>
          <w:sz w:val="24"/>
          <w:u w:val="none"/>
          <w:effect w:val="none"/>
          <w:shd w:fill="auto" w:val="clear"/>
        </w:rPr>
        <w:t>O Estado e suas razões:</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 o II PND. *Revista de Economia Política*, v. 28, n. 1 (109), p. 28-46, jan./mar. 2007. Disponível em: https://www.scielo.br/j/rep/a/48sFyxjczMLHDkKhWZSM5Sw/?format=pdf&amp;lang=pt. Acesso em:01 de set.2024.</w:t>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MATOS, P. F.; PESSOA, V. L. S. </w:t>
      </w:r>
      <w:r>
        <w:rPr>
          <w:rFonts w:eastAsia="Arial" w:ascii="Trebuchet MS;sans-serif" w:hAnsi="Trebuchet MS;sans-serif"/>
          <w:b/>
          <w:bCs/>
          <w:i w:val="false"/>
          <w:caps w:val="false"/>
          <w:smallCaps w:val="false"/>
          <w:strike w:val="false"/>
          <w:dstrike w:val="false"/>
          <w:color w:val="000000"/>
          <w:sz w:val="24"/>
          <w:u w:val="none"/>
          <w:effect w:val="none"/>
          <w:shd w:fill="auto" w:val="clear"/>
        </w:rPr>
        <w:t>A Modernização Da Agricultura No Brasil E Os Novos Usos Do Território</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Geo UERJ, v. 2, n. 22, 2011.</w:t>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MORAES, R.; BASTOS, P. P. Z. O Estado em disputa: os objetivos do II PND e os interesses dos industriais. Nova Economia, [S. l.], v. 32, n. 1, p. 181–204, 2022. Disponível em: https://revistas.face.ufmg.br/index.php/novaeconomia/article/view/6736. Acesso em: 2 set. 2024.</w:t>
      </w:r>
    </w:p>
    <w:p>
      <w:pPr>
        <w:pStyle w:val="BodyText"/>
        <w:bidi w:val="0"/>
        <w:spacing w:lineRule="auto" w:line="240" w:before="0" w:after="0"/>
        <w:ind w:hanging="0" w:left="0" w:right="0"/>
        <w:jc w:val="left"/>
        <w:rPr>
          <w:rFonts w:ascii="Trebuchet MS;sans-serif" w:hAnsi="Trebuchet MS;sans-serif"/>
          <w:i w:val="false"/>
          <w:i w:val="false"/>
          <w:caps w:val="false"/>
          <w:smallCaps w:val="false"/>
          <w:strike w:val="false"/>
          <w:dstrike w:val="false"/>
          <w:color w:val="000000"/>
          <w:sz w:val="24"/>
          <w:u w:val="none"/>
          <w:effect w:val="none"/>
          <w:shd w:fill="auto" w:val="clear"/>
        </w:rPr>
      </w:pPr>
      <w:r>
        <w:rPr>
          <w:rFonts w:ascii="Trebuchet MS;sans-serif" w:hAnsi="Trebuchet MS;sans-serif"/>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SALIS, Carmem Lúcia Gomes. </w:t>
      </w:r>
      <w:r>
        <w:rPr>
          <w:rFonts w:eastAsia="Arial" w:ascii="Trebuchet MS;sans-serif" w:hAnsi="Trebuchet MS;sans-serif"/>
          <w:b/>
          <w:bCs/>
          <w:i w:val="false"/>
          <w:caps w:val="false"/>
          <w:smallCaps w:val="false"/>
          <w:strike w:val="false"/>
          <w:dstrike w:val="false"/>
          <w:color w:val="000000"/>
          <w:sz w:val="24"/>
          <w:u w:val="none"/>
          <w:effect w:val="none"/>
          <w:shd w:fill="auto" w:val="clear"/>
        </w:rPr>
        <w:t>Estatuto da terra</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origem e (des) caminhos da proposta de reforma agrária nos governos militares / Carmem Lúcia De Salis. Assis, 2008 230 f. D441. Tese de Doutorado - Faculdade de Ciências e Letras de Assis Universidade Estadual Paulista. 2008.</w:t>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SILVA, T. A. L. DA. </w:t>
      </w:r>
      <w:r>
        <w:rPr>
          <w:rFonts w:eastAsia="Arial" w:ascii="Trebuchet MS;sans-serif" w:hAnsi="Trebuchet MS;sans-serif"/>
          <w:b/>
          <w:bCs/>
          <w:i w:val="false"/>
          <w:caps w:val="false"/>
          <w:smallCaps w:val="false"/>
          <w:strike w:val="false"/>
          <w:dstrike w:val="false"/>
          <w:color w:val="000000"/>
          <w:sz w:val="24"/>
          <w:u w:val="none"/>
          <w:effect w:val="none"/>
          <w:shd w:fill="auto" w:val="clear"/>
        </w:rPr>
        <w:t>A apropriação capitalista da Silvicultura no Brasil e sua lógica de produção do espaço</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Terra Livre, v. 1, n. 50, p. 159–199, 2019.</w:t>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TAVARES, Maria Conceição; BELLUZZO, Luiz Gonzaga de Mello.</w:t>
      </w:r>
      <w:r>
        <w:rPr>
          <w:rFonts w:eastAsia="Arial" w:ascii="Trebuchet MS;sans-serif" w:hAnsi="Trebuchet MS;sans-serif"/>
          <w:b/>
          <w:bCs/>
          <w:i w:val="false"/>
          <w:caps w:val="false"/>
          <w:smallCaps w:val="false"/>
          <w:strike w:val="false"/>
          <w:dstrike w:val="false"/>
          <w:color w:val="000000"/>
          <w:sz w:val="24"/>
          <w:u w:val="none"/>
          <w:effect w:val="none"/>
          <w:shd w:fill="auto" w:val="clear"/>
        </w:rPr>
        <w:t xml:space="preserve"> Notas sobre o processo de industrialização recente no Brasil</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In: BELLUZZO, Luiz Gonzaga de Mello; COUTINHO Renata (Org.). Desenvolvimento capitalista do Brasil: ensaios sobre a crise. São Paulo: Brasiliense, 1982. v. 1.</w:t>
      </w:r>
    </w:p>
    <w:p>
      <w:pPr>
        <w:pStyle w:val="BodyText"/>
        <w:bidi w:val="0"/>
        <w:spacing w:lineRule="auto" w:line="240" w:before="0" w:after="0"/>
        <w:ind w:hanging="0" w:left="0" w:right="0"/>
        <w:jc w:val="left"/>
        <w:rPr>
          <w:rFonts w:ascii="Trebuchet MS;sans-serif" w:hAnsi="Trebuchet MS;sans-serif" w:eastAsia="Arial"/>
          <w:b w:val="false"/>
          <w:bCs/>
          <w:i w:val="false"/>
          <w:i w:val="false"/>
          <w:caps w:val="false"/>
          <w:smallCaps w:val="false"/>
          <w:strike w:val="false"/>
          <w:dstrike w:val="false"/>
          <w:color w:val="000000"/>
          <w:sz w:val="24"/>
          <w:u w:val="none"/>
          <w:effect w:val="none"/>
          <w:shd w:fill="auto" w:val="clear"/>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r>
    </w:p>
    <w:p>
      <w:pPr>
        <w:pStyle w:val="BodyText"/>
        <w:bidi w:val="0"/>
        <w:spacing w:lineRule="auto" w:line="240" w:before="0" w:after="0"/>
        <w:ind w:hanging="0" w:left="0" w:right="0"/>
        <w:jc w:val="left"/>
        <w:rPr/>
      </w:pP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xml:space="preserve">TAVARES, Maria da Conceição; MELO, Hildete Pereira de; CAPUTO, Ana Claudia; COSTA, Gloria Maria Moraes da; ARAÚJO, Victor Leonardo de. </w:t>
      </w:r>
      <w:r>
        <w:rPr>
          <w:rFonts w:eastAsia="Arial" w:ascii="Trebuchet MS;sans-serif" w:hAnsi="Trebuchet MS;sans-serif"/>
          <w:b/>
          <w:bCs/>
          <w:i w:val="false"/>
          <w:caps w:val="false"/>
          <w:smallCaps w:val="false"/>
          <w:strike w:val="false"/>
          <w:dstrike w:val="false"/>
          <w:color w:val="000000"/>
          <w:sz w:val="24"/>
          <w:u w:val="none"/>
          <w:effect w:val="none"/>
          <w:shd w:fill="auto" w:val="clear"/>
        </w:rPr>
        <w:t>Memórias do Desenvolvimento</w:t>
      </w:r>
      <w:r>
        <w:rPr>
          <w:rFonts w:eastAsia="Arial" w:ascii="Trebuchet MS;sans-serif" w:hAnsi="Trebuchet MS;sans-serif"/>
          <w:b w:val="false"/>
          <w:bCs/>
          <w:i w:val="false"/>
          <w:caps w:val="false"/>
          <w:smallCaps w:val="false"/>
          <w:strike w:val="false"/>
          <w:dstrike w:val="false"/>
          <w:color w:val="000000"/>
          <w:sz w:val="24"/>
          <w:u w:val="none"/>
          <w:effect w:val="none"/>
          <w:shd w:fill="auto" w:val="clear"/>
        </w:rPr>
        <w:t>. Ano 4, nº 4. Rio de Janeiro: Centro Internacional celso Furtado de Políticas para o Desenvolvimento,  2010. Disponível em: http://www.centrocelsofurtado.org.br/interna.php?ID_M=139. Acesso em 02 de set.2024.</w:t>
      </w:r>
      <w:r>
        <w:rPr>
          <w:rFonts w:eastAsia="Arial"/>
          <w:b w:val="false"/>
          <w:bCs/>
        </w:rPr>
        <w:br/>
      </w:r>
    </w:p>
    <w:sectPr>
      <w:footerReference w:type="even" r:id="rId3"/>
      <w:footerReference w:type="default" r:id="rId4"/>
      <w:footerReference w:type="first" r:id="rId5"/>
      <w:footnotePr>
        <w:numFmt w:val="decimal"/>
      </w:footnotePr>
      <w:type w:val="nextPage"/>
      <w:pgSz w:w="11906" w:h="16838"/>
      <w:pgMar w:left="1417" w:right="1417" w:gutter="0" w:header="0" w:top="1417" w:footer="1417" w:bottom="2126"/>
      <w:pgNumType w:start="0"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rebuchet MS">
    <w:charset w:val="00"/>
    <w:family w:val="roman"/>
    <w:pitch w:val="variable"/>
  </w:font>
  <w:font w:name="Garamond">
    <w:charset w:val="00"/>
    <w:family w:val="roman"/>
    <w:pitch w:val="variable"/>
  </w:font>
  <w:font w:name="Liberation Sans">
    <w:altName w:val="Arial"/>
    <w:charset w:val="00"/>
    <w:family w:val="swiss"/>
    <w:pitch w:val="variable"/>
  </w:font>
  <w:font w:name="Antonio">
    <w:charset w:val="00"/>
    <w:family w:val="roman"/>
    <w:pitch w:val="variable"/>
  </w:font>
  <w:font w:name="Avenir Book">
    <w:charset w:val="00"/>
    <w:family w:val="roman"/>
    <w:pitch w:val="variable"/>
  </w:font>
  <w:font w:name="Trebuchet MS">
    <w:altName w:val="sans-serif"/>
    <w:charset w:val="00"/>
    <w:family w:val="roman"/>
    <w:pitch w:val="variable"/>
  </w:font>
  <w:font w:name="Times New Roman">
    <w:altName w:val="serif"/>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0" distT="0" distB="0" distL="114300" distR="114300" simplePos="0" locked="0" layoutInCell="0" allowOverlap="1" relativeHeight="16">
          <wp:simplePos x="0" y="0"/>
          <wp:positionH relativeFrom="column">
            <wp:posOffset>-1080135</wp:posOffset>
          </wp:positionH>
          <wp:positionV relativeFrom="paragraph">
            <wp:posOffset>-10065385</wp:posOffset>
          </wp:positionV>
          <wp:extent cx="7566660" cy="2136140"/>
          <wp:effectExtent l="0" t="0" r="0" b="0"/>
          <wp:wrapTight wrapText="bothSides">
            <wp:wrapPolygon edited="0">
              <wp:start x="-3" y="0"/>
              <wp:lineTo x="-3" y="22481"/>
              <wp:lineTo x="21600" y="22481"/>
              <wp:lineTo x="21568" y="0"/>
              <wp:lineTo x="-3" y="0"/>
            </wp:wrapPolygon>
          </wp:wrapTight>
          <wp:docPr id="4"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descr="Uma imagem contendo Texto&#10;&#10;O conteúdo gerado por IA pode estar incorreto."/>
                  <pic:cNvPicPr>
                    <a:picLocks noChangeAspect="1" noChangeArrowheads="1"/>
                  </pic:cNvPicPr>
                </pic:nvPicPr>
                <pic:blipFill>
                  <a:blip r:embed="rId1"/>
                  <a:stretch>
                    <a:fillRect/>
                  </a:stretch>
                </pic:blipFill>
                <pic:spPr bwMode="auto">
                  <a:xfrm>
                    <a:off x="0" y="0"/>
                    <a:ext cx="7566660" cy="2136140"/>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Normal"/>
        <w:ind w:hanging="0" w:left="0" w:right="0"/>
        <w:rPr/>
      </w:pPr>
      <w:r>
        <w:rPr>
          <w:rStyle w:val="Caracteresdenotaderodap"/>
        </w:rPr>
        <w:footnoteRef/>
      </w:r>
      <w:bookmarkStart w:id="2" w:name="docs-internal-guid-5ed8c0f2-7fff-22ef-93"/>
      <w:bookmarkEnd w:id="2"/>
      <w:r>
        <w:rPr>
          <w:rFonts w:ascii="Trebuchet MS;sans-serif" w:hAnsi="Trebuchet MS;sans-serif"/>
          <w:b w:val="false"/>
          <w:i w:val="false"/>
          <w:caps w:val="false"/>
          <w:smallCaps w:val="false"/>
          <w:strike w:val="false"/>
          <w:dstrike w:val="false"/>
          <w:color w:val="000000"/>
          <w:sz w:val="20"/>
          <w:u w:val="none"/>
          <w:effect w:val="none"/>
          <w:shd w:fill="auto" w:val="clear"/>
        </w:rPr>
        <w:t>Doutoranda do Programa de Pós-Graduação em Memória: Linguagem e Sociedade (PPGMLS - UESB), Universidade Estadual do Sudoeste da Bahia, liviacanabrava@gmail.com</w:t>
      </w:r>
      <w:r>
        <w:rPr/>
        <w:t xml:space="preserve"> </w:t>
      </w:r>
    </w:p>
    <w:p>
      <w:pPr>
        <w:pStyle w:val="FootnoteText"/>
        <w:rPr/>
      </w:pPr>
      <w:r>
        <w:rPr/>
      </w:r>
    </w:p>
  </w:footnote>
  <w:footnote w:id="3">
    <w:p>
      <w:pPr>
        <w:pStyle w:val="Normal"/>
        <w:ind w:hanging="0" w:left="0" w:right="0"/>
        <w:rPr/>
      </w:pPr>
      <w:r>
        <w:rPr>
          <w:rStyle w:val="Caracteresdenotaderodap"/>
        </w:rPr>
        <w:footnoteRef/>
      </w:r>
      <w:bookmarkStart w:id="3" w:name="docs-internal-guid-9981ed57-7fff-046a-ae"/>
      <w:bookmarkEnd w:id="3"/>
      <w:r>
        <w:rPr>
          <w:rFonts w:ascii="Trebuchet MS;sans-serif" w:hAnsi="Trebuchet MS;sans-serif"/>
          <w:b w:val="false"/>
          <w:i w:val="false"/>
          <w:caps w:val="false"/>
          <w:smallCaps w:val="false"/>
          <w:strike w:val="false"/>
          <w:dstrike w:val="false"/>
          <w:color w:val="000000"/>
          <w:sz w:val="20"/>
          <w:u w:val="none"/>
          <w:effect w:val="none"/>
          <w:shd w:fill="auto" w:val="clear"/>
        </w:rPr>
        <w:t xml:space="preserve">Docente do Programa de Pós-Graduação em Memória: Linguagem e Sociedade (PPGMLS - UESB), Universidade Estadual do Sudoeste da Bahia, jose.dias@uesb.edu.br </w:t>
      </w:r>
      <w:r>
        <w:rPr/>
        <w:t xml:space="preserve"> </w:t>
      </w:r>
    </w:p>
    <w:p>
      <w:pPr>
        <w:pStyle w:val="FootnoteText"/>
        <w:rPr/>
      </w:pPr>
      <w:r>
        <w:rPr/>
      </w:r>
    </w:p>
  </w:footnote>
</w:footnotes>
</file>

<file path=word/settings.xml><?xml version="1.0" encoding="utf-8"?>
<w:settings xmlns:w="http://schemas.openxmlformats.org/wordprocessingml/2006/main">
  <w:zoom w:percent="100"/>
  <w:defaultTabStop w:val="708"/>
  <w:autoHyphenation w:val="true"/>
  <w:hyphenationZone w:val="0"/>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rebuchet MS" w:hAnsi="Trebuchet MS" w:eastAsia="Trebuchet MS" w:cs="" w:asciiTheme="minorHAnsi" w:cstheme="minorBidi" w:eastAsiaTheme="minorHAnsi" w:hAnsiTheme="minorHAnsi"/>
        <w:kern w:val="2"/>
        <w:sz w:val="24"/>
        <w:szCs w:val="24"/>
        <w:lang w:val="pt-B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46408"/>
    <w:pPr>
      <w:widowControl/>
      <w:suppressAutoHyphens w:val="true"/>
      <w:bidi w:val="0"/>
      <w:spacing w:before="0" w:after="0"/>
      <w:jc w:val="left"/>
    </w:pPr>
    <w:rPr>
      <w:rFonts w:ascii="Trebuchet MS" w:hAnsi="Trebuchet MS" w:eastAsia="Trebuchet MS" w:cs="" w:asciiTheme="minorHAnsi" w:cstheme="minorBidi" w:eastAsiaTheme="minorHAnsi" w:hAnsiTheme="minorHAnsi"/>
      <w:color w:val="auto"/>
      <w:kern w:val="2"/>
      <w:sz w:val="24"/>
      <w:szCs w:val="24"/>
      <w:lang w:val="pt-BR" w:eastAsia="en-US" w:bidi="ar-SA"/>
      <w14:ligatures w14:val="standardContextual"/>
    </w:rPr>
  </w:style>
  <w:style w:type="paragraph" w:styleId="Heading1">
    <w:name w:val="heading 1"/>
    <w:basedOn w:val="Normal"/>
    <w:next w:val="Normal"/>
    <w:link w:val="Ttulo1Char"/>
    <w:uiPriority w:val="9"/>
    <w:qFormat/>
    <w:rsid w:val="00733afb"/>
    <w:pPr>
      <w:keepNext w:val="true"/>
      <w:keepLines/>
      <w:spacing w:before="360" w:after="80"/>
      <w:outlineLvl w:val="0"/>
    </w:pPr>
    <w:rPr>
      <w:rFonts w:ascii="Garamond" w:hAnsi="Garamond" w:eastAsia="" w:cs="" w:asciiTheme="majorHAnsi" w:cstheme="majorBidi" w:eastAsiaTheme="majorEastAsia" w:hAnsiTheme="majorHAnsi"/>
      <w:color w:themeColor="accent1" w:themeShade="bf" w:val="0F4761"/>
      <w:sz w:val="40"/>
      <w:szCs w:val="40"/>
    </w:rPr>
  </w:style>
  <w:style w:type="paragraph" w:styleId="Heading2">
    <w:name w:val="heading 2"/>
    <w:basedOn w:val="Normal"/>
    <w:link w:val="Ttulo2Char"/>
    <w:uiPriority w:val="9"/>
    <w:qFormat/>
    <w:rsid w:val="00d46408"/>
    <w:pPr>
      <w:spacing w:beforeAutospacing="1" w:afterAutospacing="1"/>
      <w:outlineLvl w:val="1"/>
    </w:pPr>
    <w:rPr>
      <w:rFonts w:ascii="Times New Roman" w:hAnsi="Times New Roman" w:eastAsia="Times New Roman" w:cs="Times New Roman"/>
      <w:b/>
      <w:bCs/>
      <w:kern w:val="0"/>
      <w:sz w:val="36"/>
      <w:szCs w:val="36"/>
      <w:lang w:eastAsia="pt-BR"/>
      <w14:ligatures w14:val="none"/>
    </w:rPr>
  </w:style>
  <w:style w:type="paragraph" w:styleId="Heading3">
    <w:name w:val="heading 3"/>
    <w:basedOn w:val="Normal"/>
    <w:next w:val="Normal"/>
    <w:link w:val="Ttulo3Char"/>
    <w:uiPriority w:val="9"/>
    <w:semiHidden/>
    <w:unhideWhenUsed/>
    <w:qFormat/>
    <w:rsid w:val="00733afb"/>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har"/>
    <w:uiPriority w:val="9"/>
    <w:semiHidden/>
    <w:unhideWhenUsed/>
    <w:qFormat/>
    <w:rsid w:val="00733afb"/>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har"/>
    <w:uiPriority w:val="9"/>
    <w:semiHidden/>
    <w:unhideWhenUsed/>
    <w:qFormat/>
    <w:rsid w:val="00733afb"/>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har"/>
    <w:uiPriority w:val="9"/>
    <w:semiHidden/>
    <w:unhideWhenUsed/>
    <w:qFormat/>
    <w:rsid w:val="00733afb"/>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har"/>
    <w:uiPriority w:val="9"/>
    <w:semiHidden/>
    <w:unhideWhenUsed/>
    <w:qFormat/>
    <w:rsid w:val="00733afb"/>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har"/>
    <w:uiPriority w:val="9"/>
    <w:semiHidden/>
    <w:unhideWhenUsed/>
    <w:qFormat/>
    <w:rsid w:val="00733afb"/>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har"/>
    <w:uiPriority w:val="9"/>
    <w:semiHidden/>
    <w:unhideWhenUsed/>
    <w:qFormat/>
    <w:rsid w:val="00733afb"/>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unhideWhenUsed/>
    <w:qFormat/>
    <w:rPr/>
  </w:style>
  <w:style w:type="character" w:styleId="Ttulo2Char" w:customStyle="1">
    <w:name w:val="Título 2 Char"/>
    <w:basedOn w:val="DefaultParagraphFont"/>
    <w:uiPriority w:val="9"/>
    <w:qFormat/>
    <w:rsid w:val="00d46408"/>
    <w:rPr>
      <w:rFonts w:ascii="Times New Roman" w:hAnsi="Times New Roman" w:eastAsia="Times New Roman" w:cs="Times New Roman"/>
      <w:b/>
      <w:bCs/>
      <w:kern w:val="0"/>
      <w:sz w:val="36"/>
      <w:szCs w:val="36"/>
      <w:lang w:eastAsia="pt-BR"/>
      <w14:ligatures w14:val="none"/>
    </w:rPr>
  </w:style>
  <w:style w:type="character" w:styleId="Strong">
    <w:name w:val="Strong"/>
    <w:basedOn w:val="DefaultParagraphFont"/>
    <w:uiPriority w:val="22"/>
    <w:qFormat/>
    <w:rsid w:val="00d46408"/>
    <w:rPr>
      <w:b/>
      <w:bCs/>
    </w:rPr>
  </w:style>
  <w:style w:type="character" w:styleId="Ttulo1Char" w:customStyle="1">
    <w:name w:val="Título 1 Char"/>
    <w:basedOn w:val="DefaultParagraphFont"/>
    <w:uiPriority w:val="9"/>
    <w:qFormat/>
    <w:rsid w:val="00733afb"/>
    <w:rPr>
      <w:rFonts w:ascii="Garamond" w:hAnsi="Garamond" w:eastAsia="" w:cs="" w:asciiTheme="majorHAnsi" w:cstheme="majorBidi" w:eastAsiaTheme="majorEastAsia" w:hAnsiTheme="majorHAnsi"/>
      <w:color w:themeColor="accent1" w:themeShade="bf" w:val="0F4761"/>
      <w:sz w:val="40"/>
      <w:szCs w:val="40"/>
    </w:rPr>
  </w:style>
  <w:style w:type="character" w:styleId="Ttulo3Char" w:customStyle="1">
    <w:name w:val="Título 3 Char"/>
    <w:basedOn w:val="DefaultParagraphFont"/>
    <w:uiPriority w:val="9"/>
    <w:semiHidden/>
    <w:qFormat/>
    <w:rsid w:val="00733afb"/>
    <w:rPr>
      <w:rFonts w:eastAsia="" w:cs="" w:cstheme="majorBidi" w:eastAsiaTheme="majorEastAsia"/>
      <w:color w:themeColor="accent1" w:themeShade="bf" w:val="0F4761"/>
      <w:sz w:val="28"/>
      <w:szCs w:val="28"/>
    </w:rPr>
  </w:style>
  <w:style w:type="character" w:styleId="Ttulo4Char" w:customStyle="1">
    <w:name w:val="Título 4 Char"/>
    <w:basedOn w:val="DefaultParagraphFont"/>
    <w:uiPriority w:val="9"/>
    <w:semiHidden/>
    <w:qFormat/>
    <w:rsid w:val="00733afb"/>
    <w:rPr>
      <w:rFonts w:eastAsia="" w:cs="" w:cstheme="majorBidi" w:eastAsiaTheme="majorEastAsia"/>
      <w:i/>
      <w:iCs/>
      <w:color w:themeColor="accent1" w:themeShade="bf" w:val="0F4761"/>
    </w:rPr>
  </w:style>
  <w:style w:type="character" w:styleId="Ttulo5Char" w:customStyle="1">
    <w:name w:val="Título 5 Char"/>
    <w:basedOn w:val="DefaultParagraphFont"/>
    <w:uiPriority w:val="9"/>
    <w:semiHidden/>
    <w:qFormat/>
    <w:rsid w:val="00733afb"/>
    <w:rPr>
      <w:rFonts w:eastAsia="" w:cs="" w:cstheme="majorBidi" w:eastAsiaTheme="majorEastAsia"/>
      <w:color w:themeColor="accent1" w:themeShade="bf" w:val="0F4761"/>
    </w:rPr>
  </w:style>
  <w:style w:type="character" w:styleId="Ttulo6Char" w:customStyle="1">
    <w:name w:val="Título 6 Char"/>
    <w:basedOn w:val="DefaultParagraphFont"/>
    <w:uiPriority w:val="9"/>
    <w:semiHidden/>
    <w:qFormat/>
    <w:rsid w:val="00733afb"/>
    <w:rPr>
      <w:rFonts w:eastAsia="" w:cs="" w:cstheme="majorBidi" w:eastAsiaTheme="majorEastAsia"/>
      <w:i/>
      <w:iCs/>
      <w:color w:themeColor="text1" w:themeTint="a6" w:val="595959"/>
    </w:rPr>
  </w:style>
  <w:style w:type="character" w:styleId="Ttulo7Char" w:customStyle="1">
    <w:name w:val="Título 7 Char"/>
    <w:basedOn w:val="DefaultParagraphFont"/>
    <w:uiPriority w:val="9"/>
    <w:semiHidden/>
    <w:qFormat/>
    <w:rsid w:val="00733afb"/>
    <w:rPr>
      <w:rFonts w:eastAsia="" w:cs="" w:cstheme="majorBidi" w:eastAsiaTheme="majorEastAsia"/>
      <w:color w:themeColor="text1" w:themeTint="a6" w:val="595959"/>
    </w:rPr>
  </w:style>
  <w:style w:type="character" w:styleId="Ttulo8Char" w:customStyle="1">
    <w:name w:val="Título 8 Char"/>
    <w:basedOn w:val="DefaultParagraphFont"/>
    <w:uiPriority w:val="9"/>
    <w:semiHidden/>
    <w:qFormat/>
    <w:rsid w:val="00733afb"/>
    <w:rPr>
      <w:rFonts w:eastAsia="" w:cs="" w:cstheme="majorBidi" w:eastAsiaTheme="majorEastAsia"/>
      <w:i/>
      <w:iCs/>
      <w:color w:themeColor="text1" w:themeTint="d8" w:val="272727"/>
    </w:rPr>
  </w:style>
  <w:style w:type="character" w:styleId="Ttulo9Char" w:customStyle="1">
    <w:name w:val="Título 9 Char"/>
    <w:basedOn w:val="DefaultParagraphFont"/>
    <w:uiPriority w:val="9"/>
    <w:semiHidden/>
    <w:qFormat/>
    <w:rsid w:val="00733afb"/>
    <w:rPr>
      <w:rFonts w:eastAsia="" w:cs="" w:cstheme="majorBidi" w:eastAsiaTheme="majorEastAsia"/>
      <w:color w:themeColor="text1" w:themeTint="d8" w:val="272727"/>
    </w:rPr>
  </w:style>
  <w:style w:type="character" w:styleId="TtuloChar" w:customStyle="1">
    <w:name w:val="Título Char"/>
    <w:basedOn w:val="DefaultParagraphFont"/>
    <w:uiPriority w:val="10"/>
    <w:qFormat/>
    <w:rsid w:val="00733afb"/>
    <w:rPr>
      <w:rFonts w:ascii="Garamond" w:hAnsi="Garamond" w:eastAsia="" w:cs="" w:asciiTheme="majorHAnsi" w:cstheme="majorBidi" w:eastAsiaTheme="majorEastAsia" w:hAnsiTheme="majorHAnsi"/>
      <w:spacing w:val="-10"/>
      <w:kern w:val="2"/>
      <w:sz w:val="56"/>
      <w:szCs w:val="56"/>
    </w:rPr>
  </w:style>
  <w:style w:type="character" w:styleId="SubttuloChar" w:customStyle="1">
    <w:name w:val="Subtítulo Char"/>
    <w:basedOn w:val="DefaultParagraphFont"/>
    <w:uiPriority w:val="11"/>
    <w:qFormat/>
    <w:rsid w:val="00733afb"/>
    <w:rPr>
      <w:rFonts w:eastAsia="" w:cs="" w:cstheme="majorBidi" w:eastAsiaTheme="majorEastAsia"/>
      <w:color w:themeColor="text1" w:themeTint="a6" w:val="595959"/>
      <w:spacing w:val="15"/>
      <w:sz w:val="28"/>
      <w:szCs w:val="28"/>
    </w:rPr>
  </w:style>
  <w:style w:type="character" w:styleId="CitaoChar" w:customStyle="1">
    <w:name w:val="Citação Char"/>
    <w:basedOn w:val="DefaultParagraphFont"/>
    <w:link w:val="Quote"/>
    <w:uiPriority w:val="29"/>
    <w:qFormat/>
    <w:rsid w:val="00733afb"/>
    <w:rPr>
      <w:i/>
      <w:iCs/>
      <w:color w:themeColor="text1" w:themeTint="bf" w:val="404040"/>
    </w:rPr>
  </w:style>
  <w:style w:type="character" w:styleId="IntenseEmphasis">
    <w:name w:val="Intense Emphasis"/>
    <w:basedOn w:val="DefaultParagraphFont"/>
    <w:uiPriority w:val="21"/>
    <w:qFormat/>
    <w:rsid w:val="00733afb"/>
    <w:rPr>
      <w:i/>
      <w:iCs/>
      <w:color w:themeColor="accent1" w:themeShade="bf" w:val="0F4761"/>
    </w:rPr>
  </w:style>
  <w:style w:type="character" w:styleId="CitaoIntensaChar" w:customStyle="1">
    <w:name w:val="Citação Intensa Char"/>
    <w:basedOn w:val="DefaultParagraphFont"/>
    <w:link w:val="IntenseQuote"/>
    <w:uiPriority w:val="30"/>
    <w:qFormat/>
    <w:rsid w:val="00733afb"/>
    <w:rPr>
      <w:i/>
      <w:iCs/>
      <w:color w:themeColor="accent1" w:themeShade="bf" w:val="0F4761"/>
    </w:rPr>
  </w:style>
  <w:style w:type="character" w:styleId="IntenseReference">
    <w:name w:val="Intense Reference"/>
    <w:basedOn w:val="DefaultParagraphFont"/>
    <w:uiPriority w:val="32"/>
    <w:qFormat/>
    <w:rsid w:val="00733afb"/>
    <w:rPr>
      <w:b/>
      <w:bCs/>
      <w:smallCaps/>
      <w:color w:themeColor="accent1" w:themeShade="bf" w:val="0F4761"/>
      <w:spacing w:val="5"/>
    </w:rPr>
  </w:style>
  <w:style w:type="character" w:styleId="SemEspaamentoChar" w:customStyle="1">
    <w:name w:val="Sem Espaçamento Char"/>
    <w:basedOn w:val="DefaultParagraphFont"/>
    <w:link w:val="NoSpacing"/>
    <w:uiPriority w:val="1"/>
    <w:qFormat/>
    <w:rsid w:val="0053021a"/>
    <w:rPr>
      <w:rFonts w:eastAsia="" w:eastAsiaTheme="minorEastAsia"/>
      <w:kern w:val="0"/>
      <w:sz w:val="22"/>
      <w:szCs w:val="22"/>
      <w:lang w:val="en-US" w:eastAsia="zh-CN"/>
      <w14:ligatures w14:val="none"/>
    </w:rPr>
  </w:style>
  <w:style w:type="character" w:styleId="CabealhoChar" w:customStyle="1">
    <w:name w:val="Cabeçalho Char"/>
    <w:basedOn w:val="DefaultParagraphFont"/>
    <w:uiPriority w:val="99"/>
    <w:qFormat/>
    <w:rsid w:val="0027518c"/>
    <w:rPr/>
  </w:style>
  <w:style w:type="character" w:styleId="RodapChar" w:customStyle="1">
    <w:name w:val="Rodapé Char"/>
    <w:basedOn w:val="DefaultParagraphFont"/>
    <w:uiPriority w:val="99"/>
    <w:qFormat/>
    <w:rsid w:val="0027518c"/>
    <w:rPr/>
  </w:style>
  <w:style w:type="character" w:styleId="TextodenotaderodapChar" w:customStyle="1">
    <w:name w:val="Texto de nota de rodapé Char"/>
    <w:basedOn w:val="DefaultParagraphFont"/>
    <w:uiPriority w:val="99"/>
    <w:semiHidden/>
    <w:qFormat/>
    <w:rsid w:val="00216eff"/>
    <w:rPr>
      <w:rFonts w:ascii="Times New Roman" w:hAnsi="Times New Roman" w:eastAsia="Times New Roman" w:cs="Times New Roman"/>
      <w:kern w:val="0"/>
      <w:sz w:val="20"/>
      <w:szCs w:val="20"/>
      <w:lang w:val="pt-PT" w:eastAsia="pt-BR"/>
      <w14:ligatures w14:val="none"/>
    </w:rPr>
  </w:style>
  <w:style w:type="character" w:styleId="Caracteresdenotaderodap">
    <w:name w:val="Caracteres de nota de rodapé"/>
    <w:uiPriority w:val="99"/>
    <w:semiHidden/>
    <w:unhideWhenUsed/>
    <w:qFormat/>
    <w:rsid w:val="00216eff"/>
    <w:rPr>
      <w:vertAlign w:val="superscript"/>
    </w:rPr>
  </w:style>
  <w:style w:type="character" w:styleId="Caracteresdenotaderodapuser">
    <w:name w:val="Caracteres de nota de rodapé (user)"/>
    <w:qFormat/>
    <w:rPr>
      <w:vertAlign w:val="superscript"/>
    </w:rPr>
  </w:style>
  <w:style w:type="character" w:styleId="FootnoteReference">
    <w:name w:val="footnote reference"/>
    <w:rPr>
      <w:vertAlign w:val="superscript"/>
    </w:rPr>
  </w:style>
  <w:style w:type="character" w:styleId="Hyperlink">
    <w:name w:val="Hyperlink"/>
    <w:rPr>
      <w:color w:val="000080"/>
      <w:u w:val="single"/>
    </w:rPr>
  </w:style>
  <w:style w:type="character" w:styleId="Caracteresdenotadefimuser">
    <w:name w:val="Caracteres de nota de fim (user)"/>
    <w:qFormat/>
    <w:rPr>
      <w:vertAlign w:val="superscript"/>
    </w:rPr>
  </w:style>
  <w:style w:type="character" w:styleId="Caracteresdenotadefim">
    <w:name w:val="Caracteres de nota de fim"/>
    <w:qFormat/>
    <w:rPr/>
  </w:style>
  <w:style w:type="character" w:styleId="EndnoteReference">
    <w:name w:val="endnote reference"/>
    <w:rPr>
      <w:vertAlign w:val="superscrip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Title">
    <w:name w:val="Title"/>
    <w:basedOn w:val="Normal"/>
    <w:next w:val="Normal"/>
    <w:link w:val="TtuloChar"/>
    <w:uiPriority w:val="10"/>
    <w:qFormat/>
    <w:rsid w:val="00733afb"/>
    <w:pPr>
      <w:spacing w:before="0" w:after="80"/>
      <w:contextualSpacing/>
    </w:pPr>
    <w:rPr>
      <w:rFonts w:ascii="Garamond" w:hAnsi="Garamond"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har"/>
    <w:uiPriority w:val="11"/>
    <w:qFormat/>
    <w:rsid w:val="00733afb"/>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oChar"/>
    <w:uiPriority w:val="29"/>
    <w:qFormat/>
    <w:rsid w:val="00733afb"/>
    <w:pPr>
      <w:spacing w:before="160" w:after="160"/>
      <w:jc w:val="center"/>
    </w:pPr>
    <w:rPr>
      <w:i/>
      <w:iCs/>
      <w:color w:themeColor="text1" w:themeTint="bf" w:val="404040"/>
    </w:rPr>
  </w:style>
  <w:style w:type="paragraph" w:styleId="ListParagraph">
    <w:name w:val="List Paragraph"/>
    <w:basedOn w:val="Normal"/>
    <w:uiPriority w:val="34"/>
    <w:qFormat/>
    <w:rsid w:val="00733afb"/>
    <w:pPr>
      <w:spacing w:before="0" w:after="0"/>
      <w:ind w:left="720"/>
      <w:contextualSpacing/>
    </w:pPr>
    <w:rPr/>
  </w:style>
  <w:style w:type="paragraph" w:styleId="IntenseQuote">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Revision">
    <w:name w:val="Revision"/>
    <w:uiPriority w:val="99"/>
    <w:semiHidden/>
    <w:qFormat/>
    <w:rsid w:val="00733afb"/>
    <w:pPr>
      <w:widowControl/>
      <w:suppressAutoHyphens w:val="true"/>
      <w:bidi w:val="0"/>
      <w:spacing w:before="0" w:after="0"/>
      <w:jc w:val="left"/>
    </w:pPr>
    <w:rPr>
      <w:rFonts w:ascii="Trebuchet MS" w:hAnsi="Trebuchet MS" w:eastAsia="Trebuchet MS" w:cs="" w:asciiTheme="minorHAnsi" w:cstheme="minorBidi" w:eastAsiaTheme="minorHAnsi" w:hAnsiTheme="minorHAnsi"/>
      <w:color w:val="auto"/>
      <w:kern w:val="2"/>
      <w:sz w:val="24"/>
      <w:szCs w:val="24"/>
      <w:lang w:val="pt-BR" w:eastAsia="en-US" w:bidi="ar-SA"/>
      <w14:ligatures w14:val="standardContextual"/>
    </w:rPr>
  </w:style>
  <w:style w:type="paragraph" w:styleId="NoSpacing">
    <w:name w:val="No Spacing"/>
    <w:link w:val="SemEspaamentoChar"/>
    <w:uiPriority w:val="1"/>
    <w:qFormat/>
    <w:rsid w:val="0053021a"/>
    <w:pPr>
      <w:widowControl/>
      <w:suppressAutoHyphens w:val="true"/>
      <w:bidi w:val="0"/>
      <w:spacing w:before="0" w:after="0"/>
      <w:jc w:val="left"/>
    </w:pPr>
    <w:rPr>
      <w:rFonts w:ascii="Trebuchet MS" w:hAnsi="Trebuchet MS" w:eastAsia="" w:cs="" w:eastAsiaTheme="minorEastAsia"/>
      <w:color w:val="auto"/>
      <w:kern w:val="0"/>
      <w:sz w:val="22"/>
      <w:szCs w:val="22"/>
      <w:lang w:val="en-US" w:eastAsia="zh-CN" w:bidi="ar-SA"/>
      <w14:ligatures w14:val="none"/>
    </w:rPr>
  </w:style>
  <w:style w:type="paragraph" w:styleId="Cabealhoerodap">
    <w:name w:val="Cabeçalho e rodapé"/>
    <w:basedOn w:val="Normal"/>
    <w:qFormat/>
    <w:pPr/>
    <w:rPr/>
  </w:style>
  <w:style w:type="paragraph" w:styleId="Cabealhoerodapuser">
    <w:name w:val="Cabeçalho e rodapé (user)"/>
    <w:basedOn w:val="Normal"/>
    <w:qFormat/>
    <w:pPr/>
    <w:rPr/>
  </w:style>
  <w:style w:type="paragraph" w:styleId="Header">
    <w:name w:val="header"/>
    <w:basedOn w:val="Normal"/>
    <w:link w:val="CabealhoChar"/>
    <w:uiPriority w:val="99"/>
    <w:unhideWhenUsed/>
    <w:rsid w:val="0027518c"/>
    <w:pPr>
      <w:tabs>
        <w:tab w:val="clear" w:pos="708"/>
        <w:tab w:val="center" w:pos="4252" w:leader="none"/>
        <w:tab w:val="right" w:pos="8504" w:leader="none"/>
      </w:tabs>
    </w:pPr>
    <w:rPr/>
  </w:style>
  <w:style w:type="paragraph" w:styleId="Footer">
    <w:name w:val="footer"/>
    <w:basedOn w:val="Normal"/>
    <w:link w:val="RodapChar"/>
    <w:uiPriority w:val="99"/>
    <w:unhideWhenUsed/>
    <w:rsid w:val="0027518c"/>
    <w:pPr>
      <w:tabs>
        <w:tab w:val="clear" w:pos="708"/>
        <w:tab w:val="center" w:pos="4252" w:leader="none"/>
        <w:tab w:val="right" w:pos="8504" w:leader="none"/>
      </w:tabs>
    </w:pPr>
    <w:rPr/>
  </w:style>
  <w:style w:type="paragraph" w:styleId="FootnoteText">
    <w:name w:val="footnote text"/>
    <w:basedOn w:val="Normal"/>
    <w:link w:val="TextodenotaderodapChar"/>
    <w:uiPriority w:val="99"/>
    <w:semiHidden/>
    <w:unhideWhenUsed/>
    <w:rsid w:val="00216eff"/>
    <w:pPr>
      <w:widowControl w:val="false"/>
    </w:pPr>
    <w:rPr>
      <w:rFonts w:ascii="Times New Roman" w:hAnsi="Times New Roman" w:eastAsia="Times New Roman" w:cs="Times New Roman"/>
      <w:kern w:val="0"/>
      <w:sz w:val="20"/>
      <w:szCs w:val="20"/>
      <w:lang w:val="pt-PT" w:eastAsia="pt-BR"/>
      <w14:ligatures w14:val="none"/>
    </w:rPr>
  </w:style>
  <w:style w:type="paragraph" w:styleId="Contedodoquadro">
    <w:name w:val="Conteúdo do quadro"/>
    <w:basedOn w:val="Normal"/>
    <w:qFormat/>
    <w:pPr/>
    <w:rPr/>
  </w:style>
  <w:style w:type="paragraph" w:styleId="Contedodoquadrouser">
    <w:name w:val="Conteúdo do quadro (user)"/>
    <w:basedOn w:val="Normal"/>
    <w:qFormat/>
    <w:pPr/>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notes" Target="footnotes.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pitchFamily="0" charset="1"/>
        <a:ea typeface=""/>
        <a:cs typeface=""/>
      </a:majorFont>
      <a:minorFont>
        <a:latin typeface="Trebuchet MS" panose="020B0603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Application>LibreOffice/25.2.3.2$Windows_x86 LibreOffice_project/bbb074479178df812d175f709636b368952c2ce3</Application>
  <AppVersion>15.0000</AppVersion>
  <Pages>16</Pages>
  <Words>3755</Words>
  <Characters>22070</Characters>
  <CharactersWithSpaces>25807</CharactersWithSpaces>
  <Paragraphs>53</Paragraphs>
  <Company>Estúdio Cori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2025-02-20T16:32:00Z</dcterms:created>
  <dc:creator>Monica Tomin</dc:creator>
  <dc:description/>
  <dc:language>pt-BR</dc:language>
  <cp:lastModifiedBy/>
  <dcterms:modified xsi:type="dcterms:W3CDTF">2025-05-06T22:37:46Z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