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left"/>
        <w:rPr/>
      </w:pPr>
      <w:r w:rsidDel="00000000" w:rsidR="00000000" w:rsidRPr="00000000">
        <w:rPr>
          <w:rtl w:val="0"/>
        </w:rPr>
        <w:t xml:space="preserve">Direitos à saúde da mulher no Brasil: a importância da informação para garantir o acesso aos serviços de saúde</w:t>
      </w:r>
      <w:r w:rsidDel="00000000" w:rsidR="00000000" w:rsidRPr="00000000">
        <w:rPr>
          <w:b w:val="0"/>
          <w:bCs w:val="0"/>
          <w:sz w:val="22"/>
          <w:szCs w:val="22"/>
          <w:rtl w:val="0"/>
        </w:rPr>
        <w:t xml:space="preserve"> </w:t>
      </w:r>
      <w:r w:rsidDel="00000000" w:rsidR="00000000" w:rsidRPr="00000000">
        <w:rPr>
          <w:rtl w:val="0"/>
        </w:rPr>
      </w:r>
    </w:p>
    <w:p w:rsidR="00000000" w:rsidDel="00000000" w:rsidP="00000000" w:rsidRDefault="00000000" w:rsidRPr="00000000" w14:paraId="00000002">
      <w:pPr>
        <w:spacing w:after="119" w:line="259" w:lineRule="auto"/>
        <w:ind w:right="0" w:firstLine="0"/>
        <w:jc w:val="right"/>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03">
      <w:pPr>
        <w:spacing w:after="147" w:line="259" w:lineRule="auto"/>
        <w:ind w:left="10" w:right="53" w:hanging="10"/>
        <w:jc w:val="right"/>
        <w:rPr/>
      </w:pPr>
      <w:r w:rsidDel="00000000" w:rsidR="00000000" w:rsidRPr="00000000">
        <w:rPr>
          <w:color w:val="000000"/>
          <w:rtl w:val="0"/>
        </w:rPr>
        <w:t xml:space="preserve">Rayanne Alves Pereira</w:t>
      </w:r>
      <w:r w:rsidDel="00000000" w:rsidR="00000000" w:rsidRPr="00000000">
        <w:rPr>
          <w:color w:val="000000"/>
          <w:vertAlign w:val="superscript"/>
          <w:rtl w:val="0"/>
        </w:rPr>
        <w:t xml:space="preserve">1</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04">
      <w:pPr>
        <w:spacing w:after="112" w:line="259" w:lineRule="auto"/>
        <w:ind w:left="10" w:right="53" w:hanging="10"/>
        <w:jc w:val="right"/>
        <w:rPr/>
      </w:pPr>
      <w:r w:rsidDel="00000000" w:rsidR="00000000" w:rsidRPr="00000000">
        <w:rPr>
          <w:color w:val="000000"/>
          <w:rtl w:val="0"/>
        </w:rPr>
        <w:t xml:space="preserve">Enock dos Santos Melo</w:t>
      </w:r>
      <w:r w:rsidDel="00000000" w:rsidR="00000000" w:rsidRPr="00000000">
        <w:rPr>
          <w:color w:val="000000"/>
          <w:vertAlign w:val="superscript"/>
          <w:rtl w:val="0"/>
        </w:rPr>
        <w:t xml:space="preserve">1</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05">
      <w:pPr>
        <w:spacing w:after="112" w:line="259" w:lineRule="auto"/>
        <w:ind w:left="10" w:right="53" w:hanging="10"/>
        <w:jc w:val="right"/>
        <w:rPr/>
      </w:pPr>
      <w:r w:rsidDel="00000000" w:rsidR="00000000" w:rsidRPr="00000000">
        <w:rPr>
          <w:color w:val="000000"/>
          <w:rtl w:val="0"/>
        </w:rPr>
        <w:t xml:space="preserve">Lumara Macedo Viana</w:t>
      </w:r>
      <w:r w:rsidDel="00000000" w:rsidR="00000000" w:rsidRPr="00000000">
        <w:rPr>
          <w:color w:val="000000"/>
          <w:vertAlign w:val="superscript"/>
          <w:rtl w:val="0"/>
        </w:rPr>
        <w:t xml:space="preserve">1</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06">
      <w:pPr>
        <w:spacing w:after="112" w:line="259" w:lineRule="auto"/>
        <w:ind w:left="10" w:right="53" w:hanging="10"/>
        <w:jc w:val="right"/>
        <w:rPr/>
      </w:pPr>
      <w:r w:rsidDel="00000000" w:rsidR="00000000" w:rsidRPr="00000000">
        <w:rPr>
          <w:color w:val="000000"/>
          <w:rtl w:val="0"/>
        </w:rPr>
        <w:t xml:space="preserve">Vitoria Mariana Pereira de Sousa</w:t>
      </w:r>
      <w:r w:rsidDel="00000000" w:rsidR="00000000" w:rsidRPr="00000000">
        <w:rPr>
          <w:color w:val="000000"/>
          <w:vertAlign w:val="superscript"/>
          <w:rtl w:val="0"/>
        </w:rPr>
        <w:t xml:space="preserve">1</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07">
      <w:pPr>
        <w:spacing w:after="112" w:line="259" w:lineRule="auto"/>
        <w:ind w:left="10" w:right="53" w:hanging="10"/>
        <w:jc w:val="right"/>
        <w:rPr/>
      </w:pPr>
      <w:r w:rsidDel="00000000" w:rsidR="00000000" w:rsidRPr="00000000">
        <w:rPr>
          <w:color w:val="000000"/>
          <w:rtl w:val="0"/>
        </w:rPr>
        <w:t xml:space="preserve">Guilherme Antônio Lopes de Oliveira</w:t>
      </w:r>
      <w:r w:rsidDel="00000000" w:rsidR="00000000" w:rsidRPr="00000000">
        <w:rPr>
          <w:color w:val="000000"/>
          <w:vertAlign w:val="superscript"/>
          <w:rtl w:val="0"/>
        </w:rPr>
        <w:t xml:space="preserve">2</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08">
      <w:pPr>
        <w:spacing w:after="118" w:line="259" w:lineRule="auto"/>
        <w:ind w:right="0" w:firstLine="0"/>
        <w:jc w:val="right"/>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09">
      <w:pPr>
        <w:pStyle w:val="Heading1"/>
        <w:ind w:right="64" w:firstLine="40"/>
        <w:jc w:val="center"/>
        <w:rPr>
          <w:b w:val="0"/>
          <w:bCs w:val="0"/>
        </w:rPr>
      </w:pPr>
      <w:r w:rsidDel="00000000" w:rsidR="00000000" w:rsidRPr="00000000">
        <w:rPr>
          <w:rtl w:val="0"/>
        </w:rPr>
        <w:t xml:space="preserve">RESUMO</w:t>
      </w:r>
      <w:r w:rsidDel="00000000" w:rsidR="00000000" w:rsidRPr="00000000">
        <w:rPr>
          <w:b w:val="0"/>
          <w:bCs w:val="0"/>
          <w:rtl w:val="0"/>
        </w:rPr>
        <w:t xml:space="preserve"> </w:t>
      </w:r>
    </w:p>
    <w:p w:rsidR="00000000" w:rsidDel="00000000" w:rsidP="00000000" w:rsidRDefault="00000000" w:rsidRPr="00000000" w14:paraId="0000000A">
      <w:pPr>
        <w:spacing w:after="110" w:line="360" w:lineRule="auto"/>
        <w:ind w:right="72" w:firstLine="0"/>
        <w:rPr>
          <w:color w:val="000000"/>
        </w:rPr>
      </w:pPr>
      <w:r w:rsidDel="00000000" w:rsidR="00000000" w:rsidRPr="00000000">
        <w:rPr>
          <w:b w:val="1"/>
          <w:bCs w:val="1"/>
          <w:color w:val="000000"/>
          <w:rtl w:val="0"/>
        </w:rPr>
        <w:t xml:space="preserve">Introdução: </w:t>
      </w:r>
      <w:r w:rsidDel="00000000" w:rsidR="00000000" w:rsidRPr="00000000">
        <w:rPr>
          <w:color w:val="000000"/>
          <w:rtl w:val="0"/>
        </w:rPr>
        <w:t xml:space="preserve">A saúde da mulher no Brasil passou por avanços com a criação do PAISM e da PNAISM, ampliando a assistência para além do período reprodutivo. Apesar dos avanços legais, persistem barreiras sociais, estruturais e relacionadas à informação. </w:t>
      </w:r>
      <w:r w:rsidDel="00000000" w:rsidR="00000000" w:rsidRPr="00000000">
        <w:rPr>
          <w:b w:val="1"/>
          <w:bCs w:val="1"/>
          <w:color w:val="000000"/>
          <w:rtl w:val="0"/>
        </w:rPr>
        <w:t xml:space="preserve">Método: </w:t>
      </w:r>
      <w:r w:rsidDel="00000000" w:rsidR="00000000" w:rsidRPr="00000000">
        <w:rPr>
          <w:color w:val="000000"/>
          <w:rtl w:val="0"/>
        </w:rPr>
        <w:t xml:space="preserve">Foi realizada uma revisão narrativa da literatura, em agosto de 2026, com artigos publicados entre 2021 e 2026, além de documentos oficiais e legislações brasileiras. </w:t>
      </w:r>
      <w:r w:rsidDel="00000000" w:rsidR="00000000" w:rsidRPr="00000000">
        <w:rPr>
          <w:b w:val="1"/>
          <w:bCs w:val="1"/>
          <w:color w:val="000000"/>
          <w:rtl w:val="0"/>
        </w:rPr>
        <w:t xml:space="preserve">Resultados e Discussão: </w:t>
      </w:r>
      <w:r w:rsidDel="00000000" w:rsidR="00000000" w:rsidRPr="00000000">
        <w:rPr>
          <w:color w:val="000000"/>
          <w:rtl w:val="0"/>
        </w:rPr>
        <w:t xml:space="preserve">Os estudos evidenciaram desigualdades relacionadas à renda, escolaridade, raça/cor e diversidade sexual, além de fragilidades na educação em saúde. A informação clara e acessível mostrou-se fundamental para ampliar o conhecimento sobre os direitos, fortalecer a autonomia feminina, favorecer a prevenção e facilitar o acesso aos serviços de saúde. </w:t>
      </w:r>
      <w:r w:rsidDel="00000000" w:rsidR="00000000" w:rsidRPr="00000000">
        <w:rPr>
          <w:b w:val="1"/>
          <w:bCs w:val="1"/>
          <w:color w:val="000000"/>
          <w:rtl w:val="0"/>
        </w:rPr>
        <w:t xml:space="preserve">Considerações Finais: </w:t>
      </w:r>
      <w:r w:rsidDel="00000000" w:rsidR="00000000" w:rsidRPr="00000000">
        <w:rPr>
          <w:color w:val="000000"/>
          <w:rtl w:val="0"/>
        </w:rPr>
        <w:t xml:space="preserve">A efetivação dos direitos à saúde da mulher requer, além de políticas públicas e legislações, a ampliação do acesso à informação e das ações de educação em saúde, considerando as diferentes realidades sociais.</w:t>
      </w:r>
    </w:p>
    <w:p w:rsidR="00000000" w:rsidDel="00000000" w:rsidP="00000000" w:rsidRDefault="00000000" w:rsidRPr="00000000" w14:paraId="0000000B">
      <w:pPr>
        <w:spacing w:after="115" w:line="259" w:lineRule="auto"/>
        <w:ind w:left="-5" w:right="56" w:hanging="10"/>
        <w:rPr>
          <w:i w:val="1"/>
          <w:iCs w:val="1"/>
          <w:color w:val="000000"/>
        </w:rPr>
      </w:pPr>
      <w:r w:rsidDel="00000000" w:rsidR="00000000" w:rsidRPr="00000000">
        <w:rPr>
          <w:b w:val="1"/>
          <w:bCs w:val="1"/>
          <w:color w:val="000000"/>
          <w:rtl w:val="0"/>
        </w:rPr>
        <w:t xml:space="preserve">Palavras-chave: </w:t>
      </w:r>
      <w:r w:rsidDel="00000000" w:rsidR="00000000" w:rsidRPr="00000000">
        <w:rPr>
          <w:color w:val="000000"/>
          <w:rtl w:val="0"/>
        </w:rPr>
        <w:t xml:space="preserve">Saúde da mulher. Direito à saúde. Informação em saúde. Educação em saúde. </w:t>
      </w:r>
      <w:r w:rsidDel="00000000" w:rsidR="00000000" w:rsidRPr="00000000">
        <w:rPr>
          <w:rtl w:val="0"/>
        </w:rPr>
      </w:r>
    </w:p>
    <w:p w:rsidR="00000000" w:rsidDel="00000000" w:rsidP="00000000" w:rsidRDefault="00000000" w:rsidRPr="00000000" w14:paraId="0000000C">
      <w:pPr>
        <w:spacing w:after="311" w:line="357" w:lineRule="auto"/>
        <w:ind w:right="9074" w:firstLine="0"/>
        <w:jc w:val="left"/>
        <w:rPr>
          <w:b w:val="1"/>
          <w:bCs w:val="1"/>
          <w:color w:val="000000"/>
        </w:rPr>
      </w:pPr>
      <w:r w:rsidDel="00000000" w:rsidR="00000000" w:rsidRPr="00000000">
        <w:rPr>
          <w:b w:val="1"/>
          <w:bCs w:val="1"/>
          <w:color w:val="000000"/>
          <w:rtl w:val="0"/>
        </w:rPr>
        <w:t xml:space="preserve">               </w:t>
      </w:r>
    </w:p>
    <w:p w:rsidR="00000000" w:rsidDel="00000000" w:rsidP="00000000" w:rsidRDefault="00000000" w:rsidRPr="00000000" w14:paraId="0000000D">
      <w:pPr>
        <w:spacing w:after="311" w:line="357" w:lineRule="auto"/>
        <w:ind w:right="9074" w:firstLine="0"/>
        <w:jc w:val="left"/>
        <w:rPr/>
      </w:pPr>
      <w:r w:rsidDel="00000000" w:rsidR="00000000" w:rsidRPr="00000000">
        <w:rPr>
          <w:rtl w:val="0"/>
        </w:rPr>
      </w:r>
    </w:p>
    <w:p w:rsidR="00000000" w:rsidDel="00000000" w:rsidP="00000000" w:rsidRDefault="00000000" w:rsidRPr="00000000" w14:paraId="0000000E">
      <w:pPr>
        <w:spacing w:after="311" w:line="357" w:lineRule="auto"/>
        <w:ind w:right="9074" w:firstLine="0"/>
        <w:jc w:val="left"/>
        <w:rPr/>
      </w:pPr>
      <w:r w:rsidDel="00000000" w:rsidR="00000000" w:rsidRPr="00000000">
        <w:rPr>
          <w:rtl w:val="0"/>
        </w:rPr>
      </w:r>
    </w:p>
    <w:p w:rsidR="00000000" w:rsidDel="00000000" w:rsidP="00000000" w:rsidRDefault="00000000" w:rsidRPr="00000000" w14:paraId="0000000F">
      <w:pPr>
        <w:spacing w:after="0" w:line="240" w:lineRule="auto"/>
        <w:ind w:right="518" w:firstLine="0"/>
        <w:jc w:val="left"/>
        <w:rPr>
          <w:color w:val="000000"/>
          <w:sz w:val="22"/>
          <w:szCs w:val="22"/>
        </w:rPr>
      </w:pPr>
      <w:r w:rsidDel="00000000" w:rsidR="00000000" w:rsidRPr="00000000">
        <w:rPr>
          <w:rFonts w:ascii="Calibri" w:cs="Calibri" w:eastAsia="Calibri" w:hAnsi="Calibri"/>
          <w:color w:val="000000"/>
          <w:sz w:val="22"/>
          <w:szCs w:val="22"/>
        </w:rPr>
        <mc:AlternateContent>
          <mc:Choice Requires="wps">
            <w:drawing>
              <wp:inline distB="0" distT="0" distL="0" distR="0">
                <wp:extent cx="1829816" cy="6350"/>
                <wp:effectExtent b="0" l="0" r="0" t="0"/>
                <wp:docPr id="1" name=""/>
                <a:graphic>
                  <a:graphicData uri="http://schemas.microsoft.com/office/word/2010/wordprocessingGroup">
                    <wpg:wgp>
                      <wpg:cNvGrpSpPr/>
                      <wpg:grpSpPr>
                        <a:xfrm>
                          <a:off x="0" y="0"/>
                          <a:ext cx="1829816" cy="6350"/>
                          <a:chOff x="4431075" y="3776825"/>
                          <a:chExt cx="1829850" cy="6350"/>
                        </a:xfrm>
                      </wpg:grpSpPr>
                      <wpg:grpSp>
                        <wpg:cNvGrpSpPr/>
                        <wpg:grpSpPr>
                          <a:xfrm>
                            <a:off x="4431092" y="3776825"/>
                            <a:ext cx="1829816" cy="6350"/>
                            <a:chOff x="4431075" y="3776825"/>
                            <a:chExt cx="1829850" cy="6350"/>
                          </a:xfrm>
                        </wpg:grpSpPr>
                        <wps:wsp>
                          <wps:cNvSpPr/>
                          <wps:cNvPr id="3" name="Shape 3"/>
                          <wps:spPr>
                            <a:xfrm>
                              <a:off x="4431075" y="3776825"/>
                              <a:ext cx="182985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431092" y="3776825"/>
                              <a:ext cx="1829816" cy="6350"/>
                              <a:chOff x="4431075" y="3776825"/>
                              <a:chExt cx="1829850" cy="9150"/>
                            </a:xfrm>
                          </wpg:grpSpPr>
                          <wps:wsp>
                            <wps:cNvSpPr/>
                            <wps:cNvPr id="5" name="Shape 5"/>
                            <wps:spPr>
                              <a:xfrm>
                                <a:off x="4431075" y="3776825"/>
                                <a:ext cx="1829850" cy="9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4431092" y="3776825"/>
                                <a:ext cx="1829816" cy="9144"/>
                                <a:chOff x="0" y="0"/>
                                <a:chExt cx="1829816" cy="9144"/>
                              </a:xfrm>
                            </wpg:grpSpPr>
                            <wps:wsp>
                              <wps:cNvSpPr/>
                              <wps:cNvPr id="7" name="Shape 7"/>
                              <wps:spPr>
                                <a:xfrm>
                                  <a:off x="0" y="0"/>
                                  <a:ext cx="1829800" cy="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0" y="0"/>
                                  <a:ext cx="1829816" cy="9144"/>
                                </a:xfrm>
                                <a:custGeom>
                                  <a:rect b="b" l="l" r="r" t="t"/>
                                  <a:pathLst>
                                    <a:path extrusionOk="0" h="9144" w="1829816">
                                      <a:moveTo>
                                        <a:pt x="0" y="0"/>
                                      </a:moveTo>
                                      <a:lnTo>
                                        <a:pt x="1829816" y="0"/>
                                      </a:lnTo>
                                      <a:lnTo>
                                        <a:pt x="1829816"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grpSp>
                      </wpg:grpSp>
                    </wpg:wgp>
                  </a:graphicData>
                </a:graphic>
              </wp:inline>
            </w:drawing>
          </mc:Choice>
          <mc:Fallback>
            <w:drawing>
              <wp:inline distB="0" distT="0" distL="0" distR="0">
                <wp:extent cx="1829816" cy="635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829816" cy="6350"/>
                        </a:xfrm>
                        <a:prstGeom prst="rect"/>
                        <a:ln/>
                      </pic:spPr>
                    </pic:pic>
                  </a:graphicData>
                </a:graphic>
              </wp:inline>
            </w:drawing>
          </mc:Fallback>
        </mc:AlternateContent>
      </w:r>
      <w:r w:rsidDel="00000000" w:rsidR="00000000" w:rsidRPr="00000000">
        <w:rPr>
          <w:color w:val="000000"/>
          <w:sz w:val="22"/>
          <w:szCs w:val="22"/>
          <w:rtl w:val="0"/>
        </w:rPr>
        <w:t xml:space="preserve"> </w:t>
      </w:r>
    </w:p>
    <w:p w:rsidR="00000000" w:rsidDel="00000000" w:rsidP="00000000" w:rsidRDefault="00000000" w:rsidRPr="00000000" w14:paraId="00000010">
      <w:pPr>
        <w:pBdr>
          <w:top w:space="0" w:sz="0" w:val="nil"/>
          <w:left w:space="0" w:sz="0" w:val="nil"/>
          <w:bottom w:space="0" w:sz="0" w:val="nil"/>
          <w:right w:space="0" w:sz="0" w:val="nil"/>
          <w:between w:space="0" w:sz="0" w:val="nil"/>
        </w:pBdr>
        <w:ind w:firstLine="0"/>
        <w:rPr>
          <w:color w:val="000000"/>
          <w:sz w:val="20"/>
          <w:szCs w:val="20"/>
        </w:rPr>
      </w:pPr>
      <w:r w:rsidDel="00000000" w:rsidR="00000000" w:rsidRPr="00000000">
        <w:rPr>
          <w:color w:val="000000"/>
          <w:sz w:val="20"/>
          <w:szCs w:val="20"/>
          <w:rtl w:val="0"/>
        </w:rPr>
        <w:t xml:space="preserve">¹Graduando(a) em Fisioterapia – Centro Universitário Chrisfapi.</w:t>
      </w:r>
    </w:p>
    <w:p w:rsidR="00000000" w:rsidDel="00000000" w:rsidP="00000000" w:rsidRDefault="00000000" w:rsidRPr="00000000" w14:paraId="00000011">
      <w:pPr>
        <w:spacing w:after="0" w:line="240" w:lineRule="auto"/>
        <w:ind w:right="518" w:firstLine="0"/>
        <w:jc w:val="left"/>
        <w:rPr>
          <w:b w:val="1"/>
          <w:bCs w:val="1"/>
          <w:color w:val="000000"/>
        </w:rPr>
      </w:pPr>
      <w:r w:rsidDel="00000000" w:rsidR="00000000" w:rsidRPr="00000000">
        <w:rPr>
          <w:color w:val="000000"/>
          <w:sz w:val="20"/>
          <w:szCs w:val="20"/>
          <w:vertAlign w:val="superscript"/>
          <w:rtl w:val="0"/>
        </w:rPr>
        <w:t xml:space="preserve">2</w:t>
      </w:r>
      <w:r w:rsidDel="00000000" w:rsidR="00000000" w:rsidRPr="00000000">
        <w:rPr>
          <w:color w:val="000000"/>
          <w:sz w:val="20"/>
          <w:szCs w:val="20"/>
          <w:rtl w:val="0"/>
        </w:rPr>
        <w:t xml:space="preserve">Doutor em Biotecnologia – Docente do Curso de Fisioterapia – Centro Universitário Chrisfapi.</w:t>
      </w:r>
      <w:r w:rsidDel="00000000" w:rsidR="00000000" w:rsidRPr="00000000">
        <w:rPr>
          <w:b w:val="1"/>
          <w:bCs w:val="1"/>
          <w:color w:val="000000"/>
          <w:rtl w:val="0"/>
        </w:rPr>
        <w:t xml:space="preserve">   </w:t>
      </w:r>
    </w:p>
    <w:p w:rsidR="00000000" w:rsidDel="00000000" w:rsidP="00000000" w:rsidRDefault="00000000" w:rsidRPr="00000000" w14:paraId="00000012">
      <w:pPr>
        <w:pStyle w:val="Heading1"/>
        <w:ind w:left="-5" w:right="0" w:firstLine="0"/>
        <w:rPr/>
      </w:pPr>
      <w:r w:rsidDel="00000000" w:rsidR="00000000" w:rsidRPr="00000000">
        <w:rPr>
          <w:rtl w:val="0"/>
        </w:rPr>
      </w:r>
    </w:p>
    <w:p w:rsidR="00000000" w:rsidDel="00000000" w:rsidP="00000000" w:rsidRDefault="00000000" w:rsidRPr="00000000" w14:paraId="00000013">
      <w:pPr>
        <w:pStyle w:val="Heading1"/>
        <w:ind w:left="-5" w:right="0" w:firstLine="0"/>
        <w:rPr/>
      </w:pPr>
      <w:r w:rsidDel="00000000" w:rsidR="00000000" w:rsidRPr="00000000">
        <w:rPr>
          <w:rtl w:val="0"/>
        </w:rPr>
        <w:t xml:space="preserve">1 INTRODUÇÃO</w:t>
      </w:r>
      <w:r w:rsidDel="00000000" w:rsidR="00000000" w:rsidRPr="00000000">
        <w:rPr>
          <w:b w:val="0"/>
          <w:bCs w:val="0"/>
          <w:rtl w:val="0"/>
        </w:rPr>
        <w:t xml:space="preserve"> </w:t>
      </w:r>
      <w:r w:rsidDel="00000000" w:rsidR="00000000" w:rsidRPr="00000000">
        <w:rPr>
          <w:rtl w:val="0"/>
        </w:rPr>
      </w:r>
    </w:p>
    <w:p w:rsidR="00000000" w:rsidDel="00000000" w:rsidP="00000000" w:rsidRDefault="00000000" w:rsidRPr="00000000" w14:paraId="00000014">
      <w:pPr>
        <w:spacing w:line="360" w:lineRule="auto"/>
        <w:ind w:left="-15" w:right="52" w:firstLine="708"/>
        <w:rPr/>
      </w:pPr>
      <w:r w:rsidDel="00000000" w:rsidR="00000000" w:rsidRPr="00000000">
        <w:rPr>
          <w:rtl w:val="0"/>
        </w:rPr>
        <w:t xml:space="preserve">Segundo o Ministério da Saúde (Brasil, 2025), a saúde da mulher deve ser compreendida de forma integral, contemplando diferentes necessidades ao longo das fases da vida. No Brasil, essa concepção está relacionada aos princípios de universalidade, integralidade e equidade do Sistema Único de Saúde (SUS), que asseguram o acesso da população às ações de promoção, prevenção, tratamento e recuperação da saúde. Nesse contexto, a carta dos direitos e deveres da pessoa usuária da saúde torna- se fundamental para o conhecimento acerca dos direitos e deveres no acesso aos serviços de saúde, garantindo as mulheres que que reconheçam as garantias asseguradas e busquem o ingresso digno nos sistemas de saúde (Brasil., 2025). </w:t>
      </w:r>
    </w:p>
    <w:p w:rsidR="00000000" w:rsidDel="00000000" w:rsidP="00000000" w:rsidRDefault="00000000" w:rsidRPr="00000000" w14:paraId="00000015">
      <w:pPr>
        <w:spacing w:line="360" w:lineRule="auto"/>
        <w:ind w:left="-15" w:right="52" w:firstLine="711"/>
        <w:rPr/>
      </w:pPr>
      <w:r w:rsidDel="00000000" w:rsidR="00000000" w:rsidRPr="00000000">
        <w:rPr>
          <w:rtl w:val="0"/>
        </w:rPr>
        <w:t xml:space="preserve">Com isso, os cuidados destinados às mulheres vão além do seu papel de mãe, mas como cidadãs, diversas e plenas de direito. Isso exige um sistema de saúde organizado, com serviços integrados, capaz de oferecer atendimento adequado em todas as etapas da vida, considerando suas diferentes necessidades e garantindo que nenhuma mulher ou demanda de saúde seja ignorada. A Política Nacional de Atenção Integral à Saúde da Mulher (PNAISM) reforça essa perspectiva ao estabelecer a garantia de direitos e a ampliação do acesso aos serviços de saúde como objetivos fundamentais. (Souto </w:t>
      </w:r>
      <w:r w:rsidDel="00000000" w:rsidR="00000000" w:rsidRPr="00000000">
        <w:rPr>
          <w:i w:val="1"/>
          <w:iCs w:val="1"/>
          <w:rtl w:val="0"/>
        </w:rPr>
        <w:t xml:space="preserve">et al</w:t>
      </w:r>
      <w:r w:rsidDel="00000000" w:rsidR="00000000" w:rsidRPr="00000000">
        <w:rPr>
          <w:rtl w:val="0"/>
        </w:rPr>
        <w:t xml:space="preserve">., 2021).  </w:t>
      </w:r>
    </w:p>
    <w:p w:rsidR="00000000" w:rsidDel="00000000" w:rsidP="00000000" w:rsidRDefault="00000000" w:rsidRPr="00000000" w14:paraId="00000016">
      <w:pPr>
        <w:spacing w:line="360" w:lineRule="auto"/>
        <w:ind w:left="-15" w:right="52" w:firstLine="711"/>
        <w:rPr/>
      </w:pPr>
      <w:r w:rsidDel="00000000" w:rsidR="00000000" w:rsidRPr="00000000">
        <w:rPr>
          <w:rtl w:val="0"/>
        </w:rPr>
        <w:t xml:space="preserve">Historicamente, a atenção à saúde da mulher no Brasil esteve relacionada principalmente à maternidade e ao período reprodutivo. Essa perspectiva limitada contribuiu para que outras necessidades de saúde feminina permanecessem em segundo plano. A partir da mobilização dos movimentos feministas e das discussões relacionadas à saúde pública, passou-se a defender uma concepção mais ampla de cuidado, reconhecendo a mulher como sujeito de direitos e não apenas como mãe. Nesse contexto, em 1984, foi criado o programa de Assistência Integral à Saúde da Mulher (PAISM), A política representou um marco na atenção à saúde das mulheres ao incorporar os princípios de universalidade, equidade e integralidade, além de ampliar o reconhecimento e a garantia dos direitos das mulheres. (Bonan </w:t>
      </w:r>
      <w:r w:rsidDel="00000000" w:rsidR="00000000" w:rsidRPr="00000000">
        <w:rPr>
          <w:i w:val="1"/>
          <w:iCs w:val="1"/>
          <w:rtl w:val="0"/>
        </w:rPr>
        <w:t xml:space="preserve">et al</w:t>
      </w:r>
      <w:r w:rsidDel="00000000" w:rsidR="00000000" w:rsidRPr="00000000">
        <w:rPr>
          <w:rtl w:val="0"/>
        </w:rPr>
        <w:t xml:space="preserve">., 2024). </w:t>
      </w:r>
    </w:p>
    <w:p w:rsidR="00000000" w:rsidDel="00000000" w:rsidP="00000000" w:rsidRDefault="00000000" w:rsidRPr="00000000" w14:paraId="00000017">
      <w:pPr>
        <w:spacing w:line="360" w:lineRule="auto"/>
        <w:ind w:left="-15" w:right="52" w:firstLine="711"/>
        <w:rPr/>
      </w:pPr>
      <w:r w:rsidDel="00000000" w:rsidR="00000000" w:rsidRPr="00000000">
        <w:rPr>
          <w:rtl w:val="0"/>
        </w:rPr>
        <w:t xml:space="preserve">Em seguida, a Política Nacional de Atenção Integral à Saúde da Mulher (PNAISM), implementada no Brasil no ano de 2004, representa um importante marco para a promoção e o cuidado integral à saúde feminina, a política busca garantir o acesso universal e igualitário ao  serviços de saúde, considerando as diferentes necessidades e particularidades biológicas, sociais e culturais das mulheres. Entre seus principais objetivos estão o enfrentamento da mortalidade materna e infantil, a promoção da saúde sexual e reprodutiva, a prevenção de tratamento de câncer de mama e do colo do útero, além da atenção integral às vítimas de violência doméstica (Lemos </w:t>
      </w:r>
      <w:r w:rsidDel="00000000" w:rsidR="00000000" w:rsidRPr="00000000">
        <w:rPr>
          <w:i w:val="1"/>
          <w:iCs w:val="1"/>
          <w:rtl w:val="0"/>
        </w:rPr>
        <w:t xml:space="preserve">et al</w:t>
      </w:r>
      <w:r w:rsidDel="00000000" w:rsidR="00000000" w:rsidRPr="00000000">
        <w:rPr>
          <w:rtl w:val="0"/>
        </w:rPr>
        <w:t xml:space="preserve">., 2024).  </w:t>
      </w:r>
    </w:p>
    <w:p w:rsidR="00000000" w:rsidDel="00000000" w:rsidP="00000000" w:rsidRDefault="00000000" w:rsidRPr="00000000" w14:paraId="00000018">
      <w:pPr>
        <w:spacing w:line="360" w:lineRule="auto"/>
        <w:ind w:left="-15" w:right="52" w:firstLine="711"/>
        <w:rPr/>
      </w:pPr>
      <w:r w:rsidDel="00000000" w:rsidR="00000000" w:rsidRPr="00000000">
        <w:rPr>
          <w:rtl w:val="0"/>
        </w:rPr>
        <w:t xml:space="preserve">Atualmente, a efetivação da atenção integral à saúde da mulher depende não apenas da disponibilidade dos serviços, mas também de ações que favoreçam a educação em saúde e a autonomia das usuárias. Nesse sentido, estudo realizado em 2.269 serviços de atenção primária à saúde do estado de São Paulo identificou menor frequência de ações relacionadas à educação e à promoção de saúde, além de desempenho geral de 66,4% na organização da atenção à saúde da mulher. Esses resultados evidenciam a necessidade de fortalecer estratégias para que as mulheres tenham conhecimento sobre informações e serviços disponíveis, contribuindo para que conheçam seus direitos, reconheçam suas necessidades de saúde e participem de forma mais ativa do próprio cuidado. (Couto </w:t>
      </w:r>
      <w:r w:rsidDel="00000000" w:rsidR="00000000" w:rsidRPr="00000000">
        <w:rPr>
          <w:i w:val="1"/>
          <w:iCs w:val="1"/>
          <w:rtl w:val="0"/>
        </w:rPr>
        <w:t xml:space="preserve">et al</w:t>
      </w:r>
      <w:r w:rsidDel="00000000" w:rsidR="00000000" w:rsidRPr="00000000">
        <w:rPr>
          <w:rtl w:val="0"/>
        </w:rPr>
        <w:t xml:space="preserve">., 2025). </w:t>
      </w:r>
    </w:p>
    <w:p w:rsidR="00000000" w:rsidDel="00000000" w:rsidP="00000000" w:rsidRDefault="00000000" w:rsidRPr="00000000" w14:paraId="00000019">
      <w:pPr>
        <w:spacing w:line="360" w:lineRule="auto"/>
        <w:ind w:left="-15" w:right="52" w:firstLine="711"/>
        <w:rPr/>
      </w:pPr>
      <w:r w:rsidDel="00000000" w:rsidR="00000000" w:rsidRPr="00000000">
        <w:rPr>
          <w:rtl w:val="0"/>
        </w:rPr>
        <w:t xml:space="preserve">Nesse contexto, no caso das mulheres, o acesso à informação torna-se fundamental para que reconheçam seus direitos, identifiquem suas necessidades e busquem atendimento de acordo com as demandas apresentadas em cada fase da vida. Com isso o direito à saúde pressupõe não apenas a existência de serviços, mas também condições que permitam à população conhecer, compreender e utilizar os recursos disponíveis. Cavalcanti </w:t>
      </w:r>
      <w:r w:rsidDel="00000000" w:rsidR="00000000" w:rsidRPr="00000000">
        <w:rPr>
          <w:i w:val="1"/>
          <w:iCs w:val="1"/>
          <w:rtl w:val="0"/>
        </w:rPr>
        <w:t xml:space="preserve">et al.</w:t>
      </w:r>
      <w:r w:rsidDel="00000000" w:rsidR="00000000" w:rsidRPr="00000000">
        <w:rPr>
          <w:rtl w:val="0"/>
        </w:rPr>
        <w:t xml:space="preserve"> (2024) ao avaliarem o letramento em saúde na atenção primária, identificaram limitações relacionadas à obtenção de informações suficientes para o cuidado e à capacidade de navegar pelo sistema de saúde. Dessa forma, mesmo diante da existência de políticas e serviços destinados à população, dificuldades na compreensão das informações podem limitar sua utilização. </w:t>
      </w:r>
    </w:p>
    <w:p w:rsidR="00000000" w:rsidDel="00000000" w:rsidP="00000000" w:rsidRDefault="00000000" w:rsidRPr="00000000" w14:paraId="0000001A">
      <w:pPr>
        <w:spacing w:line="360" w:lineRule="auto"/>
        <w:ind w:left="-15" w:right="52" w:firstLine="711"/>
        <w:rPr/>
      </w:pPr>
      <w:r w:rsidDel="00000000" w:rsidR="00000000" w:rsidRPr="00000000">
        <w:rPr>
          <w:rtl w:val="0"/>
        </w:rPr>
        <w:t xml:space="preserve">Essa dificuldade torna-se ainda mais relevante quando se considera que o direito à saúde da mulher é acompanhado por garantias específicas previstas na legislação brasileira, as quais nem sempre são de conhecimento da população. Entre essas garantias, encontram-se normas relacionadas à prevenção, ao diagnóstico e ao tratamento de doenças, bem como à própria forma de atendimento nos serviços de saúde. A Lei nº 13.896/2019 determina que os exames necessários para esclarecer casos com suspeita de neoplasia maligna sejam realizados em até 30 dias, desde que haja solicitação médica fundamentada (Brasil, 2019).  </w:t>
      </w:r>
    </w:p>
    <w:p w:rsidR="00000000" w:rsidDel="00000000" w:rsidP="00000000" w:rsidRDefault="00000000" w:rsidRPr="00000000" w14:paraId="0000001B">
      <w:pPr>
        <w:spacing w:after="0" w:line="360" w:lineRule="auto"/>
        <w:ind w:right="0" w:firstLine="711"/>
        <w:rPr/>
      </w:pPr>
      <w:r w:rsidDel="00000000" w:rsidR="00000000" w:rsidRPr="00000000">
        <w:rPr>
          <w:rtl w:val="0"/>
        </w:rPr>
        <w:t xml:space="preserve">Além disso, a Lei nº 14.737/2023 assegura à mulher o direito de estar acompanhada por pessoa maior de idade durante consultas, exames e procedimentos realizados em serviços de saúde públicos ou privados (Brasil, 2023). Outro aspecto relevante refere-se ao direito à prevenção. A Lei nº 11.664/2008, estabelece que o Sistema Único de Saúde deve assegurar ações de prevenção, detecção, tratamento e acompanhamento dos cânceres do colo do útero, de mama e colorretal, além de assistência integral à saúde da mulher e ações informativas e educativas (Brasil, 2008). Essas garantias evidenciam que o direito à saúde da mulher abrange diversos aspectos do cuidado, tornando o acesso e o conhecimento dessas informações essenciais para garantir seus direitos.  </w:t>
      </w:r>
    </w:p>
    <w:p w:rsidR="00000000" w:rsidDel="00000000" w:rsidP="00000000" w:rsidRDefault="00000000" w:rsidRPr="00000000" w14:paraId="0000001C">
      <w:pPr>
        <w:spacing w:line="360" w:lineRule="auto"/>
        <w:ind w:left="-15" w:right="52" w:firstLine="711"/>
        <w:rPr/>
      </w:pPr>
      <w:r w:rsidDel="00000000" w:rsidR="00000000" w:rsidRPr="00000000">
        <w:rPr>
          <w:rtl w:val="0"/>
        </w:rPr>
        <w:t xml:space="preserve">Embora existam garantias legais destinadas à proteção da saúde das mulheres, o acesso aos serviços ainda é influenciado por barreiras sociais e estruturais. Oliveira </w:t>
      </w:r>
      <w:r w:rsidDel="00000000" w:rsidR="00000000" w:rsidRPr="00000000">
        <w:rPr>
          <w:i w:val="1"/>
          <w:iCs w:val="1"/>
          <w:rtl w:val="0"/>
        </w:rPr>
        <w:t xml:space="preserve">et al.</w:t>
      </w:r>
      <w:r w:rsidDel="00000000" w:rsidR="00000000" w:rsidRPr="00000000">
        <w:rPr>
          <w:rtl w:val="0"/>
        </w:rPr>
        <w:t xml:space="preserve"> (2025) evidenciaram que fatores como renda, escolaridade e raça/cor podem interferir nesse acesso. Dessa forma, a existência de direitos não garante, por si só, sua efetivação, especialmente quando há desconhecimento sobre as garantias e os serviços disponíveis. Nesse contexto, ampliar o acesso a informações claras e confiáveis pode fortalecer a autonomia e a cidadania das mulheres, contribuindo para que reconheçam suas necessidades, busquem atendimento e exerçam seus direitos à saúde. </w:t>
      </w:r>
    </w:p>
    <w:p w:rsidR="00000000" w:rsidDel="00000000" w:rsidP="00000000" w:rsidRDefault="00000000" w:rsidRPr="00000000" w14:paraId="0000001D">
      <w:pPr>
        <w:spacing w:after="115" w:line="360" w:lineRule="auto"/>
        <w:ind w:left="721" w:right="0" w:firstLine="0"/>
        <w:rPr/>
      </w:pPr>
      <w:r w:rsidDel="00000000" w:rsidR="00000000" w:rsidRPr="00000000">
        <w:rPr>
          <w:b w:val="1"/>
          <w:bCs w:val="1"/>
          <w:color w:val="000000"/>
          <w:rtl w:val="0"/>
        </w:rPr>
        <w:t xml:space="preserve"> </w:t>
      </w:r>
      <w:r w:rsidDel="00000000" w:rsidR="00000000" w:rsidRPr="00000000">
        <w:rPr>
          <w:rtl w:val="0"/>
        </w:rPr>
      </w:r>
    </w:p>
    <w:p w:rsidR="00000000" w:rsidDel="00000000" w:rsidP="00000000" w:rsidRDefault="00000000" w:rsidRPr="00000000" w14:paraId="0000001E">
      <w:pPr>
        <w:pStyle w:val="Heading1"/>
        <w:ind w:left="-5" w:right="0" w:firstLine="0"/>
        <w:rPr/>
      </w:pPr>
      <w:r w:rsidDel="00000000" w:rsidR="00000000" w:rsidRPr="00000000">
        <w:rPr>
          <w:rtl w:val="0"/>
        </w:rPr>
        <w:t xml:space="preserve">2 OBJETIVO </w:t>
      </w:r>
    </w:p>
    <w:p w:rsidR="00000000" w:rsidDel="00000000" w:rsidP="00000000" w:rsidRDefault="00000000" w:rsidRPr="00000000" w14:paraId="0000001F">
      <w:pPr>
        <w:spacing w:after="2" w:line="356" w:lineRule="auto"/>
        <w:ind w:left="-15" w:right="56" w:firstLine="721"/>
        <w:rPr/>
      </w:pPr>
      <w:r w:rsidDel="00000000" w:rsidR="00000000" w:rsidRPr="00000000">
        <w:rPr>
          <w:color w:val="000000"/>
          <w:rtl w:val="0"/>
        </w:rPr>
        <w:t xml:space="preserve">Analisar os direitos relacionados à saúde da mulher no Brasil, destacando a importância da informação para o conhecimento e a efetivação desses direitos e para o acesso aos serviços de saúde. </w:t>
      </w:r>
      <w:r w:rsidDel="00000000" w:rsidR="00000000" w:rsidRPr="00000000">
        <w:rPr>
          <w:rtl w:val="0"/>
        </w:rPr>
      </w:r>
    </w:p>
    <w:p w:rsidR="00000000" w:rsidDel="00000000" w:rsidP="00000000" w:rsidRDefault="00000000" w:rsidRPr="00000000" w14:paraId="00000020">
      <w:pPr>
        <w:spacing w:after="112" w:line="259" w:lineRule="auto"/>
        <w:ind w:right="0" w:firstLine="0"/>
        <w:jc w:val="left"/>
        <w:rPr/>
      </w:pPr>
      <w:r w:rsidDel="00000000" w:rsidR="00000000" w:rsidRPr="00000000">
        <w:rPr>
          <w:rtl w:val="0"/>
        </w:rPr>
      </w:r>
    </w:p>
    <w:p w:rsidR="00000000" w:rsidDel="00000000" w:rsidP="00000000" w:rsidRDefault="00000000" w:rsidRPr="00000000" w14:paraId="00000021">
      <w:pPr>
        <w:spacing w:after="112" w:line="259" w:lineRule="auto"/>
        <w:ind w:right="0" w:firstLine="0"/>
        <w:jc w:val="left"/>
        <w:rPr/>
      </w:pPr>
      <w:r w:rsidDel="00000000" w:rsidR="00000000" w:rsidRPr="00000000">
        <w:rPr>
          <w:b w:val="1"/>
          <w:bCs w:val="1"/>
          <w:rtl w:val="0"/>
        </w:rPr>
        <w:t xml:space="preserve">3</w:t>
      </w:r>
      <w:r w:rsidDel="00000000" w:rsidR="00000000" w:rsidRPr="00000000">
        <w:rPr>
          <w:rtl w:val="0"/>
        </w:rPr>
        <w:t xml:space="preserve"> </w:t>
      </w:r>
      <w:r w:rsidDel="00000000" w:rsidR="00000000" w:rsidRPr="00000000">
        <w:rPr>
          <w:b w:val="1"/>
          <w:bCs w:val="1"/>
          <w:color w:val="000000"/>
          <w:rtl w:val="0"/>
        </w:rPr>
        <w:t xml:space="preserve">MÉTODO </w:t>
      </w:r>
      <w:r w:rsidDel="00000000" w:rsidR="00000000" w:rsidRPr="00000000">
        <w:rPr>
          <w:rtl w:val="0"/>
        </w:rPr>
      </w:r>
    </w:p>
    <w:p w:rsidR="00000000" w:rsidDel="00000000" w:rsidP="00000000" w:rsidRDefault="00000000" w:rsidRPr="00000000" w14:paraId="00000022">
      <w:pPr>
        <w:spacing w:after="0" w:line="360" w:lineRule="auto"/>
        <w:ind w:right="0" w:firstLine="708"/>
        <w:rPr>
          <w:color w:val="000000"/>
        </w:rPr>
      </w:pPr>
      <w:r w:rsidDel="00000000" w:rsidR="00000000" w:rsidRPr="00000000">
        <w:rPr>
          <w:color w:val="000000"/>
          <w:rtl w:val="0"/>
        </w:rPr>
        <w:t xml:space="preserve"> Trata-se de uma revisão narrativa da literatura, realizada em agosto de 2026, com o objetivo de analisar os direitos relacionados à saúde da mulher no Brasil e a importância da informação para o conhecimento e a efetivação desses direitos e para o acesso aos serviços de saúde. A busca bibliográfica foi realizada nas bases de dados PubMed Central (PMC), SciELO e Google Acadêmico. Foram incluídos artigos científicos disponíveis na íntegra e gratuitamente, publicados entre 2021 e 2026. Nos idiomas português e inglês. Os descritores utilizados na estratégia de busca foram: “saúde da mulher” AND “direito à saúde” AND “acesso aos serviços de saúde” AND “informação em saúde AND “letramento em saúde”. Inicialmente, foram aplicados filtros referentes ao período de publicação e aos idiomas. Em seguida, realizou- se a triagem dos estudos por meio da leitura dos títulos e resumos, sendo selecionados aqueles que apresentavam relação com os direitos à saúde da mulher, acesso aos serviços, informação, autonomia e efetivação das garantias de saúde. Posteriormente, os estudos considerados pertinentes foram submetidos à leitura na íntegra para análise e seleção final. Também foram consultados documentos oficiais do Ministério da Saúde e legislações brasileiras relacionadas à saúde da mulher, utilizados como fontes complementares para a discussão dos direitos assegurados à população feminina. A busca inicial identificou 15 estudos potencialmente relevantes. Após leitura de títulos e resumos, 5 foram excluídos por não estarem dentro da abordagem do tema. Dos 10 artigos elegíveis, 3 foram excluídos após leitura completa por apresentarem dados redundantes ou não dialogarem com o foco temático. Assim, 7 estudos compuseram a versão final desta revisão.</w:t>
      </w:r>
    </w:p>
    <w:p w:rsidR="00000000" w:rsidDel="00000000" w:rsidP="00000000" w:rsidRDefault="00000000" w:rsidRPr="00000000" w14:paraId="00000023">
      <w:pPr>
        <w:spacing w:after="20" w:line="259" w:lineRule="auto"/>
        <w:ind w:right="0" w:firstLine="0"/>
        <w:jc w:val="left"/>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24">
      <w:pPr>
        <w:spacing w:after="112" w:line="259" w:lineRule="auto"/>
        <w:ind w:right="0" w:firstLine="0"/>
        <w:jc w:val="left"/>
        <w:rPr/>
      </w:pPr>
      <w:r w:rsidDel="00000000" w:rsidR="00000000" w:rsidRPr="00000000">
        <w:rPr>
          <w:b w:val="1"/>
          <w:bCs w:val="1"/>
          <w:color w:val="000000"/>
          <w:rtl w:val="0"/>
        </w:rPr>
        <w:t xml:space="preserve">4 RESULTADOS E DISCUSSÃO </w:t>
      </w:r>
      <w:r w:rsidDel="00000000" w:rsidR="00000000" w:rsidRPr="00000000">
        <w:rPr>
          <w:rtl w:val="0"/>
        </w:rPr>
      </w:r>
    </w:p>
    <w:p w:rsidR="00000000" w:rsidDel="00000000" w:rsidP="00000000" w:rsidRDefault="00000000" w:rsidRPr="00000000" w14:paraId="00000025">
      <w:pPr>
        <w:spacing w:after="112" w:line="360" w:lineRule="auto"/>
        <w:ind w:right="0" w:firstLine="708"/>
        <w:rPr/>
      </w:pPr>
      <w:r w:rsidDel="00000000" w:rsidR="00000000" w:rsidRPr="00000000">
        <w:rPr>
          <w:rtl w:val="0"/>
        </w:rPr>
        <w:t xml:space="preserve">O quadro 1 foi elaborado apresentando os dados contidos nos 7 artigos finais selecionados, apresentando as principais características dos estudos analisados, incluindo título, autores, ano de publicação, objetivos e desenho de estudo dos mesmos. </w:t>
      </w:r>
    </w:p>
    <w:p w:rsidR="00000000" w:rsidDel="00000000" w:rsidP="00000000" w:rsidRDefault="00000000" w:rsidRPr="00000000" w14:paraId="00000026">
      <w:pPr>
        <w:spacing w:after="112" w:line="259" w:lineRule="auto"/>
        <w:ind w:right="0" w:firstLine="711"/>
        <w:jc w:val="left"/>
        <w:rPr/>
      </w:pPr>
      <w:r w:rsidDel="00000000" w:rsidR="00000000" w:rsidRPr="00000000">
        <w:rPr>
          <w:rtl w:val="0"/>
        </w:rPr>
      </w:r>
    </w:p>
    <w:p w:rsidR="00000000" w:rsidDel="00000000" w:rsidP="00000000" w:rsidRDefault="00000000" w:rsidRPr="00000000" w14:paraId="00000027">
      <w:pPr>
        <w:spacing w:after="112" w:line="259" w:lineRule="auto"/>
        <w:ind w:right="0" w:firstLine="0"/>
        <w:rPr/>
      </w:pPr>
      <w:r w:rsidDel="00000000" w:rsidR="00000000" w:rsidRPr="00000000">
        <w:rPr>
          <w:b w:val="1"/>
          <w:bCs w:val="1"/>
          <w:rtl w:val="0"/>
        </w:rPr>
        <w:t xml:space="preserve">Quadro 1</w:t>
      </w:r>
      <w:r w:rsidDel="00000000" w:rsidR="00000000" w:rsidRPr="00000000">
        <w:rPr>
          <w:rtl w:val="0"/>
        </w:rPr>
        <w:t xml:space="preserve"> – Descrição resumida dos artigos selecionados e analisados na pesquisa, de acordo com o título, autores, ano, objetivos e desenho do estudo.</w:t>
      </w:r>
    </w:p>
    <w:tbl>
      <w:tblPr>
        <w:tblStyle w:val="Table1"/>
        <w:tblW w:w="9923.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77"/>
        <w:gridCol w:w="1701"/>
        <w:gridCol w:w="992"/>
        <w:gridCol w:w="2694"/>
        <w:gridCol w:w="1559"/>
        <w:tblGridChange w:id="0">
          <w:tblGrid>
            <w:gridCol w:w="2977"/>
            <w:gridCol w:w="1701"/>
            <w:gridCol w:w="992"/>
            <w:gridCol w:w="2694"/>
            <w:gridCol w:w="1559"/>
          </w:tblGrid>
        </w:tblGridChange>
      </w:tblGrid>
      <w:tr>
        <w:trPr>
          <w:cantSplit w:val="0"/>
          <w:trHeight w:val="683" w:hRule="atLeast"/>
          <w:tblHeader w:val="0"/>
        </w:trPr>
        <w:tc>
          <w:tcPr>
            <w:shd w:fill="dbe5f1" w:val="clear"/>
            <w:vAlign w:val="center"/>
          </w:tcPr>
          <w:p w:rsidR="00000000" w:rsidDel="00000000" w:rsidP="00000000" w:rsidRDefault="00000000" w:rsidRPr="00000000" w14:paraId="00000028">
            <w:pPr>
              <w:ind w:right="0" w:firstLine="0"/>
              <w:jc w:val="center"/>
              <w:rPr>
                <w:b w:val="1"/>
                <w:bCs w:val="1"/>
              </w:rPr>
            </w:pPr>
            <w:r w:rsidDel="00000000" w:rsidR="00000000" w:rsidRPr="00000000">
              <w:rPr>
                <w:b w:val="1"/>
                <w:bCs w:val="1"/>
                <w:rtl w:val="0"/>
              </w:rPr>
              <w:t xml:space="preserve">TÍTULO</w:t>
            </w:r>
          </w:p>
        </w:tc>
        <w:tc>
          <w:tcPr>
            <w:shd w:fill="dbe5f1" w:val="clear"/>
            <w:vAlign w:val="center"/>
          </w:tcPr>
          <w:p w:rsidR="00000000" w:rsidDel="00000000" w:rsidP="00000000" w:rsidRDefault="00000000" w:rsidRPr="00000000" w14:paraId="00000029">
            <w:pPr>
              <w:ind w:right="0" w:firstLine="0"/>
              <w:jc w:val="center"/>
              <w:rPr>
                <w:b w:val="1"/>
                <w:bCs w:val="1"/>
              </w:rPr>
            </w:pPr>
            <w:r w:rsidDel="00000000" w:rsidR="00000000" w:rsidRPr="00000000">
              <w:rPr>
                <w:b w:val="1"/>
                <w:bCs w:val="1"/>
                <w:rtl w:val="0"/>
              </w:rPr>
              <w:t xml:space="preserve">AUTORES</w:t>
            </w:r>
          </w:p>
        </w:tc>
        <w:tc>
          <w:tcPr>
            <w:shd w:fill="dbe5f1" w:val="clear"/>
            <w:vAlign w:val="center"/>
          </w:tcPr>
          <w:p w:rsidR="00000000" w:rsidDel="00000000" w:rsidP="00000000" w:rsidRDefault="00000000" w:rsidRPr="00000000" w14:paraId="0000002A">
            <w:pPr>
              <w:ind w:right="0" w:firstLine="0"/>
              <w:jc w:val="center"/>
              <w:rPr>
                <w:b w:val="1"/>
                <w:bCs w:val="1"/>
              </w:rPr>
            </w:pPr>
            <w:r w:rsidDel="00000000" w:rsidR="00000000" w:rsidRPr="00000000">
              <w:rPr>
                <w:b w:val="1"/>
                <w:bCs w:val="1"/>
                <w:rtl w:val="0"/>
              </w:rPr>
              <w:t xml:space="preserve">ANO</w:t>
            </w:r>
          </w:p>
        </w:tc>
        <w:tc>
          <w:tcPr>
            <w:shd w:fill="dbe5f1" w:val="clear"/>
            <w:vAlign w:val="center"/>
          </w:tcPr>
          <w:p w:rsidR="00000000" w:rsidDel="00000000" w:rsidP="00000000" w:rsidRDefault="00000000" w:rsidRPr="00000000" w14:paraId="0000002B">
            <w:pPr>
              <w:ind w:right="0" w:firstLine="0"/>
              <w:jc w:val="center"/>
              <w:rPr>
                <w:b w:val="1"/>
                <w:bCs w:val="1"/>
              </w:rPr>
            </w:pPr>
            <w:r w:rsidDel="00000000" w:rsidR="00000000" w:rsidRPr="00000000">
              <w:rPr>
                <w:b w:val="1"/>
                <w:bCs w:val="1"/>
                <w:rtl w:val="0"/>
              </w:rPr>
              <w:t xml:space="preserve">OBJETIVOS</w:t>
            </w:r>
          </w:p>
        </w:tc>
        <w:tc>
          <w:tcPr>
            <w:shd w:fill="dbe5f1" w:val="clear"/>
            <w:vAlign w:val="center"/>
          </w:tcPr>
          <w:p w:rsidR="00000000" w:rsidDel="00000000" w:rsidP="00000000" w:rsidRDefault="00000000" w:rsidRPr="00000000" w14:paraId="0000002C">
            <w:pPr>
              <w:ind w:right="0" w:firstLine="0"/>
              <w:jc w:val="center"/>
              <w:rPr>
                <w:b w:val="1"/>
                <w:bCs w:val="1"/>
              </w:rPr>
            </w:pPr>
            <w:r w:rsidDel="00000000" w:rsidR="00000000" w:rsidRPr="00000000">
              <w:rPr>
                <w:b w:val="1"/>
                <w:bCs w:val="1"/>
                <w:rtl w:val="0"/>
              </w:rPr>
              <w:t xml:space="preserve">DESENHO DO ESTUDO</w:t>
            </w:r>
          </w:p>
        </w:tc>
      </w:tr>
      <w:tr>
        <w:trPr>
          <w:cantSplit w:val="0"/>
          <w:trHeight w:val="2565" w:hRule="atLeast"/>
          <w:tblHeader w:val="0"/>
        </w:trPr>
        <w:tc>
          <w:tcPr>
            <w:vAlign w:val="center"/>
          </w:tcPr>
          <w:p w:rsidR="00000000" w:rsidDel="00000000" w:rsidP="00000000" w:rsidRDefault="00000000" w:rsidRPr="00000000" w14:paraId="0000002D">
            <w:pPr>
              <w:ind w:right="0" w:firstLine="0"/>
              <w:jc w:val="center"/>
              <w:rPr/>
            </w:pPr>
            <w:r w:rsidDel="00000000" w:rsidR="00000000" w:rsidRPr="00000000">
              <w:rPr>
                <w:rtl w:val="0"/>
              </w:rPr>
              <w:t xml:space="preserve">Programa de Assistência Integral à Saúde da Mulher, 40 anos de uma história: entrevista com Ana Maria Costa.</w:t>
            </w:r>
          </w:p>
        </w:tc>
        <w:tc>
          <w:tcPr>
            <w:vAlign w:val="center"/>
          </w:tcPr>
          <w:p w:rsidR="00000000" w:rsidDel="00000000" w:rsidP="00000000" w:rsidRDefault="00000000" w:rsidRPr="00000000" w14:paraId="0000002E">
            <w:pPr>
              <w:ind w:right="0" w:firstLine="0"/>
              <w:jc w:val="center"/>
              <w:rPr/>
            </w:pPr>
            <w:r w:rsidDel="00000000" w:rsidR="00000000" w:rsidRPr="00000000">
              <w:rPr>
                <w:rtl w:val="0"/>
              </w:rPr>
              <w:t xml:space="preserve">Costa, Bonan e Rodrigues.</w:t>
            </w:r>
          </w:p>
        </w:tc>
        <w:tc>
          <w:tcPr>
            <w:vAlign w:val="center"/>
          </w:tcPr>
          <w:p w:rsidR="00000000" w:rsidDel="00000000" w:rsidP="00000000" w:rsidRDefault="00000000" w:rsidRPr="00000000" w14:paraId="0000002F">
            <w:pPr>
              <w:ind w:right="0" w:firstLine="0"/>
              <w:jc w:val="center"/>
              <w:rPr/>
            </w:pPr>
            <w:r w:rsidDel="00000000" w:rsidR="00000000" w:rsidRPr="00000000">
              <w:rPr>
                <w:rtl w:val="0"/>
              </w:rPr>
              <w:t xml:space="preserve">2024</w:t>
            </w:r>
          </w:p>
        </w:tc>
        <w:tc>
          <w:tcPr>
            <w:vAlign w:val="center"/>
          </w:tcPr>
          <w:p w:rsidR="00000000" w:rsidDel="00000000" w:rsidP="00000000" w:rsidRDefault="00000000" w:rsidRPr="00000000" w14:paraId="00000030">
            <w:pPr>
              <w:ind w:right="0" w:firstLine="0"/>
              <w:jc w:val="center"/>
              <w:rPr/>
            </w:pPr>
            <w:r w:rsidDel="00000000" w:rsidR="00000000" w:rsidRPr="00000000">
              <w:rPr>
                <w:rtl w:val="0"/>
              </w:rPr>
              <w:t xml:space="preserve">Integralidade do ciclo vital; Oncologia preventiva; Enfrentamento à violência; Redução da mortalidade materno-infantil; Planejamento reprodutivo.</w:t>
            </w:r>
          </w:p>
        </w:tc>
        <w:tc>
          <w:tcPr>
            <w:vAlign w:val="center"/>
          </w:tcPr>
          <w:p w:rsidR="00000000" w:rsidDel="00000000" w:rsidP="00000000" w:rsidRDefault="00000000" w:rsidRPr="00000000" w14:paraId="00000031">
            <w:pPr>
              <w:ind w:right="0" w:firstLine="0"/>
              <w:jc w:val="center"/>
              <w:rPr/>
            </w:pPr>
            <w:r w:rsidDel="00000000" w:rsidR="00000000" w:rsidRPr="00000000">
              <w:rPr>
                <w:rtl w:val="0"/>
              </w:rPr>
              <w:t xml:space="preserve">Pesquisa qualitativa baseada em história oral.</w:t>
            </w:r>
          </w:p>
        </w:tc>
      </w:tr>
      <w:tr>
        <w:trPr>
          <w:cantSplit w:val="0"/>
          <w:trHeight w:val="987" w:hRule="atLeast"/>
          <w:tblHeader w:val="0"/>
        </w:trPr>
        <w:tc>
          <w:tcPr>
            <w:tcBorders>
              <w:bottom w:color="000000" w:space="0" w:sz="4" w:val="single"/>
            </w:tcBorders>
            <w:vAlign w:val="center"/>
          </w:tcPr>
          <w:p w:rsidR="00000000" w:rsidDel="00000000" w:rsidP="00000000" w:rsidRDefault="00000000" w:rsidRPr="00000000" w14:paraId="00000032">
            <w:pPr>
              <w:ind w:right="0" w:firstLine="0"/>
              <w:jc w:val="center"/>
              <w:rPr/>
            </w:pPr>
            <w:r w:rsidDel="00000000" w:rsidR="00000000" w:rsidRPr="00000000">
              <w:rPr>
                <w:rtl w:val="0"/>
              </w:rPr>
              <w:t xml:space="preserve">A atenção à saúde da mulher no Estado de São Paulo, Brasil: avaliação de serviços de atenção primária à saúde.</w:t>
            </w:r>
          </w:p>
        </w:tc>
        <w:tc>
          <w:tcPr>
            <w:vAlign w:val="center"/>
          </w:tcPr>
          <w:p w:rsidR="00000000" w:rsidDel="00000000" w:rsidP="00000000" w:rsidRDefault="00000000" w:rsidRPr="00000000" w14:paraId="00000033">
            <w:pPr>
              <w:ind w:right="0" w:firstLine="0"/>
              <w:jc w:val="center"/>
              <w:rPr>
                <w:i w:val="1"/>
                <w:iCs w:val="1"/>
              </w:rPr>
            </w:pPr>
            <w:r w:rsidDel="00000000" w:rsidR="00000000" w:rsidRPr="00000000">
              <w:rPr>
                <w:rtl w:val="0"/>
              </w:rPr>
              <w:t xml:space="preserve">Couto </w:t>
            </w:r>
            <w:r w:rsidDel="00000000" w:rsidR="00000000" w:rsidRPr="00000000">
              <w:rPr>
                <w:i w:val="1"/>
                <w:iCs w:val="1"/>
                <w:rtl w:val="0"/>
              </w:rPr>
              <w:t xml:space="preserve">et al.</w:t>
            </w:r>
          </w:p>
        </w:tc>
        <w:tc>
          <w:tcPr>
            <w:vAlign w:val="center"/>
          </w:tcPr>
          <w:p w:rsidR="00000000" w:rsidDel="00000000" w:rsidP="00000000" w:rsidRDefault="00000000" w:rsidRPr="00000000" w14:paraId="00000034">
            <w:pPr>
              <w:ind w:right="0" w:firstLine="0"/>
              <w:jc w:val="center"/>
              <w:rPr/>
            </w:pPr>
            <w:r w:rsidDel="00000000" w:rsidR="00000000" w:rsidRPr="00000000">
              <w:rPr>
                <w:rtl w:val="0"/>
              </w:rPr>
              <w:t xml:space="preserve">2025</w:t>
            </w:r>
          </w:p>
        </w:tc>
        <w:tc>
          <w:tcPr>
            <w:vAlign w:val="center"/>
          </w:tcPr>
          <w:p w:rsidR="00000000" w:rsidDel="00000000" w:rsidP="00000000" w:rsidRDefault="00000000" w:rsidRPr="00000000" w14:paraId="00000035">
            <w:pPr>
              <w:ind w:right="0" w:firstLine="0"/>
              <w:jc w:val="center"/>
              <w:rPr/>
            </w:pPr>
            <w:r w:rsidDel="00000000" w:rsidR="00000000" w:rsidRPr="00000000">
              <w:rPr>
                <w:rtl w:val="0"/>
              </w:rPr>
              <w:t xml:space="preserve">Avaliação da APS; Desempenho por domínios assistenciais; Clusterização de qualidade; Identificação de fatores associados; Diagnósticos de fragilidades na saúde da mulher.</w:t>
            </w:r>
          </w:p>
        </w:tc>
        <w:tc>
          <w:tcPr>
            <w:vAlign w:val="center"/>
          </w:tcPr>
          <w:p w:rsidR="00000000" w:rsidDel="00000000" w:rsidP="00000000" w:rsidRDefault="00000000" w:rsidRPr="00000000" w14:paraId="00000036">
            <w:pPr>
              <w:ind w:right="0" w:firstLine="0"/>
              <w:jc w:val="center"/>
              <w:rPr/>
            </w:pPr>
            <w:r w:rsidDel="00000000" w:rsidR="00000000" w:rsidRPr="00000000">
              <w:rPr>
                <w:rtl w:val="0"/>
              </w:rPr>
              <w:t xml:space="preserve">Transversal, do tipo pesquisa avaliativa.</w:t>
            </w:r>
          </w:p>
        </w:tc>
      </w:tr>
      <w:tr>
        <w:trPr>
          <w:cantSplit w:val="0"/>
          <w:trHeight w:val="1781" w:hRule="atLeast"/>
          <w:tblHeader w:val="0"/>
        </w:trPr>
        <w:tc>
          <w:tcPr>
            <w:tcBorders>
              <w:bottom w:color="000000" w:space="0" w:sz="4" w:val="single"/>
            </w:tcBorders>
            <w:vAlign w:val="center"/>
          </w:tcPr>
          <w:p w:rsidR="00000000" w:rsidDel="00000000" w:rsidP="00000000" w:rsidRDefault="00000000" w:rsidRPr="00000000" w14:paraId="00000037">
            <w:pPr>
              <w:pStyle w:val="Heading1"/>
              <w:spacing w:after="0" w:line="240" w:lineRule="auto"/>
              <w:jc w:val="center"/>
              <w:rPr>
                <w:b w:val="0"/>
                <w:bCs w:val="0"/>
              </w:rPr>
            </w:pPr>
            <w:r w:rsidDel="00000000" w:rsidR="00000000" w:rsidRPr="00000000">
              <w:rPr>
                <w:b w:val="0"/>
                <w:bCs w:val="0"/>
                <w:rtl w:val="0"/>
              </w:rPr>
              <w:t xml:space="preserve">Desigualdades sociais na realização de exames preventivos entre mulheres mais velhas (50+): evidências do ELSI-Brasil.</w:t>
            </w:r>
          </w:p>
        </w:tc>
        <w:tc>
          <w:tcPr>
            <w:vAlign w:val="center"/>
          </w:tcPr>
          <w:p w:rsidR="00000000" w:rsidDel="00000000" w:rsidP="00000000" w:rsidRDefault="00000000" w:rsidRPr="00000000" w14:paraId="00000038">
            <w:pPr>
              <w:ind w:right="0" w:firstLine="0"/>
              <w:jc w:val="center"/>
              <w:rPr>
                <w:i w:val="1"/>
                <w:iCs w:val="1"/>
              </w:rPr>
            </w:pPr>
            <w:r w:rsidDel="00000000" w:rsidR="00000000" w:rsidRPr="00000000">
              <w:rPr>
                <w:rtl w:val="0"/>
              </w:rPr>
              <w:t xml:space="preserve">Carvalho </w:t>
            </w:r>
            <w:r w:rsidDel="00000000" w:rsidR="00000000" w:rsidRPr="00000000">
              <w:rPr>
                <w:i w:val="1"/>
                <w:iCs w:val="1"/>
                <w:rtl w:val="0"/>
              </w:rPr>
              <w:t xml:space="preserve">et al.</w:t>
            </w:r>
          </w:p>
        </w:tc>
        <w:tc>
          <w:tcPr>
            <w:vAlign w:val="center"/>
          </w:tcPr>
          <w:p w:rsidR="00000000" w:rsidDel="00000000" w:rsidP="00000000" w:rsidRDefault="00000000" w:rsidRPr="00000000" w14:paraId="00000039">
            <w:pPr>
              <w:ind w:right="0" w:firstLine="0"/>
              <w:jc w:val="center"/>
              <w:rPr/>
            </w:pPr>
            <w:r w:rsidDel="00000000" w:rsidR="00000000" w:rsidRPr="00000000">
              <w:rPr>
                <w:rtl w:val="0"/>
              </w:rPr>
              <w:t xml:space="preserve">2026</w:t>
            </w:r>
          </w:p>
        </w:tc>
        <w:tc>
          <w:tcPr>
            <w:vAlign w:val="center"/>
          </w:tcPr>
          <w:p w:rsidR="00000000" w:rsidDel="00000000" w:rsidP="00000000" w:rsidRDefault="00000000" w:rsidRPr="00000000" w14:paraId="0000003A">
            <w:pPr>
              <w:ind w:right="0" w:firstLine="0"/>
              <w:jc w:val="center"/>
              <w:rPr/>
            </w:pPr>
            <w:r w:rsidDel="00000000" w:rsidR="00000000" w:rsidRPr="00000000">
              <w:rPr>
                <w:rtl w:val="0"/>
              </w:rPr>
              <w:t xml:space="preserve">Avaliação de desigualdades em saúde; Impacto da raça/cor; Escolaridade como determinante preventivo; Influência da renda.</w:t>
            </w:r>
          </w:p>
        </w:tc>
        <w:tc>
          <w:tcPr>
            <w:vAlign w:val="center"/>
          </w:tcPr>
          <w:p w:rsidR="00000000" w:rsidDel="00000000" w:rsidP="00000000" w:rsidRDefault="00000000" w:rsidRPr="00000000" w14:paraId="0000003B">
            <w:pPr>
              <w:ind w:right="0" w:firstLine="0"/>
              <w:jc w:val="center"/>
              <w:rPr/>
            </w:pPr>
            <w:r w:rsidDel="00000000" w:rsidR="00000000" w:rsidRPr="00000000">
              <w:rPr>
                <w:rtl w:val="0"/>
              </w:rPr>
              <w:t xml:space="preserve">Estudo longitudinal com dados da linha de base do Estudo Longitudinal.</w:t>
            </w:r>
          </w:p>
        </w:tc>
      </w:tr>
      <w:tr>
        <w:trPr>
          <w:cantSplit w:val="0"/>
          <w:trHeight w:val="1693"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3C">
            <w:pPr>
              <w:ind w:right="0" w:firstLine="0"/>
              <w:jc w:val="center"/>
              <w:rPr/>
            </w:pPr>
            <w:r w:rsidDel="00000000" w:rsidR="00000000" w:rsidRPr="00000000">
              <w:rPr>
                <w:rtl w:val="0"/>
              </w:rPr>
              <w:t xml:space="preserve">Falta de acesso aos serviços de saúde por mulheres no contexto da pandemia de COVID – 19: interseccionando cor da pele, renda e escolaridade</w:t>
            </w:r>
          </w:p>
        </w:tc>
        <w:tc>
          <w:tcPr>
            <w:vAlign w:val="center"/>
          </w:tcPr>
          <w:p w:rsidR="00000000" w:rsidDel="00000000" w:rsidP="00000000" w:rsidRDefault="00000000" w:rsidRPr="00000000" w14:paraId="0000003D">
            <w:pPr>
              <w:ind w:right="0" w:firstLine="0"/>
              <w:jc w:val="center"/>
              <w:rPr>
                <w:i w:val="1"/>
                <w:iCs w:val="1"/>
              </w:rPr>
            </w:pPr>
            <w:r w:rsidDel="00000000" w:rsidR="00000000" w:rsidRPr="00000000">
              <w:rPr>
                <w:rtl w:val="0"/>
              </w:rPr>
              <w:t xml:space="preserve">Oliveira </w:t>
            </w:r>
            <w:r w:rsidDel="00000000" w:rsidR="00000000" w:rsidRPr="00000000">
              <w:rPr>
                <w:i w:val="1"/>
                <w:iCs w:val="1"/>
                <w:rtl w:val="0"/>
              </w:rPr>
              <w:t xml:space="preserve">et al.</w:t>
            </w:r>
          </w:p>
        </w:tc>
        <w:tc>
          <w:tcPr>
            <w:vAlign w:val="center"/>
          </w:tcPr>
          <w:p w:rsidR="00000000" w:rsidDel="00000000" w:rsidP="00000000" w:rsidRDefault="00000000" w:rsidRPr="00000000" w14:paraId="0000003E">
            <w:pPr>
              <w:ind w:right="0" w:firstLine="0"/>
              <w:jc w:val="center"/>
              <w:rPr/>
            </w:pPr>
            <w:r w:rsidDel="00000000" w:rsidR="00000000" w:rsidRPr="00000000">
              <w:rPr>
                <w:rtl w:val="0"/>
              </w:rPr>
              <w:t xml:space="preserve">2025</w:t>
            </w:r>
          </w:p>
        </w:tc>
        <w:tc>
          <w:tcPr>
            <w:vAlign w:val="center"/>
          </w:tcPr>
          <w:p w:rsidR="00000000" w:rsidDel="00000000" w:rsidP="00000000" w:rsidRDefault="00000000" w:rsidRPr="00000000" w14:paraId="0000003F">
            <w:pPr>
              <w:ind w:right="0" w:firstLine="0"/>
              <w:jc w:val="center"/>
              <w:rPr/>
            </w:pPr>
            <w:r w:rsidDel="00000000" w:rsidR="00000000" w:rsidRPr="00000000">
              <w:rPr>
                <w:rtl w:val="0"/>
              </w:rPr>
              <w:t xml:space="preserve">Acesso à saúde no país; Interseccionalidade feminina;  informação à saúde; Disparidades na assistência à saúde.</w:t>
            </w:r>
          </w:p>
        </w:tc>
        <w:tc>
          <w:tcPr>
            <w:vAlign w:val="center"/>
          </w:tcPr>
          <w:p w:rsidR="00000000" w:rsidDel="00000000" w:rsidP="00000000" w:rsidRDefault="00000000" w:rsidRPr="00000000" w14:paraId="00000040">
            <w:pPr>
              <w:ind w:right="0" w:firstLine="0"/>
              <w:jc w:val="center"/>
              <w:rPr/>
            </w:pPr>
            <w:r w:rsidDel="00000000" w:rsidR="00000000" w:rsidRPr="00000000">
              <w:rPr>
                <w:rtl w:val="0"/>
              </w:rPr>
              <w:t xml:space="preserve">Estudo transversal de base populacional com coleta de dados primários.</w:t>
            </w:r>
          </w:p>
        </w:tc>
      </w:tr>
      <w:tr>
        <w:trPr>
          <w:cantSplit w:val="0"/>
          <w:trHeight w:val="2741"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41">
            <w:pPr>
              <w:ind w:right="0" w:firstLine="0"/>
              <w:jc w:val="center"/>
              <w:rPr/>
            </w:pPr>
            <w:r w:rsidDel="00000000" w:rsidR="00000000" w:rsidRPr="00000000">
              <w:rPr>
                <w:rtl w:val="0"/>
              </w:rPr>
              <w:t xml:space="preserve">Uma cidadania da fertilidade - as políticas de saúde da mulher como tecnologias de produção do sexo e do gênero.</w:t>
            </w:r>
          </w:p>
        </w:tc>
        <w:tc>
          <w:tcPr>
            <w:vAlign w:val="center"/>
          </w:tcPr>
          <w:p w:rsidR="00000000" w:rsidDel="00000000" w:rsidP="00000000" w:rsidRDefault="00000000" w:rsidRPr="00000000" w14:paraId="00000042">
            <w:pPr>
              <w:ind w:right="0" w:firstLine="0"/>
              <w:jc w:val="center"/>
              <w:rPr/>
            </w:pPr>
            <w:r w:rsidDel="00000000" w:rsidR="00000000" w:rsidRPr="00000000">
              <w:rPr>
                <w:rtl w:val="0"/>
              </w:rPr>
              <w:t xml:space="preserve">Rosa e Silva.</w:t>
            </w:r>
          </w:p>
        </w:tc>
        <w:tc>
          <w:tcPr>
            <w:vAlign w:val="center"/>
          </w:tcPr>
          <w:p w:rsidR="00000000" w:rsidDel="00000000" w:rsidP="00000000" w:rsidRDefault="00000000" w:rsidRPr="00000000" w14:paraId="00000043">
            <w:pPr>
              <w:ind w:right="0" w:firstLine="0"/>
              <w:jc w:val="center"/>
              <w:rPr/>
            </w:pPr>
            <w:r w:rsidDel="00000000" w:rsidR="00000000" w:rsidRPr="00000000">
              <w:rPr>
                <w:rtl w:val="0"/>
              </w:rPr>
              <w:t xml:space="preserve">2023</w:t>
            </w:r>
          </w:p>
        </w:tc>
        <w:tc>
          <w:tcPr>
            <w:vAlign w:val="center"/>
          </w:tcPr>
          <w:p w:rsidR="00000000" w:rsidDel="00000000" w:rsidP="00000000" w:rsidRDefault="00000000" w:rsidRPr="00000000" w14:paraId="00000044">
            <w:pPr>
              <w:ind w:right="0" w:firstLine="0"/>
              <w:jc w:val="center"/>
              <w:rPr/>
            </w:pPr>
            <w:r w:rsidDel="00000000" w:rsidR="00000000" w:rsidRPr="00000000">
              <w:rPr>
                <w:rtl w:val="0"/>
              </w:rPr>
              <w:t xml:space="preserve">Análise das principais políticas públicas de saúde da mulher; Construto de gênero e reprodução; Antropologia dos documentos estatais; PNAISM e Rede Cegonha.</w:t>
            </w:r>
          </w:p>
        </w:tc>
        <w:tc>
          <w:tcPr>
            <w:vAlign w:val="center"/>
          </w:tcPr>
          <w:p w:rsidR="00000000" w:rsidDel="00000000" w:rsidP="00000000" w:rsidRDefault="00000000" w:rsidRPr="00000000" w14:paraId="00000045">
            <w:pPr>
              <w:ind w:right="0" w:firstLine="0"/>
              <w:jc w:val="center"/>
              <w:rPr/>
            </w:pPr>
            <w:r w:rsidDel="00000000" w:rsidR="00000000" w:rsidRPr="00000000">
              <w:rPr>
                <w:rtl w:val="0"/>
              </w:rPr>
              <w:t xml:space="preserve">Pesquisa documental qualitativa, orientada pela perspectiva antropológica de análise de documentos.</w:t>
            </w:r>
          </w:p>
        </w:tc>
      </w:tr>
      <w:tr>
        <w:trPr>
          <w:cantSplit w:val="0"/>
          <w:trHeight w:val="2114"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46">
            <w:pPr>
              <w:ind w:right="0" w:firstLine="0"/>
              <w:jc w:val="center"/>
              <w:rPr/>
            </w:pPr>
            <w:r w:rsidDel="00000000" w:rsidR="00000000" w:rsidRPr="00000000">
              <w:rPr>
                <w:rtl w:val="0"/>
              </w:rPr>
              <w:t xml:space="preserve">Saúde sexual e acesso aos serviços para mulheres lésbicas em Manaus, Amazonas, Brasil.</w:t>
            </w:r>
          </w:p>
        </w:tc>
        <w:tc>
          <w:tcPr>
            <w:vAlign w:val="center"/>
          </w:tcPr>
          <w:p w:rsidR="00000000" w:rsidDel="00000000" w:rsidP="00000000" w:rsidRDefault="00000000" w:rsidRPr="00000000" w14:paraId="00000047">
            <w:pPr>
              <w:ind w:right="0" w:firstLine="0"/>
              <w:jc w:val="center"/>
              <w:rPr>
                <w:i w:val="1"/>
                <w:iCs w:val="1"/>
              </w:rPr>
            </w:pPr>
            <w:r w:rsidDel="00000000" w:rsidR="00000000" w:rsidRPr="00000000">
              <w:rPr>
                <w:rtl w:val="0"/>
              </w:rPr>
              <w:t xml:space="preserve">Azevedo </w:t>
            </w:r>
            <w:r w:rsidDel="00000000" w:rsidR="00000000" w:rsidRPr="00000000">
              <w:rPr>
                <w:i w:val="1"/>
                <w:iCs w:val="1"/>
                <w:rtl w:val="0"/>
              </w:rPr>
              <w:t xml:space="preserve">et al.</w:t>
            </w:r>
          </w:p>
        </w:tc>
        <w:tc>
          <w:tcPr>
            <w:vAlign w:val="center"/>
          </w:tcPr>
          <w:p w:rsidR="00000000" w:rsidDel="00000000" w:rsidP="00000000" w:rsidRDefault="00000000" w:rsidRPr="00000000" w14:paraId="00000048">
            <w:pPr>
              <w:ind w:right="0" w:firstLine="0"/>
              <w:jc w:val="center"/>
              <w:rPr/>
            </w:pPr>
            <w:r w:rsidDel="00000000" w:rsidR="00000000" w:rsidRPr="00000000">
              <w:rPr>
                <w:rtl w:val="0"/>
              </w:rPr>
              <w:t xml:space="preserve">2024</w:t>
            </w:r>
          </w:p>
        </w:tc>
        <w:tc>
          <w:tcPr>
            <w:vAlign w:val="center"/>
          </w:tcPr>
          <w:p w:rsidR="00000000" w:rsidDel="00000000" w:rsidP="00000000" w:rsidRDefault="00000000" w:rsidRPr="00000000" w14:paraId="00000049">
            <w:pPr>
              <w:ind w:right="0" w:firstLine="0"/>
              <w:jc w:val="center"/>
              <w:rPr/>
            </w:pPr>
            <w:r w:rsidDel="00000000" w:rsidR="00000000" w:rsidRPr="00000000">
              <w:rPr>
                <w:rtl w:val="0"/>
              </w:rPr>
              <w:t xml:space="preserve">Invisibilidade institucional; Vulnerabilidade preventiva; Táticas de autocuidado; Barreiras de acesso; Equidade em políticas públicas.</w:t>
            </w:r>
          </w:p>
        </w:tc>
        <w:tc>
          <w:tcPr>
            <w:vAlign w:val="center"/>
          </w:tcPr>
          <w:p w:rsidR="00000000" w:rsidDel="00000000" w:rsidP="00000000" w:rsidRDefault="00000000" w:rsidRPr="00000000" w14:paraId="0000004A">
            <w:pPr>
              <w:ind w:right="0" w:firstLine="0"/>
              <w:jc w:val="center"/>
              <w:rPr>
                <w:b w:val="1"/>
                <w:bCs w:val="1"/>
              </w:rPr>
            </w:pPr>
            <w:r w:rsidDel="00000000" w:rsidR="00000000" w:rsidRPr="00000000">
              <w:rPr>
                <w:rtl w:val="0"/>
              </w:rPr>
              <w:t xml:space="preserve">Pesquisa exploratória e descritiva, de abordagem qualitativa.</w:t>
            </w:r>
            <w:r w:rsidDel="00000000" w:rsidR="00000000" w:rsidRPr="00000000">
              <w:rPr>
                <w:rtl w:val="0"/>
              </w:rPr>
            </w:r>
          </w:p>
        </w:tc>
      </w:tr>
      <w:tr>
        <w:trPr>
          <w:cantSplit w:val="0"/>
          <w:trHeight w:val="1978" w:hRule="atLeast"/>
          <w:tblHeader w:val="0"/>
        </w:trPr>
        <w:tc>
          <w:tcPr>
            <w:tcBorders>
              <w:top w:color="000000" w:space="0" w:sz="4" w:val="single"/>
              <w:bottom w:color="000000" w:space="0" w:sz="4" w:val="single"/>
            </w:tcBorders>
            <w:vAlign w:val="center"/>
          </w:tcPr>
          <w:p w:rsidR="00000000" w:rsidDel="00000000" w:rsidP="00000000" w:rsidRDefault="00000000" w:rsidRPr="00000000" w14:paraId="0000004B">
            <w:pPr>
              <w:ind w:right="0" w:firstLine="0"/>
              <w:jc w:val="center"/>
              <w:rPr>
                <w:color w:val="000000"/>
              </w:rPr>
            </w:pPr>
            <w:r w:rsidDel="00000000" w:rsidR="00000000" w:rsidRPr="00000000">
              <w:rPr>
                <w:color w:val="000000"/>
                <w:rtl w:val="0"/>
              </w:rPr>
              <w:t xml:space="preserve">Política Nacional de Atenção Integral à Saúde da Mulher: protagonismo do movimento de mulheres</w:t>
            </w:r>
          </w:p>
          <w:p w:rsidR="00000000" w:rsidDel="00000000" w:rsidP="00000000" w:rsidRDefault="00000000" w:rsidRPr="00000000" w14:paraId="0000004C">
            <w:pPr>
              <w:spacing w:before="280" w:lineRule="auto"/>
              <w:ind w:right="0" w:firstLine="0"/>
              <w:jc w:val="center"/>
              <w:rPr>
                <w:color w:val="000000"/>
              </w:rPr>
            </w:pPr>
            <w:r w:rsidDel="00000000" w:rsidR="00000000" w:rsidRPr="00000000">
              <w:rPr>
                <w:rtl w:val="0"/>
              </w:rPr>
            </w:r>
          </w:p>
          <w:p w:rsidR="00000000" w:rsidDel="00000000" w:rsidP="00000000" w:rsidRDefault="00000000" w:rsidRPr="00000000" w14:paraId="0000004D">
            <w:pPr>
              <w:ind w:right="0" w:firstLine="0"/>
              <w:jc w:val="center"/>
              <w:rPr/>
            </w:pPr>
            <w:r w:rsidDel="00000000" w:rsidR="00000000" w:rsidRPr="00000000">
              <w:rPr>
                <w:rtl w:val="0"/>
              </w:rPr>
            </w:r>
          </w:p>
        </w:tc>
        <w:tc>
          <w:tcPr>
            <w:vAlign w:val="center"/>
          </w:tcPr>
          <w:p w:rsidR="00000000" w:rsidDel="00000000" w:rsidP="00000000" w:rsidRDefault="00000000" w:rsidRPr="00000000" w14:paraId="0000004E">
            <w:pPr>
              <w:ind w:right="0" w:firstLine="0"/>
              <w:jc w:val="center"/>
              <w:rPr/>
            </w:pPr>
            <w:r w:rsidDel="00000000" w:rsidR="00000000" w:rsidRPr="00000000">
              <w:rPr>
                <w:rtl w:val="0"/>
              </w:rPr>
              <w:t xml:space="preserve">Souto e Moreira</w:t>
            </w:r>
          </w:p>
        </w:tc>
        <w:tc>
          <w:tcPr>
            <w:vAlign w:val="center"/>
          </w:tcPr>
          <w:p w:rsidR="00000000" w:rsidDel="00000000" w:rsidP="00000000" w:rsidRDefault="00000000" w:rsidRPr="00000000" w14:paraId="0000004F">
            <w:pPr>
              <w:ind w:right="0" w:firstLine="0"/>
              <w:jc w:val="center"/>
              <w:rPr/>
            </w:pPr>
            <w:r w:rsidDel="00000000" w:rsidR="00000000" w:rsidRPr="00000000">
              <w:rPr>
                <w:rtl w:val="0"/>
              </w:rPr>
              <w:t xml:space="preserve">2021</w:t>
            </w:r>
          </w:p>
        </w:tc>
        <w:tc>
          <w:tcPr>
            <w:vAlign w:val="center"/>
          </w:tcPr>
          <w:p w:rsidR="00000000" w:rsidDel="00000000" w:rsidP="00000000" w:rsidRDefault="00000000" w:rsidRPr="00000000" w14:paraId="00000050">
            <w:pPr>
              <w:ind w:right="0" w:firstLine="0"/>
              <w:jc w:val="center"/>
              <w:rPr/>
            </w:pPr>
            <w:r w:rsidDel="00000000" w:rsidR="00000000" w:rsidRPr="00000000">
              <w:rPr>
                <w:rtl w:val="0"/>
              </w:rPr>
              <w:t xml:space="preserve">implementação e revisão da Política Nacional de Atenção Integral à Saúde da Mulher; Trajetória institucional e controle social; Abordagem relacional de gênero</w:t>
            </w:r>
          </w:p>
        </w:tc>
        <w:tc>
          <w:tcPr>
            <w:vAlign w:val="center"/>
          </w:tcPr>
          <w:p w:rsidR="00000000" w:rsidDel="00000000" w:rsidP="00000000" w:rsidRDefault="00000000" w:rsidRPr="00000000" w14:paraId="00000051">
            <w:pPr>
              <w:ind w:right="0" w:firstLine="0"/>
              <w:jc w:val="center"/>
              <w:rPr/>
            </w:pPr>
            <w:r w:rsidDel="00000000" w:rsidR="00000000" w:rsidRPr="00000000">
              <w:rPr>
                <w:rtl w:val="0"/>
              </w:rPr>
              <w:t xml:space="preserve">Pesquisa de revisão histórica e documental</w:t>
            </w:r>
          </w:p>
        </w:tc>
      </w:tr>
    </w:tbl>
    <w:p w:rsidR="00000000" w:rsidDel="00000000" w:rsidP="00000000" w:rsidRDefault="00000000" w:rsidRPr="00000000" w14:paraId="00000052">
      <w:pPr>
        <w:ind w:firstLine="0"/>
        <w:jc w:val="left"/>
        <w:rPr>
          <w:sz w:val="20"/>
          <w:szCs w:val="20"/>
        </w:rPr>
      </w:pPr>
      <w:r w:rsidDel="00000000" w:rsidR="00000000" w:rsidRPr="00000000">
        <w:rPr>
          <w:b w:val="1"/>
          <w:bCs w:val="1"/>
          <w:sz w:val="20"/>
          <w:szCs w:val="20"/>
          <w:rtl w:val="0"/>
        </w:rPr>
        <w:t xml:space="preserve">Fonte:</w:t>
      </w:r>
      <w:r w:rsidDel="00000000" w:rsidR="00000000" w:rsidRPr="00000000">
        <w:rPr>
          <w:sz w:val="20"/>
          <w:szCs w:val="20"/>
          <w:rtl w:val="0"/>
        </w:rPr>
        <w:t xml:space="preserve"> elaborado pelo autores, 2026.</w:t>
      </w:r>
    </w:p>
    <w:p w:rsidR="00000000" w:rsidDel="00000000" w:rsidP="00000000" w:rsidRDefault="00000000" w:rsidRPr="00000000" w14:paraId="00000053">
      <w:pPr>
        <w:spacing w:line="360" w:lineRule="auto"/>
        <w:ind w:firstLine="708"/>
        <w:rPr/>
      </w:pPr>
      <w:r w:rsidDel="00000000" w:rsidR="00000000" w:rsidRPr="00000000">
        <w:rPr>
          <w:rtl w:val="0"/>
        </w:rPr>
      </w:r>
    </w:p>
    <w:p w:rsidR="00000000" w:rsidDel="00000000" w:rsidP="00000000" w:rsidRDefault="00000000" w:rsidRPr="00000000" w14:paraId="00000054">
      <w:pPr>
        <w:spacing w:line="360" w:lineRule="auto"/>
        <w:ind w:firstLine="708"/>
        <w:rPr/>
      </w:pPr>
      <w:r w:rsidDel="00000000" w:rsidR="00000000" w:rsidRPr="00000000">
        <w:rPr>
          <w:rtl w:val="0"/>
        </w:rPr>
        <w:t xml:space="preserve">Costa, Bonan e Rodrigues (2024) ao discutirem os 40 anos do Programa de Assistência Integral à Saúde da Mulher (PAISM), os autores destacam que o programa representou uma mudança histórica na saúde pública, compreendendo a saúde feminina e ampliando o cuidado para além da maternidade e do período do reprodutivo. A proposta defendia que a mulher tivesse atendimento integral, autonomia e direito a decidir sobre sua reprodução, dessa forma, a informação passou a ser entendida como um instrumento fundamental para promover autonomia, prevenir doenças e possibilitar escolhas conscientes sobre o cuidado com a saúde.</w:t>
      </w:r>
    </w:p>
    <w:p w:rsidR="00000000" w:rsidDel="00000000" w:rsidP="00000000" w:rsidRDefault="00000000" w:rsidRPr="00000000" w14:paraId="00000055">
      <w:pPr>
        <w:spacing w:line="360" w:lineRule="auto"/>
        <w:ind w:firstLine="708"/>
        <w:rPr/>
      </w:pPr>
      <w:r w:rsidDel="00000000" w:rsidR="00000000" w:rsidRPr="00000000">
        <w:rPr>
          <w:rtl w:val="0"/>
        </w:rPr>
        <w:t xml:space="preserve">Nesse contexto, Souto e Moreira (2021) abordam a construção da política nacional de atenção integral à saúde da mulher (PNAISM), destacando principalmente a importância da participação dos movimentos de mulheres e feministas nesse processo, os autores demonstram que a participação social contribuiu para ampliar o reconhecimento das mulheres como sujeitos de direitos e para fortalecer uma assistência baseada nos princípios da integralidade, da equidade e do acesso universal aos serviços de saúde.</w:t>
      </w:r>
    </w:p>
    <w:p w:rsidR="00000000" w:rsidDel="00000000" w:rsidP="00000000" w:rsidRDefault="00000000" w:rsidRPr="00000000" w14:paraId="00000056">
      <w:pPr>
        <w:spacing w:line="360" w:lineRule="auto"/>
        <w:ind w:firstLine="708"/>
        <w:rPr/>
      </w:pPr>
      <w:r w:rsidDel="00000000" w:rsidR="00000000" w:rsidRPr="00000000">
        <w:rPr>
          <w:rtl w:val="0"/>
        </w:rPr>
        <w:t xml:space="preserve">Dessa forma, os estudos de Costa, Bonan e Rodrigues (2024) e Souto e Moreira (2021) evidenciaram a evolução das políticas públicas voltadas à saúde das mulheres no Brasil. Enquanto o PAISM representou um importante marco na superação de um modelo de assistência centrado apenas na maternidade, a PNAISM contribuiu para fortalecer uma abordagem que considera as diferentes necessidades das mulheres durante todas as fases da vida. Enfatizando o avanço na garantia dos direitos das mulheres e reforçando a necessidade de uma assistência em saúde humanizada e integral em diferentes necessidades. </w:t>
      </w:r>
    </w:p>
    <w:p w:rsidR="00000000" w:rsidDel="00000000" w:rsidP="00000000" w:rsidRDefault="00000000" w:rsidRPr="00000000" w14:paraId="00000057">
      <w:pPr>
        <w:spacing w:line="360" w:lineRule="auto"/>
        <w:ind w:firstLine="708"/>
        <w:rPr/>
      </w:pPr>
      <w:r w:rsidDel="00000000" w:rsidR="00000000" w:rsidRPr="00000000">
        <w:rPr>
          <w:rtl w:val="0"/>
        </w:rPr>
        <w:t xml:space="preserve">Apesar dos avanços das políticas públicas, Couto </w:t>
      </w:r>
      <w:r w:rsidDel="00000000" w:rsidR="00000000" w:rsidRPr="00000000">
        <w:rPr>
          <w:i w:val="1"/>
          <w:iCs w:val="1"/>
          <w:rtl w:val="0"/>
        </w:rPr>
        <w:t xml:space="preserve">et al.</w:t>
      </w:r>
      <w:r w:rsidDel="00000000" w:rsidR="00000000" w:rsidRPr="00000000">
        <w:rPr>
          <w:rtl w:val="0"/>
        </w:rPr>
        <w:t xml:space="preserve"> (2025) ao avaliarem os serviços de atenção primária à saúde no estado de São Paulo, identificaram fragilidades na organização da atenção à saúde da mulher, com menor frequência de ações relacionadas à educação e à promoção da saúde. Esses resultados demonstram que a disponibilidade dos serviços não é suficiente para garantir uma assistência integral, sendo necessário estratégias educativas capazes de ampliar o acesso à informação e favorecer a construção de conhecimento em saúde.</w:t>
      </w:r>
    </w:p>
    <w:p w:rsidR="00000000" w:rsidDel="00000000" w:rsidP="00000000" w:rsidRDefault="00000000" w:rsidRPr="00000000" w14:paraId="00000058">
      <w:pPr>
        <w:spacing w:line="360" w:lineRule="auto"/>
        <w:ind w:firstLine="708"/>
        <w:rPr/>
      </w:pPr>
      <w:r w:rsidDel="00000000" w:rsidR="00000000" w:rsidRPr="00000000">
        <w:rPr>
          <w:rtl w:val="0"/>
        </w:rPr>
        <w:t xml:space="preserve">Os achados de Couto </w:t>
      </w:r>
      <w:r w:rsidDel="00000000" w:rsidR="00000000" w:rsidRPr="00000000">
        <w:rPr>
          <w:i w:val="1"/>
          <w:iCs w:val="1"/>
          <w:rtl w:val="0"/>
        </w:rPr>
        <w:t xml:space="preserve">et al. </w:t>
      </w:r>
      <w:r w:rsidDel="00000000" w:rsidR="00000000" w:rsidRPr="00000000">
        <w:rPr>
          <w:rtl w:val="0"/>
        </w:rPr>
        <w:t xml:space="preserve">(2025) reforçam, portanto, a importância da educação em saúde como estratégia para aproximar as mulheres dos serviços. A oferta de informações claras e acessíveis pode contribuir para que as usuárias reconheçam suas necessidades, compreendam as formas de prevenção e saibam onde buscar atendimento. Assim, a informação deixa de ser apenas um recurso educativo e passa a exercer papel importante na autonomia das mulheres e na efetivação dos direitos assegurados pelas políticas públicas de saúde.</w:t>
      </w:r>
    </w:p>
    <w:p w:rsidR="00000000" w:rsidDel="00000000" w:rsidP="00000000" w:rsidRDefault="00000000" w:rsidRPr="00000000" w14:paraId="00000059">
      <w:pPr>
        <w:spacing w:line="360" w:lineRule="auto"/>
        <w:ind w:firstLine="708"/>
        <w:rPr/>
      </w:pPr>
      <w:r w:rsidDel="00000000" w:rsidR="00000000" w:rsidRPr="00000000">
        <w:rPr>
          <w:rtl w:val="0"/>
        </w:rPr>
        <w:t xml:space="preserve">Além disso, Carvalho </w:t>
      </w:r>
      <w:r w:rsidDel="00000000" w:rsidR="00000000" w:rsidRPr="00000000">
        <w:rPr>
          <w:i w:val="1"/>
          <w:iCs w:val="1"/>
          <w:rtl w:val="0"/>
        </w:rPr>
        <w:t xml:space="preserve">et al.</w:t>
      </w:r>
      <w:r w:rsidDel="00000000" w:rsidR="00000000" w:rsidRPr="00000000">
        <w:rPr>
          <w:rtl w:val="0"/>
        </w:rPr>
        <w:t xml:space="preserve"> (2026) evidenciaram a existência de desigualdades na realização de exames preventivos entre mulheres com 50 anos ou mais, destacando a influência de fatores como raça, cor, escolaridade e condições socioeconômicas. Os resultados demonstram que mulheres pertencentes a diferentes grupos sociais podem apresentar oportunidades distintas para acessar ações preventivas e serviços de saúde, além da disponibilidade dos serviços, é necessário considerar as condições que podem dificultar o acesso à informação e, consequentemente, a utilização das medidas preventivas disponíveis.</w:t>
      </w:r>
    </w:p>
    <w:p w:rsidR="00000000" w:rsidDel="00000000" w:rsidP="00000000" w:rsidRDefault="00000000" w:rsidRPr="00000000" w14:paraId="0000005A">
      <w:pPr>
        <w:spacing w:line="360" w:lineRule="auto"/>
        <w:ind w:firstLine="708"/>
        <w:rPr/>
      </w:pPr>
      <w:r w:rsidDel="00000000" w:rsidR="00000000" w:rsidRPr="00000000">
        <w:rPr>
          <w:rtl w:val="0"/>
        </w:rPr>
        <w:t xml:space="preserve">De maneira semelhante relacionado às desigualdades no acesso à saúde, Oliveira </w:t>
      </w:r>
      <w:r w:rsidDel="00000000" w:rsidR="00000000" w:rsidRPr="00000000">
        <w:rPr>
          <w:i w:val="1"/>
          <w:iCs w:val="1"/>
          <w:rtl w:val="0"/>
        </w:rPr>
        <w:t xml:space="preserve">et al. </w:t>
      </w:r>
      <w:r w:rsidDel="00000000" w:rsidR="00000000" w:rsidRPr="00000000">
        <w:rPr>
          <w:rtl w:val="0"/>
        </w:rPr>
        <w:t xml:space="preserve">(2025) demonstraram que mulheres não brancas, com menor renda e escolaridade apresentam maiores dificuldades de acesso aos serviços de saúde. Os autores destacam ainda que a escolaridade influencia tanto a procura pelos serviços quanto a obtenção do cuidado, uma vez que, por meio da educação, as mulheres adquirem informações e desenvolvem maior conscientização sobre fatores que podem influenciar sua saúde.</w:t>
      </w:r>
    </w:p>
    <w:p w:rsidR="00000000" w:rsidDel="00000000" w:rsidP="00000000" w:rsidRDefault="00000000" w:rsidRPr="00000000" w14:paraId="0000005B">
      <w:pPr>
        <w:spacing w:line="360" w:lineRule="auto"/>
        <w:ind w:firstLine="708"/>
        <w:rPr/>
      </w:pPr>
      <w:r w:rsidDel="00000000" w:rsidR="00000000" w:rsidRPr="00000000">
        <w:rPr>
          <w:rtl w:val="0"/>
        </w:rPr>
        <w:t xml:space="preserve">Azevedo </w:t>
      </w:r>
      <w:r w:rsidDel="00000000" w:rsidR="00000000" w:rsidRPr="00000000">
        <w:rPr>
          <w:i w:val="1"/>
          <w:iCs w:val="1"/>
          <w:rtl w:val="0"/>
        </w:rPr>
        <w:t xml:space="preserve">et al. </w:t>
      </w:r>
      <w:r w:rsidDel="00000000" w:rsidR="00000000" w:rsidRPr="00000000">
        <w:rPr>
          <w:rtl w:val="0"/>
        </w:rPr>
        <w:t xml:space="preserve">(2024) evidenciam que mulheres lésbicas enfrentam situações de invisibilidade institucional e barreiras no acesso aos serviços de saúde, demonstrando que a existência desses serviços não garante, por si só, um atendimento integral e adequado. Nesse sentido, destaca-se a importância de uma assistência acolhedora, qualificada e atenta à diversidade sexual.</w:t>
      </w:r>
    </w:p>
    <w:p w:rsidR="00000000" w:rsidDel="00000000" w:rsidP="00000000" w:rsidRDefault="00000000" w:rsidRPr="00000000" w14:paraId="0000005C">
      <w:pPr>
        <w:spacing w:line="360" w:lineRule="auto"/>
        <w:ind w:firstLine="708"/>
        <w:rPr/>
      </w:pPr>
      <w:r w:rsidDel="00000000" w:rsidR="00000000" w:rsidRPr="00000000">
        <w:rPr>
          <w:rtl w:val="0"/>
        </w:rPr>
        <w:t xml:space="preserve">Com isso, Rosa e Silva (2023) analisam as políticas de saúde da mulher a partir das relações entre gênero, saúde e reprodução, mostrando que determinadas concepções sobre o corpo e a sexualidade influenciam o reconhecimento das necessidades femininas. Assim, os dois estudos apontam que a garantia do direito à saúde depende de políticas inclusivas, serviços acessíveis e práticas de cuidado que reconheçam a diversidade e promovam a equidade. </w:t>
      </w:r>
    </w:p>
    <w:p w:rsidR="00000000" w:rsidDel="00000000" w:rsidP="00000000" w:rsidRDefault="00000000" w:rsidRPr="00000000" w14:paraId="0000005D">
      <w:pPr>
        <w:spacing w:line="360" w:lineRule="auto"/>
        <w:ind w:firstLine="708"/>
        <w:rPr/>
      </w:pPr>
      <w:r w:rsidDel="00000000" w:rsidR="00000000" w:rsidRPr="00000000">
        <w:rPr>
          <w:rtl w:val="0"/>
        </w:rPr>
        <w:t xml:space="preserve">Nesse contexto, a informação em saúde constitui um elemento fundamental para fortalecer a autonomia, favorecer a prevenção e ampliar a capacidade de busca por atendimento. Entretanto, para que cumpra esse papel, deve ser disponibilizada de forma clara, acessível e adequada às diferentes realidades sociais e culturais. Assim, ampliar as estratégias de educação e informação em saúde pode contribuir para reduzir barreiras de acesso e fortalecer a efetivação dos direitos das mulheres de maneira integral e equitativa.</w:t>
      </w:r>
    </w:p>
    <w:p w:rsidR="00000000" w:rsidDel="00000000" w:rsidP="00000000" w:rsidRDefault="00000000" w:rsidRPr="00000000" w14:paraId="0000005E">
      <w:pPr>
        <w:pStyle w:val="Heading1"/>
        <w:ind w:left="0" w:right="0" w:firstLine="0"/>
        <w:rPr/>
      </w:pPr>
      <w:r w:rsidDel="00000000" w:rsidR="00000000" w:rsidRPr="00000000">
        <w:rPr>
          <w:rtl w:val="0"/>
        </w:rPr>
      </w:r>
    </w:p>
    <w:p w:rsidR="00000000" w:rsidDel="00000000" w:rsidP="00000000" w:rsidRDefault="00000000" w:rsidRPr="00000000" w14:paraId="0000005F">
      <w:pPr>
        <w:pStyle w:val="Heading1"/>
        <w:ind w:left="0" w:right="0" w:firstLine="0"/>
        <w:rPr/>
      </w:pPr>
      <w:r w:rsidDel="00000000" w:rsidR="00000000" w:rsidRPr="00000000">
        <w:rPr>
          <w:rtl w:val="0"/>
        </w:rPr>
        <w:t xml:space="preserve">5 CONSIDERAÇÕES FINAIS </w:t>
      </w:r>
    </w:p>
    <w:p w:rsidR="00000000" w:rsidDel="00000000" w:rsidP="00000000" w:rsidRDefault="00000000" w:rsidRPr="00000000" w14:paraId="00000060">
      <w:pPr>
        <w:rPr/>
      </w:pPr>
      <w:r w:rsidDel="00000000" w:rsidR="00000000" w:rsidRPr="00000000">
        <w:rPr>
          <w:rtl w:val="0"/>
        </w:rPr>
        <w:t xml:space="preserve">A partir dos estudos analisados, foi observado que, apesar dos avanços nas políticas públicas voltadas à saúde da mulher e da existência de direitos assegurados por legislações brasileiras, ainda persistem barreiras que dificultam o acesso integral e equitativo aos serviços de saúde. As desigualdades sociais, as fragilidades nas ações de educação em saúde e as dificuldades no acesso à informação podem criar limitações ao conhecimento e a utilização dos serviços disponíveis. Nesse contexto, a informação em saúde da mulher mostra-se fundamental para fortalecer sua autonomia, favorecer a prevenção e contribuir para que conheçam seus direitos e busquem atendimento de acordo com suas necessidades. Dessa forma, ampliar estratégias de educação e informação, de maneira acessível e adequada às diferentes realidades sociais e culturais, pode contribuir para a redução das barreiras de acesso e para a efetivação dos direitos à saúde da mulher.</w:t>
      </w:r>
    </w:p>
    <w:p w:rsidR="00000000" w:rsidDel="00000000" w:rsidP="00000000" w:rsidRDefault="00000000" w:rsidRPr="00000000" w14:paraId="00000061">
      <w:pPr>
        <w:pStyle w:val="Heading1"/>
        <w:ind w:right="0" w:firstLine="40"/>
        <w:rPr/>
      </w:pPr>
      <w:r w:rsidDel="00000000" w:rsidR="00000000" w:rsidRPr="00000000">
        <w:rPr>
          <w:rtl w:val="0"/>
        </w:rPr>
      </w:r>
    </w:p>
    <w:p w:rsidR="00000000" w:rsidDel="00000000" w:rsidP="00000000" w:rsidRDefault="00000000" w:rsidRPr="00000000" w14:paraId="00000062">
      <w:pPr>
        <w:pStyle w:val="Heading1"/>
        <w:ind w:right="0" w:firstLine="40"/>
        <w:rPr/>
      </w:pPr>
      <w:r w:rsidDel="00000000" w:rsidR="00000000" w:rsidRPr="00000000">
        <w:rPr>
          <w:rtl w:val="0"/>
        </w:rPr>
        <w:t xml:space="preserve"> </w:t>
        <w:tab/>
        <w:tab/>
        <w:tab/>
        <w:tab/>
        <w:tab/>
        <w:t xml:space="preserve">REFERÊNCIAS </w:t>
      </w:r>
    </w:p>
    <w:p w:rsidR="00000000" w:rsidDel="00000000" w:rsidP="00000000" w:rsidRDefault="00000000" w:rsidRPr="00000000" w14:paraId="00000063">
      <w:pPr>
        <w:spacing w:line="240" w:lineRule="auto"/>
        <w:ind w:firstLine="0"/>
        <w:jc w:val="left"/>
        <w:rPr>
          <w:sz w:val="22"/>
          <w:szCs w:val="22"/>
        </w:rPr>
      </w:pPr>
      <w:r w:rsidDel="00000000" w:rsidR="00000000" w:rsidRPr="00000000">
        <w:rPr>
          <w:sz w:val="22"/>
          <w:szCs w:val="22"/>
          <w:rtl w:val="0"/>
        </w:rPr>
        <w:t xml:space="preserve">AZEVEDO, Gabriela Rith Beltrão. Saúde sexual e acesso aos serviços para mulheres lésbicas em Manaus, Amazonas, Brasil. </w:t>
      </w:r>
      <w:r w:rsidDel="00000000" w:rsidR="00000000" w:rsidRPr="00000000">
        <w:rPr>
          <w:b w:val="1"/>
          <w:bCs w:val="1"/>
          <w:sz w:val="22"/>
          <w:szCs w:val="22"/>
          <w:rtl w:val="0"/>
        </w:rPr>
        <w:t xml:space="preserve">Ciência &amp; Saúde Coletiva</w:t>
      </w:r>
      <w:r w:rsidDel="00000000" w:rsidR="00000000" w:rsidRPr="00000000">
        <w:rPr>
          <w:sz w:val="22"/>
          <w:szCs w:val="22"/>
          <w:rtl w:val="0"/>
        </w:rPr>
        <w:t xml:space="preserve">, v. 29, n. 5, e03512023, 2024. DOI: 10.1590/1413-81232024295.03512023. Disponível em: https://www.scielo.br/j/csc/a/yJyGBbt8xz73yhqXfDpkRjQ/?lang=pt.</w:t>
      </w:r>
    </w:p>
    <w:p w:rsidR="00000000" w:rsidDel="00000000" w:rsidP="00000000" w:rsidRDefault="00000000" w:rsidRPr="00000000" w14:paraId="00000064">
      <w:pPr>
        <w:spacing w:after="97" w:line="259" w:lineRule="auto"/>
        <w:ind w:right="0" w:firstLine="0"/>
        <w:jc w:val="center"/>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65">
      <w:pPr>
        <w:spacing w:line="240" w:lineRule="auto"/>
        <w:ind w:left="-5" w:right="0" w:hanging="10"/>
        <w:jc w:val="left"/>
        <w:rPr/>
      </w:pPr>
      <w:r w:rsidDel="00000000" w:rsidR="00000000" w:rsidRPr="00000000">
        <w:rPr>
          <w:color w:val="000000"/>
          <w:sz w:val="22"/>
          <w:szCs w:val="22"/>
          <w:rtl w:val="0"/>
        </w:rPr>
        <w:t xml:space="preserve">BRASIL. Lei nº 11.664, de 29 de abril de 2008. Dispõe sobre a efetivação de ações de saúde que assegurem a prevenção, a detecção, o tratamento e o seguimento dos cânceres do colo uterino e de mama, no âmbito do Sistema Único de Saúde - SUS. Brasília, DF: Presidência da República, 2008. Disponível em: https://www.planalto.gov.br/ccivil_03/_ato2007-2010/2008/lei/l11664.htm </w:t>
      </w:r>
      <w:r w:rsidDel="00000000" w:rsidR="00000000" w:rsidRPr="00000000">
        <w:rPr>
          <w:rtl w:val="0"/>
        </w:rPr>
      </w:r>
    </w:p>
    <w:p w:rsidR="00000000" w:rsidDel="00000000" w:rsidP="00000000" w:rsidRDefault="00000000" w:rsidRPr="00000000" w14:paraId="00000066">
      <w:pPr>
        <w:spacing w:after="0" w:line="259" w:lineRule="auto"/>
        <w:ind w:right="0" w:firstLine="0"/>
        <w:jc w:val="left"/>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67">
      <w:pPr>
        <w:spacing w:line="240" w:lineRule="auto"/>
        <w:ind w:left="-5" w:right="0" w:hanging="10"/>
        <w:jc w:val="left"/>
        <w:rPr/>
      </w:pPr>
      <w:r w:rsidDel="00000000" w:rsidR="00000000" w:rsidRPr="00000000">
        <w:rPr>
          <w:color w:val="000000"/>
          <w:sz w:val="22"/>
          <w:szCs w:val="22"/>
          <w:rtl w:val="0"/>
        </w:rPr>
        <w:t xml:space="preserve">BRASIL. Lei nº 13.896, de 30 de outubro de 2019. Altera a Lei nº 12.732, de 22 de novembro de 2012, para que os exames relacionados ao diagnóstico de neoplasia maligna sejam realizados no prazo de 30 (trinta) dias, no caso em que especifica. Brasília, DF: Presidência da República, 2019. Disponível em: https://www.planalto.gov.br/ccivil_03/_ato2019-2022/2019/lei/l13896.htm </w:t>
      </w:r>
      <w:r w:rsidDel="00000000" w:rsidR="00000000" w:rsidRPr="00000000">
        <w:rPr>
          <w:rtl w:val="0"/>
        </w:rPr>
      </w:r>
    </w:p>
    <w:p w:rsidR="00000000" w:rsidDel="00000000" w:rsidP="00000000" w:rsidRDefault="00000000" w:rsidRPr="00000000" w14:paraId="00000068">
      <w:pPr>
        <w:spacing w:after="0" w:line="259" w:lineRule="auto"/>
        <w:ind w:right="0" w:firstLine="0"/>
        <w:jc w:val="left"/>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69">
      <w:pPr>
        <w:spacing w:line="240" w:lineRule="auto"/>
        <w:ind w:left="-5" w:right="0" w:hanging="10"/>
        <w:jc w:val="left"/>
        <w:rPr/>
      </w:pPr>
      <w:r w:rsidDel="00000000" w:rsidR="00000000" w:rsidRPr="00000000">
        <w:rPr>
          <w:color w:val="000000"/>
          <w:sz w:val="22"/>
          <w:szCs w:val="22"/>
          <w:rtl w:val="0"/>
        </w:rPr>
        <w:t xml:space="preserve">BRASIL. Lei nº 14.737, de 27 de novembro de 2023. Altera a Lei nº 8.080, de 19 de setembro de 1990, para ampliar o direito da mulher de ter acompanhante nos atendimentos realizados em serviços de saúde públicos e privados. Brasília, DF: Presidência da República, 2023. Disponível em: </w:t>
      </w:r>
      <w:r w:rsidDel="00000000" w:rsidR="00000000" w:rsidRPr="00000000">
        <w:rPr>
          <w:rtl w:val="0"/>
        </w:rPr>
      </w:r>
    </w:p>
    <w:p w:rsidR="00000000" w:rsidDel="00000000" w:rsidP="00000000" w:rsidRDefault="00000000" w:rsidRPr="00000000" w14:paraId="0000006A">
      <w:pPr>
        <w:spacing w:after="11" w:line="246" w:lineRule="auto"/>
        <w:ind w:left="-5" w:right="54" w:hanging="10"/>
        <w:jc w:val="left"/>
        <w:rPr/>
      </w:pPr>
      <w:r w:rsidDel="00000000" w:rsidR="00000000" w:rsidRPr="00000000">
        <w:rPr>
          <w:color w:val="000000"/>
          <w:sz w:val="22"/>
          <w:szCs w:val="22"/>
          <w:rtl w:val="0"/>
        </w:rPr>
        <w:t xml:space="preserve">https://www.planalto.gov.br/ccivil_03/_ato2023-2026/2023/lei/l14737.htm </w:t>
      </w:r>
      <w:r w:rsidDel="00000000" w:rsidR="00000000" w:rsidRPr="00000000">
        <w:rPr>
          <w:rtl w:val="0"/>
        </w:rPr>
      </w:r>
    </w:p>
    <w:p w:rsidR="00000000" w:rsidDel="00000000" w:rsidP="00000000" w:rsidRDefault="00000000" w:rsidRPr="00000000" w14:paraId="0000006B">
      <w:pPr>
        <w:spacing w:after="0" w:line="259" w:lineRule="auto"/>
        <w:ind w:right="0" w:firstLine="0"/>
        <w:jc w:val="left"/>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6C">
      <w:pPr>
        <w:spacing w:after="11" w:line="246" w:lineRule="auto"/>
        <w:ind w:left="-5" w:right="54" w:hanging="10"/>
        <w:jc w:val="left"/>
        <w:rPr/>
      </w:pPr>
      <w:r w:rsidDel="00000000" w:rsidR="00000000" w:rsidRPr="00000000">
        <w:rPr>
          <w:color w:val="000000"/>
          <w:sz w:val="22"/>
          <w:szCs w:val="22"/>
          <w:rtl w:val="0"/>
        </w:rPr>
        <w:t xml:space="preserve">BRASIL. Saúde da mulher. Ministério da Saúde. Brasília, DF: Ministério da Saúde. Disponível em: Saúde da Mulher — Ministério da Saúde </w:t>
      </w:r>
      <w:r w:rsidDel="00000000" w:rsidR="00000000" w:rsidRPr="00000000">
        <w:rPr>
          <w:rtl w:val="0"/>
        </w:rPr>
      </w:r>
    </w:p>
    <w:p w:rsidR="00000000" w:rsidDel="00000000" w:rsidP="00000000" w:rsidRDefault="00000000" w:rsidRPr="00000000" w14:paraId="0000006D">
      <w:pPr>
        <w:spacing w:after="0" w:line="259" w:lineRule="auto"/>
        <w:ind w:right="0" w:firstLine="0"/>
        <w:jc w:val="left"/>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6E">
      <w:pPr>
        <w:spacing w:after="11" w:line="246" w:lineRule="auto"/>
        <w:ind w:left="-5" w:right="54" w:hanging="10"/>
        <w:jc w:val="left"/>
        <w:rPr/>
      </w:pPr>
      <w:r w:rsidDel="00000000" w:rsidR="00000000" w:rsidRPr="00000000">
        <w:rPr>
          <w:color w:val="000000"/>
          <w:sz w:val="22"/>
          <w:szCs w:val="22"/>
          <w:rtl w:val="0"/>
        </w:rPr>
        <w:t xml:space="preserve">BRASIL. Sistema Único de Saúde - SUS. Ministério da Saúde. Brasília, DF: Ministério da Saúde. Disponível em: Sistema Único de Saúde - SUS — Ministério da Saúde </w:t>
      </w:r>
      <w:r w:rsidDel="00000000" w:rsidR="00000000" w:rsidRPr="00000000">
        <w:rPr>
          <w:rtl w:val="0"/>
        </w:rPr>
      </w:r>
    </w:p>
    <w:p w:rsidR="00000000" w:rsidDel="00000000" w:rsidP="00000000" w:rsidRDefault="00000000" w:rsidRPr="00000000" w14:paraId="0000006F">
      <w:pPr>
        <w:spacing w:after="0" w:line="259" w:lineRule="auto"/>
        <w:ind w:right="0" w:firstLine="0"/>
        <w:jc w:val="left"/>
        <w:rPr>
          <w:color w:val="000000"/>
          <w:sz w:val="22"/>
          <w:szCs w:val="22"/>
        </w:rPr>
      </w:pPr>
      <w:r w:rsidDel="00000000" w:rsidR="00000000" w:rsidRPr="00000000">
        <w:rPr>
          <w:color w:val="000000"/>
          <w:sz w:val="22"/>
          <w:szCs w:val="22"/>
          <w:rtl w:val="0"/>
        </w:rPr>
        <w:t xml:space="preserve"> </w:t>
      </w:r>
    </w:p>
    <w:p w:rsidR="00000000" w:rsidDel="00000000" w:rsidP="00000000" w:rsidRDefault="00000000" w:rsidRPr="00000000" w14:paraId="00000070">
      <w:pPr>
        <w:spacing w:after="0" w:line="259" w:lineRule="auto"/>
        <w:ind w:right="0" w:firstLine="0"/>
        <w:jc w:val="left"/>
        <w:rPr>
          <w:color w:val="000000"/>
          <w:sz w:val="22"/>
          <w:szCs w:val="22"/>
        </w:rPr>
      </w:pPr>
      <w:r w:rsidDel="00000000" w:rsidR="00000000" w:rsidRPr="00000000">
        <w:rPr>
          <w:color w:val="000000"/>
          <w:sz w:val="22"/>
          <w:szCs w:val="22"/>
          <w:rtl w:val="0"/>
        </w:rPr>
        <w:t xml:space="preserve">CARVALHO, Poliana Fialho. Desigualdades sociais na realização de exames preventivos entre mulheres mais velhas (50+): evidências do ELSI-Brasil. </w:t>
      </w:r>
      <w:r w:rsidDel="00000000" w:rsidR="00000000" w:rsidRPr="00000000">
        <w:rPr>
          <w:b w:val="1"/>
          <w:bCs w:val="1"/>
          <w:color w:val="000000"/>
          <w:sz w:val="22"/>
          <w:szCs w:val="22"/>
          <w:rtl w:val="0"/>
        </w:rPr>
        <w:t xml:space="preserve">Ciência &amp; Saúde Coletiva</w:t>
      </w:r>
      <w:r w:rsidDel="00000000" w:rsidR="00000000" w:rsidRPr="00000000">
        <w:rPr>
          <w:color w:val="000000"/>
          <w:sz w:val="22"/>
          <w:szCs w:val="22"/>
          <w:rtl w:val="0"/>
        </w:rPr>
        <w:t xml:space="preserve">, v. 31, n. 8, e17742024, 2026. DOI: 10.1590/1413-81232026318.17742024. Disponível em: https://www.scielo.br/j/csc/a/VHqQwNCLRqgNffDzPVsryxQ/?lang=pt.</w:t>
      </w:r>
    </w:p>
    <w:p w:rsidR="00000000" w:rsidDel="00000000" w:rsidP="00000000" w:rsidRDefault="00000000" w:rsidRPr="00000000" w14:paraId="00000071">
      <w:pPr>
        <w:spacing w:after="0" w:line="259" w:lineRule="auto"/>
        <w:ind w:right="0" w:firstLine="0"/>
        <w:jc w:val="left"/>
        <w:rPr/>
      </w:pPr>
      <w:r w:rsidDel="00000000" w:rsidR="00000000" w:rsidRPr="00000000">
        <w:rPr>
          <w:rtl w:val="0"/>
        </w:rPr>
      </w:r>
    </w:p>
    <w:p w:rsidR="00000000" w:rsidDel="00000000" w:rsidP="00000000" w:rsidRDefault="00000000" w:rsidRPr="00000000" w14:paraId="00000072">
      <w:pPr>
        <w:spacing w:after="11" w:line="246" w:lineRule="auto"/>
        <w:ind w:left="-5" w:right="54" w:hanging="10"/>
        <w:jc w:val="left"/>
        <w:rPr/>
      </w:pPr>
      <w:r w:rsidDel="00000000" w:rsidR="00000000" w:rsidRPr="00000000">
        <w:rPr>
          <w:color w:val="000000"/>
          <w:sz w:val="22"/>
          <w:szCs w:val="22"/>
          <w:rtl w:val="0"/>
        </w:rPr>
        <w:t xml:space="preserve">CAVALCANTI, Euni de Oliveira. Visão multidimensional do nível de letramento em saúde de pacientes adultos na atenção primária à saúde. </w:t>
      </w:r>
      <w:r w:rsidDel="00000000" w:rsidR="00000000" w:rsidRPr="00000000">
        <w:rPr>
          <w:b w:val="1"/>
          <w:bCs w:val="1"/>
          <w:color w:val="000000"/>
          <w:sz w:val="22"/>
          <w:szCs w:val="22"/>
          <w:rtl w:val="0"/>
        </w:rPr>
        <w:t xml:space="preserve">Texto &amp; Contexto - Enfermagem,</w:t>
      </w:r>
      <w:r w:rsidDel="00000000" w:rsidR="00000000" w:rsidRPr="00000000">
        <w:rPr>
          <w:color w:val="000000"/>
          <w:sz w:val="22"/>
          <w:szCs w:val="22"/>
          <w:rtl w:val="0"/>
        </w:rPr>
        <w:t xml:space="preserve"> v. 33, e20240082, 2024. DOI: 10.1590/1980-265X-TCE-2024-0082pt. Disponível em: https://www.scielo.br/j/tce/a/3wsWBDbt5LxHTkqgCksmvvv/?lang=pt </w:t>
      </w:r>
      <w:r w:rsidDel="00000000" w:rsidR="00000000" w:rsidRPr="00000000">
        <w:rPr>
          <w:rtl w:val="0"/>
        </w:rPr>
      </w:r>
    </w:p>
    <w:p w:rsidR="00000000" w:rsidDel="00000000" w:rsidP="00000000" w:rsidRDefault="00000000" w:rsidRPr="00000000" w14:paraId="00000073">
      <w:pPr>
        <w:spacing w:after="0" w:line="259" w:lineRule="auto"/>
        <w:ind w:right="0" w:firstLine="0"/>
        <w:jc w:val="left"/>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74">
      <w:pPr>
        <w:spacing w:after="11" w:line="246" w:lineRule="auto"/>
        <w:ind w:left="-5" w:right="54" w:hanging="10"/>
        <w:jc w:val="left"/>
        <w:rPr/>
      </w:pPr>
      <w:r w:rsidDel="00000000" w:rsidR="00000000" w:rsidRPr="00000000">
        <w:rPr>
          <w:color w:val="000000"/>
          <w:sz w:val="22"/>
          <w:szCs w:val="22"/>
          <w:rtl w:val="0"/>
        </w:rPr>
        <w:t xml:space="preserve">COSTA, Ana Maria; BONAN, Claudia; RODRIGUES, Andreza Pereira. Programa de Assistência </w:t>
      </w:r>
      <w:r w:rsidDel="00000000" w:rsidR="00000000" w:rsidRPr="00000000">
        <w:rPr>
          <w:rtl w:val="0"/>
        </w:rPr>
      </w:r>
    </w:p>
    <w:p w:rsidR="00000000" w:rsidDel="00000000" w:rsidP="00000000" w:rsidRDefault="00000000" w:rsidRPr="00000000" w14:paraId="00000075">
      <w:pPr>
        <w:spacing w:after="11" w:line="246" w:lineRule="auto"/>
        <w:ind w:left="-5" w:right="54" w:hanging="10"/>
        <w:jc w:val="left"/>
        <w:rPr/>
      </w:pPr>
      <w:r w:rsidDel="00000000" w:rsidR="00000000" w:rsidRPr="00000000">
        <w:rPr>
          <w:color w:val="000000"/>
          <w:sz w:val="22"/>
          <w:szCs w:val="22"/>
          <w:rtl w:val="0"/>
        </w:rPr>
        <w:t xml:space="preserve">Integral à Saúde da Mulher, 40 anos de uma história: entrevista com Ana Maria Costa. </w:t>
      </w:r>
      <w:r w:rsidDel="00000000" w:rsidR="00000000" w:rsidRPr="00000000">
        <w:rPr>
          <w:b w:val="1"/>
          <w:bCs w:val="1"/>
          <w:color w:val="000000"/>
          <w:sz w:val="22"/>
          <w:szCs w:val="22"/>
          <w:rtl w:val="0"/>
        </w:rPr>
        <w:t xml:space="preserve">História, Ciências, Saúde</w:t>
      </w:r>
      <w:r w:rsidDel="00000000" w:rsidR="00000000" w:rsidRPr="00000000">
        <w:rPr>
          <w:color w:val="000000"/>
          <w:sz w:val="22"/>
          <w:szCs w:val="22"/>
          <w:rtl w:val="0"/>
        </w:rPr>
        <w:t xml:space="preserve"> - Manguinhos, Scielo. 2024. DOI: 10.1590/S0104-59702024000100029. Disponível em: https://www.scielo.br/j/hcsm/a/KbnLY7m85SNDSbtSmWJ58Qk/?format=html&amp;lang=pt&amp;ilang=pt_B R </w:t>
      </w:r>
      <w:r w:rsidDel="00000000" w:rsidR="00000000" w:rsidRPr="00000000">
        <w:rPr>
          <w:rtl w:val="0"/>
        </w:rPr>
      </w:r>
    </w:p>
    <w:p w:rsidR="00000000" w:rsidDel="00000000" w:rsidP="00000000" w:rsidRDefault="00000000" w:rsidRPr="00000000" w14:paraId="00000076">
      <w:pPr>
        <w:spacing w:after="0" w:line="259" w:lineRule="auto"/>
        <w:ind w:right="0" w:firstLine="0"/>
        <w:jc w:val="left"/>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77">
      <w:pPr>
        <w:spacing w:line="240" w:lineRule="auto"/>
        <w:ind w:left="-5" w:right="0" w:hanging="10"/>
        <w:jc w:val="left"/>
        <w:rPr/>
      </w:pPr>
      <w:r w:rsidDel="00000000" w:rsidR="00000000" w:rsidRPr="00000000">
        <w:rPr>
          <w:color w:val="000000"/>
          <w:sz w:val="22"/>
          <w:szCs w:val="22"/>
          <w:rtl w:val="0"/>
        </w:rPr>
        <w:t xml:space="preserve">COUTO, Caroline Eliane. A atenção à saúde da mulher no Estado de São Paulo, Brasil: avaliação de serviços de atenção primária à saúde. </w:t>
      </w:r>
      <w:r w:rsidDel="00000000" w:rsidR="00000000" w:rsidRPr="00000000">
        <w:rPr>
          <w:b w:val="1"/>
          <w:bCs w:val="1"/>
          <w:color w:val="000000"/>
          <w:sz w:val="22"/>
          <w:szCs w:val="22"/>
          <w:rtl w:val="0"/>
        </w:rPr>
        <w:t xml:space="preserve">Cadernos de Saúde Pública,</w:t>
      </w:r>
      <w:r w:rsidDel="00000000" w:rsidR="00000000" w:rsidRPr="00000000">
        <w:rPr>
          <w:color w:val="000000"/>
          <w:sz w:val="22"/>
          <w:szCs w:val="22"/>
          <w:rtl w:val="0"/>
        </w:rPr>
        <w:t xml:space="preserve"> v. 41, n. 5, e00147024, 2025. </w:t>
      </w:r>
      <w:r w:rsidDel="00000000" w:rsidR="00000000" w:rsidRPr="00000000">
        <w:rPr>
          <w:rtl w:val="0"/>
        </w:rPr>
      </w:r>
    </w:p>
    <w:p w:rsidR="00000000" w:rsidDel="00000000" w:rsidP="00000000" w:rsidRDefault="00000000" w:rsidRPr="00000000" w14:paraId="00000078">
      <w:pPr>
        <w:spacing w:after="11" w:line="246" w:lineRule="auto"/>
        <w:ind w:left="-5" w:right="54" w:hanging="10"/>
        <w:jc w:val="left"/>
        <w:rPr/>
      </w:pPr>
      <w:r w:rsidDel="00000000" w:rsidR="00000000" w:rsidRPr="00000000">
        <w:rPr>
          <w:color w:val="000000"/>
          <w:sz w:val="22"/>
          <w:szCs w:val="22"/>
          <w:rtl w:val="0"/>
        </w:rPr>
        <w:t xml:space="preserve">DOI: 10.1590/0102-311XPT147024. Disponível em: </w:t>
      </w:r>
      <w:r w:rsidDel="00000000" w:rsidR="00000000" w:rsidRPr="00000000">
        <w:rPr>
          <w:rtl w:val="0"/>
        </w:rPr>
      </w:r>
    </w:p>
    <w:p w:rsidR="00000000" w:rsidDel="00000000" w:rsidP="00000000" w:rsidRDefault="00000000" w:rsidRPr="00000000" w14:paraId="00000079">
      <w:pPr>
        <w:spacing w:after="11" w:line="246" w:lineRule="auto"/>
        <w:ind w:left="-5" w:right="54" w:hanging="10"/>
        <w:jc w:val="left"/>
        <w:rPr/>
      </w:pPr>
      <w:r w:rsidDel="00000000" w:rsidR="00000000" w:rsidRPr="00000000">
        <w:rPr>
          <w:color w:val="000000"/>
          <w:sz w:val="22"/>
          <w:szCs w:val="22"/>
          <w:rtl w:val="0"/>
        </w:rPr>
        <w:t xml:space="preserve">https://www.scielo.br/j/csp/a/BGPTvjT39t93JYWYNNxsg4K/?lang=pt </w:t>
      </w:r>
      <w:r w:rsidDel="00000000" w:rsidR="00000000" w:rsidRPr="00000000">
        <w:rPr>
          <w:rtl w:val="0"/>
        </w:rPr>
      </w:r>
    </w:p>
    <w:p w:rsidR="00000000" w:rsidDel="00000000" w:rsidP="00000000" w:rsidRDefault="00000000" w:rsidRPr="00000000" w14:paraId="0000007A">
      <w:pPr>
        <w:spacing w:after="0" w:line="259" w:lineRule="auto"/>
        <w:ind w:right="0" w:firstLine="0"/>
        <w:jc w:val="left"/>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7B">
      <w:pPr>
        <w:spacing w:after="11" w:line="246" w:lineRule="auto"/>
        <w:ind w:left="-5" w:right="54" w:hanging="10"/>
        <w:jc w:val="left"/>
        <w:rPr/>
      </w:pPr>
      <w:r w:rsidDel="00000000" w:rsidR="00000000" w:rsidRPr="00000000">
        <w:rPr>
          <w:color w:val="000000"/>
          <w:sz w:val="22"/>
          <w:szCs w:val="22"/>
          <w:rtl w:val="0"/>
        </w:rPr>
        <w:t xml:space="preserve">LEMOS, Adna dos Santos. Saúde pública e gênero: um panorama sobre a Política Nacional de Atenção Integral à Saúde da Mulher (PNAISM). </w:t>
      </w:r>
      <w:r w:rsidDel="00000000" w:rsidR="00000000" w:rsidRPr="00000000">
        <w:rPr>
          <w:b w:val="1"/>
          <w:bCs w:val="1"/>
          <w:color w:val="000000"/>
          <w:sz w:val="22"/>
          <w:szCs w:val="22"/>
          <w:rtl w:val="0"/>
        </w:rPr>
        <w:t xml:space="preserve">Revista CPAQV - Centro de Pesquisas Avançadas em Qualidade de Vida,</w:t>
      </w:r>
      <w:r w:rsidDel="00000000" w:rsidR="00000000" w:rsidRPr="00000000">
        <w:rPr>
          <w:color w:val="000000"/>
          <w:sz w:val="22"/>
          <w:szCs w:val="22"/>
          <w:rtl w:val="0"/>
        </w:rPr>
        <w:t xml:space="preserve"> v. 16, n. 2, 2024. DOI: 10.36692/V16N2-122R. Disponível em: SAÚDE </w:t>
      </w:r>
      <w:r w:rsidDel="00000000" w:rsidR="00000000" w:rsidRPr="00000000">
        <w:rPr>
          <w:rtl w:val="0"/>
        </w:rPr>
      </w:r>
    </w:p>
    <w:p w:rsidR="00000000" w:rsidDel="00000000" w:rsidP="00000000" w:rsidRDefault="00000000" w:rsidRPr="00000000" w14:paraId="0000007C">
      <w:pPr>
        <w:spacing w:after="11" w:line="246" w:lineRule="auto"/>
        <w:ind w:left="-5" w:right="54" w:hanging="10"/>
        <w:jc w:val="left"/>
        <w:rPr/>
      </w:pPr>
      <w:r w:rsidDel="00000000" w:rsidR="00000000" w:rsidRPr="00000000">
        <w:rPr>
          <w:color w:val="000000"/>
          <w:sz w:val="22"/>
          <w:szCs w:val="22"/>
          <w:rtl w:val="0"/>
        </w:rPr>
        <w:t xml:space="preserve">PÚBLICA E GÊNERO: UM PANORAMA SOBRE A POLÍTICA NACIONAL DE ATENÇÃO </w:t>
      </w:r>
      <w:r w:rsidDel="00000000" w:rsidR="00000000" w:rsidRPr="00000000">
        <w:rPr>
          <w:rtl w:val="0"/>
        </w:rPr>
      </w:r>
    </w:p>
    <w:p w:rsidR="00000000" w:rsidDel="00000000" w:rsidP="00000000" w:rsidRDefault="00000000" w:rsidRPr="00000000" w14:paraId="0000007D">
      <w:pPr>
        <w:spacing w:after="11" w:line="246" w:lineRule="auto"/>
        <w:ind w:left="-5" w:right="54" w:hanging="10"/>
        <w:jc w:val="left"/>
        <w:rPr/>
      </w:pPr>
      <w:r w:rsidDel="00000000" w:rsidR="00000000" w:rsidRPr="00000000">
        <w:rPr>
          <w:color w:val="000000"/>
          <w:sz w:val="22"/>
          <w:szCs w:val="22"/>
          <w:rtl w:val="0"/>
        </w:rPr>
        <w:t xml:space="preserve">INTEGRAL À SAÚDE DA MULHER (PNAISM) | Revista CPAQV - Centro de Pesquisas Avançadas em Qualidade de Vida.</w:t>
      </w:r>
      <w:r w:rsidDel="00000000" w:rsidR="00000000" w:rsidRPr="00000000">
        <w:rPr>
          <w:rtl w:val="0"/>
        </w:rPr>
      </w:r>
    </w:p>
    <w:p w:rsidR="00000000" w:rsidDel="00000000" w:rsidP="00000000" w:rsidRDefault="00000000" w:rsidRPr="00000000" w14:paraId="0000007E">
      <w:pPr>
        <w:spacing w:after="0" w:line="259" w:lineRule="auto"/>
        <w:ind w:right="0" w:firstLine="0"/>
        <w:jc w:val="left"/>
        <w:rPr/>
      </w:pP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7F">
      <w:pPr>
        <w:spacing w:after="11" w:line="246" w:lineRule="auto"/>
        <w:ind w:left="-5" w:right="54" w:hanging="10"/>
        <w:jc w:val="left"/>
        <w:rPr/>
      </w:pPr>
      <w:r w:rsidDel="00000000" w:rsidR="00000000" w:rsidRPr="00000000">
        <w:rPr>
          <w:color w:val="000000"/>
          <w:sz w:val="22"/>
          <w:szCs w:val="22"/>
          <w:rtl w:val="0"/>
        </w:rPr>
        <w:t xml:space="preserve">OLIVEIRA, Jossiane Teixeira. Falta de acesso aos serviços de saúde por mulheres no contexto da pandemia de COVID-19: interseccionando cor da pele, renda e escolaridade. </w:t>
      </w:r>
      <w:r w:rsidDel="00000000" w:rsidR="00000000" w:rsidRPr="00000000">
        <w:rPr>
          <w:b w:val="1"/>
          <w:bCs w:val="1"/>
          <w:color w:val="000000"/>
          <w:sz w:val="22"/>
          <w:szCs w:val="22"/>
          <w:rtl w:val="0"/>
        </w:rPr>
        <w:t xml:space="preserve">Ciência &amp; Saúde</w:t>
      </w:r>
      <w:r w:rsidDel="00000000" w:rsidR="00000000" w:rsidRPr="00000000">
        <w:rPr>
          <w:color w:val="000000"/>
          <w:sz w:val="22"/>
          <w:szCs w:val="22"/>
          <w:rtl w:val="0"/>
        </w:rPr>
        <w:t xml:space="preserve"> Coletiva, v. 30, n. 5, e18802023, 2025. DOI: 10.1590/1413-81232025305.18802023. Disponível em: </w:t>
      </w:r>
      <w:r w:rsidDel="00000000" w:rsidR="00000000" w:rsidRPr="00000000">
        <w:rPr>
          <w:rtl w:val="0"/>
        </w:rPr>
      </w:r>
    </w:p>
    <w:p w:rsidR="00000000" w:rsidDel="00000000" w:rsidP="00000000" w:rsidRDefault="00000000" w:rsidRPr="00000000" w14:paraId="00000080">
      <w:pPr>
        <w:spacing w:after="11" w:line="246" w:lineRule="auto"/>
        <w:ind w:left="-5" w:right="54" w:hanging="10"/>
        <w:jc w:val="left"/>
        <w:rPr>
          <w:color w:val="000000"/>
          <w:sz w:val="22"/>
          <w:szCs w:val="22"/>
        </w:rPr>
      </w:pPr>
      <w:r w:rsidDel="00000000" w:rsidR="00000000" w:rsidRPr="00000000">
        <w:rPr>
          <w:color w:val="000000"/>
          <w:sz w:val="22"/>
          <w:szCs w:val="22"/>
          <w:rtl w:val="0"/>
        </w:rPr>
        <w:t xml:space="preserve">https://www.scielo.br/j/csc/a/C8bcry7GqWkvXWPG6f5Wz4H/?lang=pt </w:t>
      </w:r>
    </w:p>
    <w:p w:rsidR="00000000" w:rsidDel="00000000" w:rsidP="00000000" w:rsidRDefault="00000000" w:rsidRPr="00000000" w14:paraId="00000081">
      <w:pPr>
        <w:spacing w:after="11" w:line="246" w:lineRule="auto"/>
        <w:ind w:left="-5" w:right="54" w:hanging="10"/>
        <w:jc w:val="left"/>
        <w:rPr/>
      </w:pPr>
      <w:r w:rsidDel="00000000" w:rsidR="00000000" w:rsidRPr="00000000">
        <w:rPr>
          <w:rtl w:val="0"/>
        </w:rPr>
      </w:r>
    </w:p>
    <w:p w:rsidR="00000000" w:rsidDel="00000000" w:rsidP="00000000" w:rsidRDefault="00000000" w:rsidRPr="00000000" w14:paraId="00000082">
      <w:pPr>
        <w:spacing w:after="0" w:line="259" w:lineRule="auto"/>
        <w:ind w:right="0" w:firstLine="0"/>
        <w:jc w:val="left"/>
        <w:rPr>
          <w:color w:val="000000"/>
          <w:sz w:val="22"/>
          <w:szCs w:val="22"/>
        </w:rPr>
      </w:pPr>
      <w:r w:rsidDel="00000000" w:rsidR="00000000" w:rsidRPr="00000000">
        <w:rPr>
          <w:color w:val="000000"/>
          <w:sz w:val="22"/>
          <w:szCs w:val="22"/>
          <w:rtl w:val="0"/>
        </w:rPr>
        <w:t xml:space="preserve">ROSA, Hevelyn; CABRAL, Cristiane da Silva. Uma cidadania da fertilidade – as políticas de saúde da mulher como tecnologias de produção do sexo e do gênero. </w:t>
      </w:r>
      <w:r w:rsidDel="00000000" w:rsidR="00000000" w:rsidRPr="00000000">
        <w:rPr>
          <w:b w:val="1"/>
          <w:bCs w:val="1"/>
          <w:color w:val="000000"/>
          <w:sz w:val="22"/>
          <w:szCs w:val="22"/>
          <w:rtl w:val="0"/>
        </w:rPr>
        <w:t xml:space="preserve">Saúde e Sociedade</w:t>
      </w:r>
      <w:r w:rsidDel="00000000" w:rsidR="00000000" w:rsidRPr="00000000">
        <w:rPr>
          <w:color w:val="000000"/>
          <w:sz w:val="22"/>
          <w:szCs w:val="22"/>
          <w:rtl w:val="0"/>
        </w:rPr>
        <w:t xml:space="preserve">, v. 32, n. 2, e220534pt, 2023. DOI: 10.1590/S0104-12902023220534pt. Disponível em: https://www.scielosp.org/article/sausoc/2023.v32n2/e220534pt/?hl=pt-BR.</w:t>
      </w:r>
    </w:p>
    <w:p w:rsidR="00000000" w:rsidDel="00000000" w:rsidP="00000000" w:rsidRDefault="00000000" w:rsidRPr="00000000" w14:paraId="00000083">
      <w:pPr>
        <w:spacing w:after="0" w:line="259" w:lineRule="auto"/>
        <w:ind w:right="0" w:firstLine="0"/>
        <w:jc w:val="left"/>
        <w:rPr/>
      </w:pPr>
      <w:r w:rsidDel="00000000" w:rsidR="00000000" w:rsidRPr="00000000">
        <w:rPr>
          <w:rtl w:val="0"/>
        </w:rPr>
      </w:r>
    </w:p>
    <w:p w:rsidR="00000000" w:rsidDel="00000000" w:rsidP="00000000" w:rsidRDefault="00000000" w:rsidRPr="00000000" w14:paraId="00000084">
      <w:pPr>
        <w:spacing w:after="11" w:line="246" w:lineRule="auto"/>
        <w:ind w:left="-5" w:right="54" w:hanging="10"/>
        <w:jc w:val="left"/>
        <w:rPr/>
      </w:pPr>
      <w:r w:rsidDel="00000000" w:rsidR="00000000" w:rsidRPr="00000000">
        <w:rPr>
          <w:color w:val="000000"/>
          <w:sz w:val="22"/>
          <w:szCs w:val="22"/>
          <w:rtl w:val="0"/>
        </w:rPr>
        <w:t xml:space="preserve">SOUTO, Kátia Souto. Política Nacional de Atenção Integral à Saúde da Mulher: protagonismo do movimento de mulheres. </w:t>
      </w:r>
      <w:r w:rsidDel="00000000" w:rsidR="00000000" w:rsidRPr="00000000">
        <w:rPr>
          <w:b w:val="1"/>
          <w:bCs w:val="1"/>
          <w:color w:val="000000"/>
          <w:sz w:val="22"/>
          <w:szCs w:val="22"/>
          <w:rtl w:val="0"/>
        </w:rPr>
        <w:t xml:space="preserve">Saúde debate</w:t>
      </w:r>
      <w:r w:rsidDel="00000000" w:rsidR="00000000" w:rsidRPr="00000000">
        <w:rPr>
          <w:color w:val="000000"/>
          <w:sz w:val="22"/>
          <w:szCs w:val="22"/>
          <w:rtl w:val="0"/>
        </w:rPr>
        <w:t xml:space="preserve"> V. 45, N. 130, P. 832-846, 2021. DOI: 10.1590/01031104202113020. Disponível em: https://www.scielo.br/j/sdeb/a/4JncpcMDZ7TQ9Hd7dkMPMpt/?format=html&amp;lang=pt </w:t>
      </w: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6840" w:w="11905" w:orient="portrait"/>
      <w:pgMar w:bottom="1467" w:top="1753" w:left="1701" w:right="1071" w:header="1"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spacing w:after="0" w:line="259" w:lineRule="auto"/>
      <w:ind w:left="-1701" w:right="501" w:firstLine="0"/>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-161284</wp:posOffset>
          </wp:positionH>
          <wp:positionV relativeFrom="paragraph">
            <wp:posOffset>-793681</wp:posOffset>
          </wp:positionV>
          <wp:extent cx="5401057" cy="329184"/>
          <wp:effectExtent b="0" l="0" r="0" t="0"/>
          <wp:wrapSquare wrapText="bothSides" distB="0" distT="0" distL="114300" distR="114300"/>
          <wp:docPr id="5"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401057" cy="329184"/>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spacing w:after="0" w:line="259" w:lineRule="auto"/>
      <w:ind w:left="-1701" w:right="501" w:firstLine="0"/>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-161284</wp:posOffset>
          </wp:positionH>
          <wp:positionV relativeFrom="paragraph">
            <wp:posOffset>-793681</wp:posOffset>
          </wp:positionV>
          <wp:extent cx="5401057" cy="329184"/>
          <wp:effectExtent b="0" l="0" r="0" t="0"/>
          <wp:wrapSquare wrapText="bothSides" distB="0" distT="0" distL="114300" distR="114300"/>
          <wp:docPr id="7"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401057" cy="329184"/>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spacing w:after="0" w:line="259" w:lineRule="auto"/>
      <w:ind w:left="-1701" w:right="501" w:firstLine="0"/>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-161284</wp:posOffset>
          </wp:positionH>
          <wp:positionV relativeFrom="paragraph">
            <wp:posOffset>-793681</wp:posOffset>
          </wp:positionV>
          <wp:extent cx="5401057" cy="329184"/>
          <wp:effectExtent b="0" l="0" r="0" t="0"/>
          <wp:wrapSquare wrapText="bothSides" distB="0" distT="0" distL="114300" distR="114300"/>
          <wp:docPr id="6"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5401057" cy="32918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spacing w:after="0" w:line="259" w:lineRule="auto"/>
      <w:ind w:left="-1701" w:right="10834" w:firstLine="0"/>
      <w:jc w:val="left"/>
      <w:rPr/>
    </w:pPr>
    <w:r w:rsidDel="00000000" w:rsidR="00000000" w:rsidRPr="00000000">
      <w:rPr>
        <w:rFonts w:ascii="Calibri" w:cs="Calibri" w:eastAsia="Calibri" w:hAnsi="Calibri"/>
        <w:color w:val="000000"/>
        <w:sz w:val="22"/>
        <w:szCs w:val="22"/>
      </w:rPr>
      <mc:AlternateContent>
        <mc:Choice Requires="wps">
          <w:drawing>
            <wp:anchor allowOverlap="1" behindDoc="0" distB="0" distT="0" distL="114300" distR="114300" hidden="0" layoutInCell="1" locked="0" relativeHeight="0" simplePos="0">
              <wp:simplePos x="0" y="0"/>
              <wp:positionH relativeFrom="page">
                <wp:posOffset>4446</wp:posOffset>
              </wp:positionH>
              <wp:positionV relativeFrom="page">
                <wp:posOffset>635</wp:posOffset>
              </wp:positionV>
              <wp:extent cx="7555229" cy="1400175"/>
              <wp:effectExtent b="0" l="0" r="0" t="0"/>
              <wp:wrapSquare wrapText="bothSides" distB="0" distT="0" distL="114300" distR="114300"/>
              <wp:docPr id="4" name=""/>
              <a:graphic>
                <a:graphicData uri="http://schemas.microsoft.com/office/word/2010/wordprocessingGroup">
                  <wpg:wgp>
                    <wpg:cNvGrpSpPr/>
                    <wpg:grpSpPr>
                      <a:xfrm>
                        <a:off x="0" y="0"/>
                        <a:ext cx="7555229" cy="1400175"/>
                        <a:chOff x="1568375" y="3079900"/>
                        <a:chExt cx="7555250" cy="1400200"/>
                      </a:xfrm>
                    </wpg:grpSpPr>
                    <wpg:grpSp>
                      <wpg:cNvGrpSpPr/>
                      <wpg:grpSpPr>
                        <a:xfrm>
                          <a:off x="1568386" y="3079913"/>
                          <a:ext cx="7555229" cy="1400175"/>
                          <a:chOff x="1568375" y="3079900"/>
                          <a:chExt cx="7555250" cy="1400200"/>
                        </a:xfrm>
                      </wpg:grpSpPr>
                      <wps:wsp>
                        <wps:cNvSpPr/>
                        <wps:cNvPr id="3" name="Shape 3"/>
                        <wps:spPr>
                          <a:xfrm>
                            <a:off x="1568375" y="3079900"/>
                            <a:ext cx="7555250" cy="1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68386" y="3079913"/>
                            <a:ext cx="7555229" cy="1400175"/>
                            <a:chOff x="1563925" y="3079275"/>
                            <a:chExt cx="7559700" cy="1402100"/>
                          </a:xfrm>
                        </wpg:grpSpPr>
                        <wps:wsp>
                          <wps:cNvSpPr/>
                          <wps:cNvPr id="11" name="Shape 11"/>
                          <wps:spPr>
                            <a:xfrm>
                              <a:off x="1563925" y="3079275"/>
                              <a:ext cx="7559700" cy="1402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63941" y="3079279"/>
                              <a:ext cx="7559670" cy="1402080"/>
                              <a:chOff x="-4445" y="-634"/>
                              <a:chExt cx="7559670" cy="1402080"/>
                            </a:xfrm>
                          </wpg:grpSpPr>
                          <wps:wsp>
                            <wps:cNvSpPr/>
                            <wps:cNvPr id="13" name="Shape 13"/>
                            <wps:spPr>
                              <a:xfrm>
                                <a:off x="0" y="0"/>
                                <a:ext cx="7555225" cy="1400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4" name="Shape 14"/>
                              <pic:cNvPicPr preferRelativeResize="0"/>
                            </pic:nvPicPr>
                            <pic:blipFill rotWithShape="1">
                              <a:blip r:embed="rId1">
                                <a:alphaModFix/>
                              </a:blip>
                              <a:srcRect b="0" l="0" r="0" t="0"/>
                              <a:stretch/>
                            </pic:blipFill>
                            <pic:spPr>
                              <a:xfrm>
                                <a:off x="-4445" y="-634"/>
                                <a:ext cx="7543800" cy="1402080"/>
                              </a:xfrm>
                              <a:prstGeom prst="rect">
                                <a:avLst/>
                              </a:prstGeom>
                              <a:noFill/>
                              <a:ln>
                                <a:noFill/>
                              </a:ln>
                            </pic:spPr>
                          </pic:pic>
                          <wps:wsp>
                            <wps:cNvSpPr/>
                            <wps:cNvPr id="15" name="Shape 15"/>
                            <wps:spPr>
                              <a:xfrm>
                                <a:off x="1075372" y="480734"/>
                                <a:ext cx="46450" cy="169017"/>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16" name="Shape 16"/>
                            <wps:spPr>
                              <a:xfrm>
                                <a:off x="3775455" y="480734"/>
                                <a:ext cx="46450" cy="169017"/>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17" name="Shape 17"/>
                            <wps:spPr>
                              <a:xfrm>
                                <a:off x="6478651" y="480734"/>
                                <a:ext cx="46450" cy="169017"/>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t>
                                  </w:r>
                                </w:p>
                              </w:txbxContent>
                            </wps:txbx>
                            <wps:bodyPr anchorCtr="0" anchor="t" bIns="0" lIns="0" spcFirstLastPara="1" rIns="0" wrap="square" tIns="0">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4446</wp:posOffset>
              </wp:positionH>
              <wp:positionV relativeFrom="page">
                <wp:posOffset>635</wp:posOffset>
              </wp:positionV>
              <wp:extent cx="7555229" cy="1400175"/>
              <wp:effectExtent b="0" l="0" r="0" t="0"/>
              <wp:wrapSquare wrapText="bothSides" distB="0" distT="0" distL="114300" distR="114300"/>
              <wp:docPr id="4" name="image8.png"/>
              <a:graphic>
                <a:graphicData uri="http://schemas.openxmlformats.org/drawingml/2006/picture">
                  <pic:pic>
                    <pic:nvPicPr>
                      <pic:cNvPr id="0" name="image8.png"/>
                      <pic:cNvPicPr preferRelativeResize="0"/>
                    </pic:nvPicPr>
                    <pic:blipFill>
                      <a:blip r:embed="rId2"/>
                      <a:srcRect b="0" l="0" r="0" t="0"/>
                      <a:stretch>
                        <a:fillRect/>
                      </a:stretch>
                    </pic:blipFill>
                    <pic:spPr>
                      <a:xfrm>
                        <a:off x="0" y="0"/>
                        <a:ext cx="7555229" cy="1400175"/>
                      </a:xfrm>
                      <a:prstGeom prst="rect"/>
                      <a:ln/>
                    </pic:spPr>
                  </pic:pic>
                </a:graphicData>
              </a:graphic>
            </wp:anchor>
          </w:drawing>
        </mc:Fallback>
      </mc:AlternateConten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spacing w:after="0" w:line="259" w:lineRule="auto"/>
      <w:ind w:left="-1701" w:right="10834" w:firstLine="0"/>
      <w:jc w:val="left"/>
      <w:rPr/>
    </w:pPr>
    <w:r w:rsidDel="00000000" w:rsidR="00000000" w:rsidRPr="00000000">
      <w:rPr>
        <w:rFonts w:ascii="Calibri" w:cs="Calibri" w:eastAsia="Calibri" w:hAnsi="Calibri"/>
        <w:color w:val="000000"/>
        <w:sz w:val="22"/>
        <w:szCs w:val="22"/>
      </w:rPr>
      <mc:AlternateContent>
        <mc:Choice Requires="wps">
          <w:drawing>
            <wp:anchor allowOverlap="1" behindDoc="0" distB="0" distT="0" distL="114300" distR="114300" hidden="0" layoutInCell="1" locked="0" relativeHeight="0" simplePos="0">
              <wp:simplePos x="0" y="0"/>
              <wp:positionH relativeFrom="page">
                <wp:posOffset>4446</wp:posOffset>
              </wp:positionH>
              <wp:positionV relativeFrom="page">
                <wp:posOffset>635</wp:posOffset>
              </wp:positionV>
              <wp:extent cx="7555229" cy="1400175"/>
              <wp:effectExtent b="0" l="0" r="0" t="0"/>
              <wp:wrapSquare wrapText="bothSides" distB="0" distT="0" distL="114300" distR="114300"/>
              <wp:docPr id="3" name=""/>
              <a:graphic>
                <a:graphicData uri="http://schemas.microsoft.com/office/word/2010/wordprocessingGroup">
                  <wpg:wgp>
                    <wpg:cNvGrpSpPr/>
                    <wpg:grpSpPr>
                      <a:xfrm>
                        <a:off x="0" y="0"/>
                        <a:ext cx="7555229" cy="1400175"/>
                        <a:chOff x="1568375" y="3079900"/>
                        <a:chExt cx="7555250" cy="1400200"/>
                      </a:xfrm>
                    </wpg:grpSpPr>
                    <wpg:grpSp>
                      <wpg:cNvGrpSpPr/>
                      <wpg:grpSpPr>
                        <a:xfrm>
                          <a:off x="1568386" y="3079913"/>
                          <a:ext cx="7555229" cy="1400175"/>
                          <a:chOff x="1568375" y="3079900"/>
                          <a:chExt cx="7555250" cy="1400200"/>
                        </a:xfrm>
                      </wpg:grpSpPr>
                      <wps:wsp>
                        <wps:cNvSpPr/>
                        <wps:cNvPr id="3" name="Shape 3"/>
                        <wps:spPr>
                          <a:xfrm>
                            <a:off x="1568375" y="3079900"/>
                            <a:ext cx="7555250" cy="1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68386" y="3079913"/>
                            <a:ext cx="7555229" cy="1400175"/>
                            <a:chOff x="1563925" y="3079275"/>
                            <a:chExt cx="7559700" cy="1402100"/>
                          </a:xfrm>
                        </wpg:grpSpPr>
                        <wps:wsp>
                          <wps:cNvSpPr/>
                          <wps:cNvPr id="29" name="Shape 29"/>
                          <wps:spPr>
                            <a:xfrm>
                              <a:off x="1563925" y="3079275"/>
                              <a:ext cx="7559700" cy="1402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63941" y="3079279"/>
                              <a:ext cx="7559670" cy="1402080"/>
                              <a:chOff x="-4445" y="-634"/>
                              <a:chExt cx="7559670" cy="1402080"/>
                            </a:xfrm>
                          </wpg:grpSpPr>
                          <wps:wsp>
                            <wps:cNvSpPr/>
                            <wps:cNvPr id="31" name="Shape 31"/>
                            <wps:spPr>
                              <a:xfrm>
                                <a:off x="0" y="0"/>
                                <a:ext cx="7555225" cy="1400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32" name="Shape 32"/>
                              <pic:cNvPicPr preferRelativeResize="0"/>
                            </pic:nvPicPr>
                            <pic:blipFill rotWithShape="1">
                              <a:blip r:embed="rId1">
                                <a:alphaModFix/>
                              </a:blip>
                              <a:srcRect b="0" l="0" r="0" t="0"/>
                              <a:stretch/>
                            </pic:blipFill>
                            <pic:spPr>
                              <a:xfrm>
                                <a:off x="-4445" y="-634"/>
                                <a:ext cx="7543800" cy="1402080"/>
                              </a:xfrm>
                              <a:prstGeom prst="rect">
                                <a:avLst/>
                              </a:prstGeom>
                              <a:noFill/>
                              <a:ln>
                                <a:noFill/>
                              </a:ln>
                            </pic:spPr>
                          </pic:pic>
                          <wps:wsp>
                            <wps:cNvSpPr/>
                            <wps:cNvPr id="33" name="Shape 33"/>
                            <wps:spPr>
                              <a:xfrm>
                                <a:off x="1075372" y="480734"/>
                                <a:ext cx="46450" cy="169017"/>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34" name="Shape 34"/>
                            <wps:spPr>
                              <a:xfrm>
                                <a:off x="3775455" y="480734"/>
                                <a:ext cx="46450" cy="169017"/>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35" name="Shape 35"/>
                            <wps:spPr>
                              <a:xfrm>
                                <a:off x="6478651" y="480734"/>
                                <a:ext cx="46450" cy="169017"/>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t>
                                  </w:r>
                                </w:p>
                              </w:txbxContent>
                            </wps:txbx>
                            <wps:bodyPr anchorCtr="0" anchor="t" bIns="0" lIns="0" spcFirstLastPara="1" rIns="0" wrap="square" tIns="0">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4446</wp:posOffset>
              </wp:positionH>
              <wp:positionV relativeFrom="page">
                <wp:posOffset>635</wp:posOffset>
              </wp:positionV>
              <wp:extent cx="7555229" cy="1400175"/>
              <wp:effectExtent b="0" l="0" r="0" t="0"/>
              <wp:wrapSquare wrapText="bothSides" distB="0" distT="0" distL="114300" distR="114300"/>
              <wp:docPr id="3" name="image7.png"/>
              <a:graphic>
                <a:graphicData uri="http://schemas.openxmlformats.org/drawingml/2006/picture">
                  <pic:pic>
                    <pic:nvPicPr>
                      <pic:cNvPr id="0" name="image7.png"/>
                      <pic:cNvPicPr preferRelativeResize="0"/>
                    </pic:nvPicPr>
                    <pic:blipFill>
                      <a:blip r:embed="rId2"/>
                      <a:srcRect b="0" l="0" r="0" t="0"/>
                      <a:stretch>
                        <a:fillRect/>
                      </a:stretch>
                    </pic:blipFill>
                    <pic:spPr>
                      <a:xfrm>
                        <a:off x="0" y="0"/>
                        <a:ext cx="7555229" cy="1400175"/>
                      </a:xfrm>
                      <a:prstGeom prst="rect"/>
                      <a:ln/>
                    </pic:spPr>
                  </pic:pic>
                </a:graphicData>
              </a:graphic>
            </wp:anchor>
          </w:drawing>
        </mc:Fallback>
      </mc:AlternateConten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spacing w:after="0" w:line="259" w:lineRule="auto"/>
      <w:ind w:left="-1701" w:right="10834" w:firstLine="0"/>
      <w:jc w:val="left"/>
      <w:rPr/>
    </w:pPr>
    <w:r w:rsidDel="00000000" w:rsidR="00000000" w:rsidRPr="00000000">
      <w:rPr>
        <w:rFonts w:ascii="Calibri" w:cs="Calibri" w:eastAsia="Calibri" w:hAnsi="Calibri"/>
        <w:color w:val="000000"/>
        <w:sz w:val="22"/>
        <w:szCs w:val="22"/>
      </w:rPr>
      <mc:AlternateContent>
        <mc:Choice Requires="wps">
          <w:drawing>
            <wp:anchor allowOverlap="1" behindDoc="0" distB="0" distT="0" distL="114300" distR="114300" hidden="0" layoutInCell="1" locked="0" relativeHeight="0" simplePos="0">
              <wp:simplePos x="0" y="0"/>
              <wp:positionH relativeFrom="page">
                <wp:posOffset>4446</wp:posOffset>
              </wp:positionH>
              <wp:positionV relativeFrom="page">
                <wp:posOffset>635</wp:posOffset>
              </wp:positionV>
              <wp:extent cx="7555229" cy="1400175"/>
              <wp:effectExtent b="0" l="0" r="0" t="0"/>
              <wp:wrapSquare wrapText="bothSides" distB="0" distT="0" distL="114300" distR="114300"/>
              <wp:docPr id="2" name=""/>
              <a:graphic>
                <a:graphicData uri="http://schemas.microsoft.com/office/word/2010/wordprocessingGroup">
                  <wpg:wgp>
                    <wpg:cNvGrpSpPr/>
                    <wpg:grpSpPr>
                      <a:xfrm>
                        <a:off x="0" y="0"/>
                        <a:ext cx="7555229" cy="1400175"/>
                        <a:chOff x="1568375" y="3079900"/>
                        <a:chExt cx="7555250" cy="1400200"/>
                      </a:xfrm>
                    </wpg:grpSpPr>
                    <wpg:grpSp>
                      <wpg:cNvGrpSpPr/>
                      <wpg:grpSpPr>
                        <a:xfrm>
                          <a:off x="1568386" y="3079913"/>
                          <a:ext cx="7555229" cy="1400175"/>
                          <a:chOff x="1568375" y="3079900"/>
                          <a:chExt cx="7555250" cy="1400200"/>
                        </a:xfrm>
                      </wpg:grpSpPr>
                      <wps:wsp>
                        <wps:cNvSpPr/>
                        <wps:cNvPr id="3" name="Shape 3"/>
                        <wps:spPr>
                          <a:xfrm>
                            <a:off x="1568375" y="3079900"/>
                            <a:ext cx="7555250" cy="1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68386" y="3079913"/>
                            <a:ext cx="7555229" cy="1400175"/>
                            <a:chOff x="1563925" y="3079275"/>
                            <a:chExt cx="7559700" cy="1402100"/>
                          </a:xfrm>
                        </wpg:grpSpPr>
                        <wps:wsp>
                          <wps:cNvSpPr/>
                          <wps:cNvPr id="20" name="Shape 20"/>
                          <wps:spPr>
                            <a:xfrm>
                              <a:off x="1563925" y="3079275"/>
                              <a:ext cx="7559700" cy="1402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63941" y="3079279"/>
                              <a:ext cx="7559670" cy="1402080"/>
                              <a:chOff x="-4445" y="-634"/>
                              <a:chExt cx="7559670" cy="1402080"/>
                            </a:xfrm>
                          </wpg:grpSpPr>
                          <wps:wsp>
                            <wps:cNvSpPr/>
                            <wps:cNvPr id="22" name="Shape 22"/>
                            <wps:spPr>
                              <a:xfrm>
                                <a:off x="0" y="0"/>
                                <a:ext cx="7555225" cy="14001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23" name="Shape 23"/>
                              <pic:cNvPicPr preferRelativeResize="0"/>
                            </pic:nvPicPr>
                            <pic:blipFill rotWithShape="1">
                              <a:blip r:embed="rId1">
                                <a:alphaModFix/>
                              </a:blip>
                              <a:srcRect b="0" l="0" r="0" t="0"/>
                              <a:stretch/>
                            </pic:blipFill>
                            <pic:spPr>
                              <a:xfrm>
                                <a:off x="-4445" y="-634"/>
                                <a:ext cx="7543800" cy="1402080"/>
                              </a:xfrm>
                              <a:prstGeom prst="rect">
                                <a:avLst/>
                              </a:prstGeom>
                              <a:noFill/>
                              <a:ln>
                                <a:noFill/>
                              </a:ln>
                            </pic:spPr>
                          </pic:pic>
                          <wps:wsp>
                            <wps:cNvSpPr/>
                            <wps:cNvPr id="24" name="Shape 24"/>
                            <wps:spPr>
                              <a:xfrm>
                                <a:off x="1075372" y="480734"/>
                                <a:ext cx="46450" cy="169017"/>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25" name="Shape 25"/>
                            <wps:spPr>
                              <a:xfrm>
                                <a:off x="3775455" y="480734"/>
                                <a:ext cx="46450" cy="169017"/>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t>
                                  </w:r>
                                </w:p>
                              </w:txbxContent>
                            </wps:txbx>
                            <wps:bodyPr anchorCtr="0" anchor="t" bIns="0" lIns="0" spcFirstLastPara="1" rIns="0" wrap="square" tIns="0">
                              <a:noAutofit/>
                            </wps:bodyPr>
                          </wps:wsp>
                          <wps:wsp>
                            <wps:cNvSpPr/>
                            <wps:cNvPr id="26" name="Shape 26"/>
                            <wps:spPr>
                              <a:xfrm>
                                <a:off x="6478651" y="480734"/>
                                <a:ext cx="46450" cy="169017"/>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2"/>
                                      <w:vertAlign w:val="baseline"/>
                                    </w:rPr>
                                    <w:t xml:space="preserve"> </w:t>
                                  </w:r>
                                </w:p>
                              </w:txbxContent>
                            </wps:txbx>
                            <wps:bodyPr anchorCtr="0" anchor="t" bIns="0" lIns="0" spcFirstLastPara="1" rIns="0" wrap="square" tIns="0">
                              <a:noAutofit/>
                            </wps:bodyPr>
                          </wps:w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4446</wp:posOffset>
              </wp:positionH>
              <wp:positionV relativeFrom="page">
                <wp:posOffset>635</wp:posOffset>
              </wp:positionV>
              <wp:extent cx="7555229" cy="1400175"/>
              <wp:effectExtent b="0" l="0" r="0" t="0"/>
              <wp:wrapSquare wrapText="bothSides" distB="0" distT="0" distL="114300" distR="114300"/>
              <wp:docPr id="2"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7555229" cy="1400175"/>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1b1b1b"/>
        <w:sz w:val="24"/>
        <w:szCs w:val="24"/>
        <w:lang w:val="pt_BR"/>
      </w:rPr>
    </w:rPrDefault>
    <w:pPrDefault>
      <w:pPr>
        <w:spacing w:after="1" w:line="358" w:lineRule="auto"/>
        <w:ind w:right="61" w:firstLine="711"/>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top w:space="0" w:sz="0" w:val="nil"/>
        <w:left w:space="0" w:sz="0" w:val="nil"/>
        <w:bottom w:space="0" w:sz="0" w:val="nil"/>
        <w:right w:space="0" w:sz="0" w:val="nil"/>
        <w:between w:space="0" w:sz="0" w:val="nil"/>
      </w:pBdr>
      <w:spacing w:after="112" w:line="259" w:lineRule="auto"/>
      <w:ind w:left="10" w:right="72" w:hanging="10"/>
      <w:jc w:val="left"/>
    </w:pPr>
    <w:rPr>
      <w:b w:val="1"/>
      <w:bCs w:val="1"/>
      <w:color w:val="000000"/>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