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drawing>
          <wp:inline distT="0" distB="0" distL="0" distR="0">
            <wp:extent cx="5400040" cy="1350010"/>
            <wp:effectExtent l="0" t="0" r="10160" b="635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p w14:paraId="00000002">
      <w:pPr>
        <w:tabs>
          <w:tab w:val="left" w:pos="880"/>
        </w:tabs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  <w:t>MITOS E VERDADES SOBRE AS ALTAS HABILIDADES/SUPERDOTAÇÃO NO BRASIL: UMA ANÁLISE CRÍTICA À LUZ DA LITERATURA ESPECIALIZADA</w:t>
      </w:r>
    </w:p>
    <w:p w14:paraId="00000003">
      <w:pPr>
        <w:tabs>
          <w:tab w:val="left" w:pos="880"/>
        </w:tabs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4"/>
          <w:szCs w:val="24"/>
        </w:rPr>
      </w:pPr>
    </w:p>
    <w:p w14:paraId="00000004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Maria do Socorro de Souza Melo</w:t>
      </w:r>
    </w:p>
    <w:p w14:paraId="00000005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Universidade Federal do Amapá-UNIFAP</w:t>
      </w:r>
    </w:p>
    <w:p w14:paraId="00000006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maria.melo.unifap.t4@gmail.com</w:t>
      </w:r>
    </w:p>
    <w:p w14:paraId="00000007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Dr. Luis Alexandre Lemos Costa</w:t>
      </w:r>
    </w:p>
    <w:p w14:paraId="00000008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Universidade Federal do Amapá-UNIFAP</w:t>
      </w:r>
    </w:p>
    <w:p w14:paraId="100B7297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color w:val="auto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instrText xml:space="preserve"> HYPERLINK "mailto:luisalexandre@unifap.br" \h </w:instrTex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u w:val="single"/>
          <w:rtl w:val="0"/>
        </w:rPr>
        <w:t>luisalexandre@unifap.br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u w:val="single"/>
          <w:rtl w:val="0"/>
        </w:rPr>
        <w:fldChar w:fldCharType="end"/>
      </w:r>
    </w:p>
    <w:p w14:paraId="0000000A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  <w:t>Eixo</w:t>
      </w:r>
      <w:r>
        <w:rPr>
          <w:rFonts w:hint="default" w:ascii="Times New Roman" w:hAnsi="Times New Roman" w:eastAsia="Times New Roman" w:cs="Times New Roman"/>
          <w:b/>
          <w:color w:val="919298"/>
          <w:sz w:val="24"/>
          <w:szCs w:val="24"/>
          <w:shd w:val="clear" w:fill="F7F9FA"/>
          <w:rtl w:val="0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shd w:val="clear" w:fill="F7F9FA"/>
          <w:rtl w:val="0"/>
        </w:rPr>
        <w:t>1 – Educação Inclusiva, Acessibilidade e Tecnologias Assistivas</w:t>
      </w:r>
    </w:p>
    <w:p w14:paraId="0000000B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  <w:t xml:space="preserve">Palavras-chave: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Altas Habilidades; Superdotação; Mitos; Inclusão Escolar; Educação Especial.</w:t>
      </w:r>
    </w:p>
    <w:p w14:paraId="026EB2F2">
      <w:pPr>
        <w:spacing w:after="0"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</w:rPr>
      </w:pPr>
    </w:p>
    <w:p w14:paraId="02C4BE30">
      <w:pPr>
        <w:spacing w:before="0" w:after="0" w:line="240" w:lineRule="auto"/>
        <w:jc w:val="left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Resumo Expandido</w:t>
      </w:r>
    </w:p>
    <w:p w14:paraId="32632ABF">
      <w:p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b/>
          <w:sz w:val="24"/>
          <w:szCs w:val="24"/>
          <w:rtl w:val="0"/>
          <w:lang w:eastAsia="pt-BR"/>
        </w:rPr>
      </w:pPr>
    </w:p>
    <w:p w14:paraId="0000000E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  <w:t>1 Introdução</w:t>
      </w:r>
    </w:p>
    <w:p w14:paraId="0000000F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</w:rPr>
      </w:pPr>
    </w:p>
    <w:p w14:paraId="6C6E1D47">
      <w:pPr>
        <w:spacing w:before="0"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sz w:val="24"/>
          <w:szCs w:val="24"/>
          <w:rtl w:val="0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As Altas Habilidades/Superdotação (AH/SD) representam um campo da educação especial que ainda carece de ampla compreensão no Brasil. Embora a legislação assegure atendimento especializado, desde 1960, como aponta o Parecer CNE/CP 51/2023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 xml:space="preserve"> estudantes com Altas Habilidades/Superdotação (AH/SD) configuram um grupo cuja realidade ainda permanece marcada pela invisibilidade e pela insuficiência de respostas adequadas às suas demandas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como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aponta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 o senso escolar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(graf.1), (Inep, MEC, 2022)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, quando retrata o panorama de matrículas de alunos de AH/SD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quando comparado às matrículas de estudantes com deficiências ou TEA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.</w:t>
      </w:r>
    </w:p>
    <w:p w14:paraId="64F967E2">
      <w:pPr>
        <w:spacing w:before="0" w:after="0" w:line="240" w:lineRule="auto"/>
        <w:jc w:val="center"/>
        <w:rPr>
          <w:rFonts w:ascii="Arial" w:hAnsi="Arial" w:eastAsia="Arial" w:cs="Arial"/>
          <w:sz w:val="24"/>
          <w:szCs w:val="24"/>
          <w:rtl w:val="0"/>
        </w:rPr>
      </w:pPr>
    </w:p>
    <w:p w14:paraId="2E89F3E8">
      <w:pPr>
        <w:spacing w:before="0" w:after="0" w:line="240" w:lineRule="auto"/>
        <w:jc w:val="center"/>
        <w:rPr>
          <w:rFonts w:ascii="Arial" w:hAnsi="Arial" w:eastAsia="Arial" w:cs="Arial"/>
          <w:sz w:val="24"/>
          <w:szCs w:val="24"/>
          <w:rtl w:val="0"/>
        </w:rPr>
      </w:pPr>
      <w:r>
        <w:rPr>
          <w:rFonts w:ascii="Arial" w:hAnsi="Arial" w:eastAsia="Arial" w:cs="Arial"/>
          <w:sz w:val="24"/>
          <w:szCs w:val="24"/>
          <w:rtl w:val="0"/>
        </w:rPr>
        <w:t>Gráfico 1- Matrículas de estudantes com TEA e com deficiências em comparação aos alunos com AH/SD</w:t>
      </w:r>
    </w:p>
    <w:p w14:paraId="19811570">
      <w:pPr>
        <w:spacing w:after="0" w:line="24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drawing>
          <wp:inline distT="114300" distB="114300" distL="114300" distR="114300">
            <wp:extent cx="4164965" cy="2096135"/>
            <wp:effectExtent l="0" t="0" r="10795" b="6985"/>
            <wp:docPr id="160478664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786646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4965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FF00E">
      <w:pPr>
        <w:jc w:val="center"/>
        <w:rPr>
          <w:rFonts w:ascii="Arial" w:hAnsi="Arial" w:eastAsia="Arial" w:cs="Arial"/>
          <w:sz w:val="24"/>
          <w:szCs w:val="24"/>
          <w:rtl w:val="0"/>
        </w:rPr>
      </w:pPr>
      <w:r>
        <w:rPr>
          <w:rFonts w:ascii="Arial" w:hAnsi="Arial" w:eastAsia="Arial" w:cs="Arial"/>
          <w:sz w:val="20"/>
          <w:szCs w:val="20"/>
          <w:rtl w:val="0"/>
        </w:rPr>
        <w:t>Fonte: Inep, MEC (2022)</w:t>
      </w:r>
    </w:p>
    <w:p w14:paraId="4FE81337">
      <w:pPr>
        <w:spacing w:before="0" w:after="0" w:line="24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A relevância social e educacional do tema é evidente: estima-se que aproximadamente 5% da população estudantil brasileira possua AH/SD, mas apenas uma fração é formalmente reconhecida pelas redes de ensino (MEC, 2008), </w:t>
      </w:r>
    </w:p>
    <w:p w14:paraId="00000017">
      <w:pPr>
        <w:spacing w:after="0" w:line="240" w:lineRule="auto"/>
        <w:ind w:firstLine="720" w:firstLineChars="0"/>
        <w:jc w:val="both"/>
        <w:rPr>
          <w:rFonts w:hint="default" w:ascii="Times New Roman" w:hAnsi="Times New Roman" w:eastAsia="Times New Roman" w:cs="Times New Roman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A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identificação e o desenvolvimento dos estudantes com AH/SD continuam comprometidos por diversos aspectos, dentre estes crenças equivocadas, preconceitos e desconhecimento. </w:t>
      </w:r>
    </w:p>
    <w:p w14:paraId="1B8A7AAA">
      <w:pPr>
        <w:spacing w:after="0" w:line="240" w:lineRule="auto"/>
        <w:ind w:firstLine="720" w:firstLineChars="0"/>
        <w:jc w:val="both"/>
        <w:rPr>
          <w:rFonts w:hint="default" w:ascii="Times New Roman" w:hAnsi="Times New Roman" w:eastAsia="Times New Roman" w:cs="Times New Roman"/>
          <w:sz w:val="24"/>
          <w:szCs w:val="24"/>
          <w:rtl w:val="0"/>
        </w:rPr>
      </w:pPr>
    </w:p>
    <w:p w14:paraId="266B799B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  <w:t>2 Fundamentos Teóricos</w:t>
      </w:r>
      <w:bookmarkStart w:id="0" w:name="_heading=h.hbiefg52d3o0" w:colFirst="0" w:colLast="0"/>
      <w:bookmarkEnd w:id="0"/>
    </w:p>
    <w:p w14:paraId="3F830C32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</w:pPr>
    </w:p>
    <w:p w14:paraId="0E8FE9C9">
      <w:pPr>
        <w:spacing w:before="0"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sz w:val="24"/>
          <w:szCs w:val="24"/>
          <w:rtl w:val="0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O Ministério da Educação define o estudante com AH/SD como aquele que demonstra potencial elevado em áreas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>: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 intelectuais, acadêmicas, artísticas, de liderança ou psicomotricidade, aliado à elevada criatividade e envolvimento com a aprendizagem (BRASIL, 2008). </w:t>
      </w:r>
      <w:bookmarkStart w:id="1" w:name="_heading=h.27y36ccznt0o" w:colFirst="0" w:colLast="0"/>
      <w:bookmarkEnd w:id="1"/>
    </w:p>
    <w:p w14:paraId="000000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720"/>
        <w:jc w:val="both"/>
        <w:textAlignment w:val="auto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O aporte teórico ancora-se em estudiosos como: Howard Gardner (1995), com a Teoria das Inteligências Múltiplas, rompeu com a visão de inteligência unidimensional, apontando múltiplos domínios — linguístico, lógico-matemático, musical, espacial, corporal-cinestésico, interpessoal e intrapessoal.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>P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ara Gardner (1995, p. 39)  “As escolas devem ser locais onde todos os tipos de talentos possam ser reconhecidos e estimulados. Uma inteligência não é mais valiosa do que outra, embora a sociedade muitas vezes atribua mais prestígio a algumas delas”.</w:t>
      </w:r>
    </w:p>
    <w:p w14:paraId="476B4F28">
      <w:pPr>
        <w:spacing w:before="0" w:after="0" w:line="240" w:lineRule="auto"/>
        <w:ind w:firstLine="72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pt-BR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 Joseph Renzulli (2005), no Modelo dos Três Anéis, propôs que a superdotação resulta da interação entre habilidades acima da média, criatividade e comprometimento com a tarefa, destacando a importância de contextos que favoreçam o desenvolvimento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das habilidades e caraterísticas deste público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. Este modelo é amplamente utilizado no cenário educacional brasileiro, sendo base para o desenvolvimento de políticas públicas para estudantes com caracterís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>ticas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 de Altas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>Habilidades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/Superdotação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MEC (Resolução n. 4, 2009)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pt-BR"/>
        </w:rPr>
        <w:t>.</w:t>
      </w:r>
    </w:p>
    <w:p w14:paraId="32C8ADF7">
      <w:pPr>
        <w:spacing w:before="0"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sz w:val="24"/>
          <w:szCs w:val="24"/>
          <w:rtl w:val="0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No Brasil, Alencar (2001) destaca que pessoas com altas habilidades/superdotação formam um grupo muitas vezes mal compreendido e pouco valorizado, o que evidencia a carência de programas específicos para atender às suas demandas. </w:t>
      </w:r>
    </w:p>
    <w:p w14:paraId="5C1C1382">
      <w:pPr>
        <w:spacing w:before="0"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sz w:val="24"/>
          <w:szCs w:val="24"/>
          <w:rtl w:val="0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A Dra. Angela Virgolim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(2008)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 e a Dra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>.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 Cristina Delou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(2011)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 têm contribuído para a adaptação desses referenciais, abordando os desafios de identificação e atendimento no contexto nacional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.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>M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uitos tratam os superdotados, como grupos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de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 pessoas privilegiadas [...] e que não precisam de mais nada para se desenvolverem, como se já viessem prontos. (Virgolim, 2018).</w:t>
      </w:r>
    </w:p>
    <w:p w14:paraId="0000002A">
      <w:pPr>
        <w:spacing w:before="0"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FF"/>
          <w:sz w:val="24"/>
          <w:szCs w:val="24"/>
          <w:rtl w:val="0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 Delou (2011), que também fala de preconceitos e mitos sobre superdotados, alerta que  muitos destes pensamentos desvirtuados levam a criança, com Altas Habilidades/Superdotação, a mascarar ou negar suas habilidades, em busca de aceitação.</w:t>
      </w:r>
      <w:r>
        <w:rPr>
          <w:rFonts w:hint="default" w:ascii="Times New Roman" w:hAnsi="Times New Roman" w:eastAsia="Times New Roman" w:cs="Times New Roman"/>
          <w:color w:val="0000FF"/>
          <w:sz w:val="24"/>
          <w:szCs w:val="24"/>
          <w:rtl w:val="0"/>
        </w:rPr>
        <w:t xml:space="preserve"> </w:t>
      </w:r>
    </w:p>
    <w:p w14:paraId="1C16EC35">
      <w:pPr>
        <w:spacing w:before="0" w:after="0" w:line="240" w:lineRule="auto"/>
        <w:ind w:left="2200" w:leftChars="1000" w:firstLine="0" w:firstLineChars="0"/>
        <w:jc w:val="both"/>
        <w:rPr>
          <w:rFonts w:hint="default" w:ascii="Times New Roman" w:hAnsi="Times New Roman" w:eastAsia="Times New Roman" w:cs="Times New Roman"/>
          <w:color w:val="0000FF"/>
          <w:sz w:val="24"/>
          <w:szCs w:val="24"/>
          <w:rtl w:val="0"/>
        </w:rPr>
      </w:pPr>
    </w:p>
    <w:p w14:paraId="45D179B7">
      <w:pPr>
        <w:spacing w:before="0" w:after="0" w:line="240" w:lineRule="auto"/>
        <w:ind w:left="0" w:firstLine="720"/>
        <w:jc w:val="both"/>
        <w:rPr>
          <w:rFonts w:hint="default" w:ascii="Times New Roman" w:hAnsi="Times New Roman" w:eastAsia="Times New Roman" w:cs="Times New Roman"/>
          <w:b/>
          <w:sz w:val="24"/>
          <w:szCs w:val="24"/>
          <w:rtl w:val="0"/>
          <w:lang w:val="pt-BR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A Lei de Diretrizes e Bases da Educação Nacional (LDB, Lei nº 9.394/1996), em seus artigos 58 e 59, garante o atendimento educacional especializado para alunos com AH/SD. Outros documentos reforçam essa política, como a Política Nacional de Educação Especial na Perspectiva da Educação Inclusiva (2008) e o Plano Nacional de Educação (PNE), que estabelece metas para a inclusão desses estudantes.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Essa lacuna entre a legislação e a realidade escolar reforça a urgência de tornar visíveis as necessidades específicas desse público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.</w:t>
      </w:r>
    </w:p>
    <w:p w14:paraId="2F83243A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  <w:rtl w:val="0"/>
          <w:lang w:val="pt-BR"/>
        </w:rPr>
      </w:pPr>
    </w:p>
    <w:p w14:paraId="0000002E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  <w:lang w:val="pt-BR"/>
        </w:rPr>
        <w:t xml:space="preserve">3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  <w:t>Metodologia</w:t>
      </w:r>
    </w:p>
    <w:p w14:paraId="0000002F">
      <w:pPr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</w:pPr>
    </w:p>
    <w:p w14:paraId="00000031">
      <w:pPr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A metodologia adotada é uma revisão bibliográfica, contemplando publicações de autores reconhecidos na área e diretrizes do Ministério da Educação, que dialoga com autores de referência, como Gardner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(1995)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, Renzulli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(2005)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, além de contribuições brasileiras de Virgolim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(2018)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>Perez (2008)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, Delou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(2011),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 Alencar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(2001)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 e outros.</w:t>
      </w:r>
    </w:p>
    <w:p w14:paraId="022A3440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  <w:rtl w:val="0"/>
          <w:lang w:val="pt-BR"/>
        </w:rPr>
      </w:pPr>
    </w:p>
    <w:p w14:paraId="00000032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  <w:lang w:val="pt-BR"/>
        </w:rPr>
        <w:t xml:space="preserve">4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  <w:t>Análise de dados</w:t>
      </w:r>
    </w:p>
    <w:p w14:paraId="00000033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  <w:tab/>
      </w:r>
    </w:p>
    <w:p w14:paraId="6DD3C908">
      <w:pPr>
        <w:spacing w:before="0" w:after="0" w:line="240" w:lineRule="auto"/>
        <w:ind w:firstLine="720" w:firstLineChars="0"/>
        <w:jc w:val="both"/>
        <w:rPr>
          <w:rFonts w:hint="default" w:ascii="Times New Roman" w:hAnsi="Times New Roman" w:eastAsia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O estudo aponta que apesar do embasamento teórico e legal, mitos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 são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 persis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tentes, o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que dificulta e até impede  práticas pedagógicas adequadas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 xml:space="preserve">. O quadro abaixo esclarece mitos e verdades  sobre as altas habilidades/superdotação, com base em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Winner (1998)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>.</w:t>
      </w:r>
    </w:p>
    <w:p w14:paraId="1F242B77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rtl w:val="0"/>
        </w:rPr>
      </w:pPr>
    </w:p>
    <w:p w14:paraId="00000036">
      <w:pPr>
        <w:spacing w:before="0"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Mitos </w:t>
      </w:r>
      <w:r>
        <w:rPr>
          <w:rFonts w:hint="default" w:ascii="Times New Roman" w:hAnsi="Times New Roman" w:eastAsia="Times New Roman" w:cs="Times New Roman"/>
          <w:i/>
          <w:sz w:val="24"/>
          <w:szCs w:val="24"/>
          <w:rtl w:val="0"/>
        </w:rPr>
        <w:t xml:space="preserve">versus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Realidade, com base na obra de Winner (1998)</w:t>
      </w:r>
    </w:p>
    <w:tbl>
      <w:tblPr>
        <w:tblStyle w:val="17"/>
        <w:tblW w:w="8943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378"/>
        <w:gridCol w:w="6565"/>
      </w:tblGrid>
      <w:tr w14:paraId="566E8F7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9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3DBFF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>MITO</w:t>
            </w:r>
          </w:p>
        </w:tc>
        <w:tc>
          <w:tcPr>
            <w:tcW w:w="6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3DBFF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>REALIDADE</w:t>
            </w:r>
          </w:p>
        </w:tc>
      </w:tr>
      <w:tr w14:paraId="1BB8EB5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602" w:hRule="atLeast"/>
        </w:trPr>
        <w:tc>
          <w:tcPr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 xml:space="preserve">Mito 1 –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Superdotação Global</w:t>
            </w:r>
          </w:p>
        </w:tc>
        <w:tc>
          <w:tcPr>
            <w:tcW w:w="65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É incomum que crianças apresentem superdotação de maneira homogênea em todos os domínios acadêmicos.</w:t>
            </w:r>
          </w:p>
        </w:tc>
      </w:tr>
      <w:tr w14:paraId="49F8BF4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23" w:hRule="atLeast"/>
        </w:trPr>
        <w:tc>
          <w:tcPr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 xml:space="preserve">Mito 2 –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Talentosos, mas não superdotados</w:t>
            </w:r>
          </w:p>
        </w:tc>
        <w:tc>
          <w:tcPr>
            <w:tcW w:w="65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As mesmas concepções generalistas são equivocadamente aplicadas a todos os indivíduos com AH/SD, independentemente de suas áreas de destaque, sejam acadêmicas ou artísticas.</w:t>
            </w:r>
          </w:p>
        </w:tc>
      </w:tr>
      <w:tr w14:paraId="7765356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90" w:hRule="atLeast"/>
        </w:trPr>
        <w:tc>
          <w:tcPr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 xml:space="preserve">Mito 3 –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QI Excepcional</w:t>
            </w:r>
          </w:p>
        </w:tc>
        <w:tc>
          <w:tcPr>
            <w:tcW w:w="65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É possível que crianças demonstrem talentos extraordinários nas artes ou na música sem necessariamente apresentarem um quociente intelectual elevado.</w:t>
            </w:r>
          </w:p>
        </w:tc>
      </w:tr>
      <w:tr w14:paraId="7193544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17" w:hRule="atLeast"/>
        </w:trPr>
        <w:tc>
          <w:tcPr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 xml:space="preserve">Mito 4 e 5 –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Biologia </w:t>
            </w:r>
            <w:r>
              <w:rPr>
                <w:rFonts w:hint="default" w:ascii="Times New Roman" w:hAnsi="Times New Roman" w:eastAsia="Times New Roman" w:cs="Times New Roman"/>
                <w:i/>
                <w:sz w:val="24"/>
                <w:szCs w:val="24"/>
                <w:rtl w:val="0"/>
              </w:rPr>
              <w:t xml:space="preserve">versus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Ambiente</w:t>
            </w:r>
          </w:p>
        </w:tc>
        <w:tc>
          <w:tcPr>
            <w:tcW w:w="65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 superdotação resulta da combinação entre uma predisposição inata e uma dedicação intensa à área de interesse, sendo potencializada com pouca orientação externa.</w:t>
            </w:r>
          </w:p>
        </w:tc>
      </w:tr>
      <w:tr w14:paraId="1FCE167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688" w:hRule="atLeast"/>
        </w:trPr>
        <w:tc>
          <w:tcPr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 xml:space="preserve">Mito 6 –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 pai dominador</w:t>
            </w:r>
          </w:p>
        </w:tc>
        <w:tc>
          <w:tcPr>
            <w:tcW w:w="65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Os pais não criam talentos, mas atuam como incentivadores no processo de desenvolvimento das potencialidades.</w:t>
            </w:r>
          </w:p>
        </w:tc>
      </w:tr>
      <w:tr w14:paraId="6ECD14E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973" w:hRule="atLeast"/>
        </w:trPr>
        <w:tc>
          <w:tcPr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 xml:space="preserve">Mito 7 –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Esbanjando saúde psicológica</w:t>
            </w:r>
          </w:p>
        </w:tc>
        <w:tc>
          <w:tcPr>
            <w:tcW w:w="65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Estudantes superdotados tendem a ser intensos, introspectivos e solitários, e só se ajustam socialmente quando encontram pares com interesses intelectuais semelhantes.</w:t>
            </w:r>
          </w:p>
        </w:tc>
      </w:tr>
      <w:tr w14:paraId="100BA34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208" w:hRule="atLeast"/>
        </w:trPr>
        <w:tc>
          <w:tcPr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 xml:space="preserve">Mito 8 –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Todas as crianças são superdotadas?</w:t>
            </w:r>
          </w:p>
        </w:tc>
        <w:tc>
          <w:tcPr>
            <w:tcW w:w="65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Embora todas as crianças apresentem variações em suas habilidades, algumas se destacam por possuírem competências extraordinárias em áreas específicas. Altos níveis de superdotação demandam intervenções educacionais específicas e diferenciadas.</w:t>
            </w:r>
          </w:p>
        </w:tc>
      </w:tr>
      <w:tr w14:paraId="2D54ED7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57" w:hRule="atLeast"/>
        </w:trPr>
        <w:tc>
          <w:tcPr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rtl w:val="0"/>
              </w:rPr>
              <w:t xml:space="preserve">Mito 9 –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Crianças superdotadas se tornam adultos eminentes</w:t>
            </w:r>
          </w:p>
        </w:tc>
        <w:tc>
          <w:tcPr>
            <w:tcW w:w="65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 eminência na vida adulta não está assegurada pela superdotação infantil; o desenvolvimento pleno depende da interação entre sujeito e contexto sociocultural.</w:t>
            </w:r>
          </w:p>
        </w:tc>
      </w:tr>
    </w:tbl>
    <w:p w14:paraId="00000049">
      <w:pPr>
        <w:spacing w:before="0"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pt-BR"/>
        </w:rPr>
        <w:t>Adaptado de Winner,1998</w:t>
      </w:r>
    </w:p>
    <w:p w14:paraId="234224D0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</w:pPr>
      <w:bookmarkStart w:id="2" w:name="_heading=h.tq1auqxrjpg3" w:colFirst="0" w:colLast="0"/>
      <w:bookmarkEnd w:id="2"/>
    </w:p>
    <w:p w14:paraId="00000050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  <w:t>Conclusões</w:t>
      </w:r>
    </w:p>
    <w:p w14:paraId="00000051">
      <w:pPr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sz w:val="24"/>
          <w:szCs w:val="24"/>
        </w:rPr>
      </w:pPr>
    </w:p>
    <w:p w14:paraId="00000052">
      <w:pPr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A análise evidencia que os mitos sobre AH/SD persistem mesmo diante de avanços científicos e normativos. O desconhecimento sobre a diversidade de manifestações da superdotação perpetua práticas excludentes, prejudicando a trajetória educacional de muitos estudantes talentosos.</w:t>
      </w:r>
    </w:p>
    <w:p w14:paraId="00000053">
      <w:pPr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pt-BR"/>
        </w:rPr>
        <w:t>Por fim, r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ecomenda-se que redes de ensino ampliem ações de identificação, especialmente em contextos de vulnerabilidade social, e que pesquisadores desenvolvam estudos que revelem a pluralidade de talentos existentes na população brasileira.</w:t>
      </w:r>
    </w:p>
    <w:p w14:paraId="00000054">
      <w:pPr>
        <w:spacing w:before="0" w:after="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</w:rPr>
      </w:pPr>
    </w:p>
    <w:p w14:paraId="3EE4ED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  <w:t>Referências</w:t>
      </w:r>
    </w:p>
    <w:p w14:paraId="34783A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</w:pPr>
    </w:p>
    <w:p w14:paraId="2CABEB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 xml:space="preserve">ALENCAR, Eunice Maria Lima Soriano. </w:t>
      </w:r>
      <w:r>
        <w:rPr>
          <w:rFonts w:hint="default" w:ascii="Times New Roman" w:hAnsi="Times New Roman" w:eastAsia="Arial" w:cs="Times New Roman"/>
          <w:b/>
          <w:sz w:val="24"/>
          <w:szCs w:val="24"/>
          <w:rtl w:val="0"/>
        </w:rPr>
        <w:t>Criatividade e educação de superdotados.</w:t>
      </w: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 xml:space="preserve"> Petrópolis, RJ: Vozes, 2001.</w:t>
      </w:r>
    </w:p>
    <w:p w14:paraId="305C6E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</w:p>
    <w:p w14:paraId="000005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 xml:space="preserve">BRASIL. </w:t>
      </w:r>
      <w:r>
        <w:rPr>
          <w:rFonts w:hint="default" w:ascii="Times New Roman" w:hAnsi="Times New Roman" w:eastAsia="Arial" w:cs="Times New Roman"/>
          <w:b/>
          <w:sz w:val="24"/>
          <w:szCs w:val="24"/>
          <w:rtl w:val="0"/>
        </w:rPr>
        <w:t>Lei nº 9.394, de 20 de dezembro de 1996</w:t>
      </w: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>. Estabelece as diretrizes e bases da educação nacional. Diário Oficial da União: seção 1, Brasília, DF, 23 dez. 1996.</w:t>
      </w:r>
    </w:p>
    <w:p w14:paraId="6AEBCC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</w:p>
    <w:p w14:paraId="000005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 xml:space="preserve">BRASIL, Ministério da Educação. </w:t>
      </w:r>
      <w:r>
        <w:rPr>
          <w:rFonts w:hint="default" w:ascii="Times New Roman" w:hAnsi="Times New Roman" w:eastAsia="Arial" w:cs="Times New Roman"/>
          <w:b/>
          <w:sz w:val="24"/>
          <w:szCs w:val="24"/>
          <w:rtl w:val="0"/>
        </w:rPr>
        <w:t>Política Nacional de Educação Especial na Perspectiva da Educação Inclusiva</w:t>
      </w: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>. Brasília: MEC/SEESP, 2008.</w:t>
      </w:r>
    </w:p>
    <w:p w14:paraId="259186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</w:p>
    <w:p w14:paraId="12571F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BRASIL. Ministério da Educação. 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>Parecer CNE/CP nº 51/2023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, aprovado em 5 de dezembro de 2023 — Orientações Específicas para o Público da Educação Especial: atendimento dos estudantes com altas habilidades/superdotação. Diário Oficial da União, Seção 1, p. 14, 22 jan. 2024. Disponível em: https://portal.mec.gov.br/index.php?option=com_docman&amp;view=download&amp;alias=254491- pcp051-23&amp;category_slug=dezembro-2023-pdf&amp;Itemid=30192. Acesso em: </w:t>
      </w:r>
      <w:r>
        <w:rPr>
          <w:rFonts w:hint="default" w:ascii="Times New Roman" w:hAnsi="Times New Roman" w:eastAsia="SimSun" w:cs="Times New Roman"/>
          <w:sz w:val="24"/>
          <w:szCs w:val="24"/>
          <w:lang w:val="pt-BR"/>
        </w:rPr>
        <w:t>23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pt-BR"/>
        </w:rPr>
        <w:t>maio</w:t>
      </w:r>
      <w:r>
        <w:rPr>
          <w:rFonts w:hint="default" w:ascii="Times New Roman" w:hAnsi="Times New Roman" w:eastAsia="SimSun" w:cs="Times New Roman"/>
          <w:sz w:val="24"/>
          <w:szCs w:val="24"/>
        </w:rPr>
        <w:t>. 2025.</w:t>
      </w:r>
    </w:p>
    <w:p w14:paraId="6AB9EB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eastAsia="SimSun" w:cs="Times New Roman"/>
          <w:sz w:val="24"/>
          <w:szCs w:val="24"/>
          <w:rtl w:val="0"/>
        </w:rPr>
      </w:pPr>
    </w:p>
    <w:p w14:paraId="000005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>DELOU, Cristina Maria Carvalho. Os preconceitos levam muitas crianças a mascarar ou negar suas habilidades, em busca de aceitação.</w:t>
      </w:r>
      <w:r>
        <w:rPr>
          <w:rFonts w:hint="default" w:ascii="Times New Roman" w:hAnsi="Times New Roman" w:eastAsia="Arial" w:cs="Times New Roman"/>
          <w:b/>
          <w:sz w:val="24"/>
          <w:szCs w:val="24"/>
          <w:rtl w:val="0"/>
        </w:rPr>
        <w:t xml:space="preserve"> Revista Ensino Superior</w:t>
      </w: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>, São Paulo, 10 set. 2011. Disponível em: https://revistaensinosuperior.com.br/2011/09/10/mentes-inquietas/. Acesso em: 12 ago. 2025.</w:t>
      </w:r>
    </w:p>
    <w:p w14:paraId="76F2B2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</w:p>
    <w:p w14:paraId="287218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 xml:space="preserve">GARDNER, Howard. </w:t>
      </w:r>
      <w:r>
        <w:rPr>
          <w:rFonts w:hint="default" w:ascii="Times New Roman" w:hAnsi="Times New Roman" w:eastAsia="Arial" w:cs="Times New Roman"/>
          <w:b/>
          <w:sz w:val="24"/>
          <w:szCs w:val="24"/>
          <w:rtl w:val="0"/>
        </w:rPr>
        <w:t>Inteligências Múltiplas:</w:t>
      </w: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 xml:space="preserve"> a teoria na prática. Porto Alegre: Artmed, 1995.</w:t>
      </w:r>
    </w:p>
    <w:p w14:paraId="71BB12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</w:p>
    <w:p w14:paraId="000005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 xml:space="preserve">PÉREZ. Susana G. P. </w:t>
      </w:r>
      <w:r>
        <w:rPr>
          <w:rFonts w:hint="default" w:ascii="Times New Roman" w:hAnsi="Times New Roman" w:eastAsia="Arial" w:cs="Times New Roman"/>
          <w:b/>
          <w:sz w:val="24"/>
          <w:szCs w:val="24"/>
          <w:rtl w:val="0"/>
        </w:rPr>
        <w:t>Barreira. Ser ou não ser, eis a questão</w:t>
      </w: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 xml:space="preserve">: o processo de construção da identidade na pessoa com altas habilidades/superdotação adulta. </w:t>
      </w:r>
    </w:p>
    <w:p w14:paraId="29430B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</w:p>
    <w:p w14:paraId="1246BA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 xml:space="preserve">RENZULLI, J. S. </w:t>
      </w:r>
      <w:r>
        <w:rPr>
          <w:rFonts w:hint="default" w:ascii="Times New Roman" w:hAnsi="Times New Roman" w:eastAsia="Arial" w:cs="Times New Roman"/>
          <w:b/>
          <w:sz w:val="24"/>
          <w:szCs w:val="24"/>
          <w:rtl w:val="0"/>
        </w:rPr>
        <w:t>The three-ring conception of giftedness</w:t>
      </w: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>: A developmental model for promoting creative productivity. In: STERNBERG, R. J.; DAVIDSON, J. E. (org.). Conceptions of Giftedness. 2. ed. Cambridge: Cambridge University Press, 2005. p. 246–279.</w:t>
      </w:r>
    </w:p>
    <w:p w14:paraId="37B1DE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</w:p>
    <w:p w14:paraId="23FFB5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 xml:space="preserve">VIRGOLIM, </w:t>
      </w:r>
      <w:r>
        <w:rPr>
          <w:rFonts w:hint="default" w:ascii="Times New Roman" w:hAnsi="Times New Roman" w:eastAsia="Arial" w:cs="Times New Roman"/>
          <w:b/>
          <w:sz w:val="24"/>
          <w:szCs w:val="24"/>
          <w:rtl w:val="0"/>
        </w:rPr>
        <w:t>Angela. Altas habilidades/superdotação</w:t>
      </w: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>: um diálogo pedagógico urgente. Editora Intersaberes, 2018.</w:t>
      </w:r>
    </w:p>
    <w:p w14:paraId="662D7E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</w:p>
    <w:p w14:paraId="000006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sz w:val="24"/>
          <w:szCs w:val="24"/>
          <w:rtl w:val="0"/>
        </w:rPr>
        <w:t>WINNER, E. Crianças superdotadas: mitos e realidades. Tradução Sandra Costa. Porto Alegre: Artes Médicas, 1998.</w:t>
      </w:r>
    </w:p>
    <w:p w14:paraId="3B050E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Times New Roman" w:hAnsi="Times New Roman" w:eastAsia="Arial" w:cs="Times New Roman"/>
          <w:sz w:val="24"/>
          <w:szCs w:val="24"/>
          <w:rtl w:val="0"/>
        </w:rPr>
      </w:pPr>
    </w:p>
    <w:sectPr>
      <w:pgSz w:w="11906" w:h="16838"/>
      <w:pgMar w:top="1701" w:right="1133" w:bottom="1134" w:left="1700" w:header="708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BB13888"/>
    <w:rsid w:val="0D781E29"/>
    <w:rsid w:val="121769BF"/>
    <w:rsid w:val="18327FEC"/>
    <w:rsid w:val="1D756A60"/>
    <w:rsid w:val="2EDD2042"/>
    <w:rsid w:val="3E5C1508"/>
    <w:rsid w:val="54075FBC"/>
    <w:rsid w:val="58E676CD"/>
    <w:rsid w:val="5CB141A2"/>
    <w:rsid w:val="61CA3A0F"/>
    <w:rsid w:val="63C11A36"/>
    <w:rsid w:val="6AA33303"/>
    <w:rsid w:val="71DE63BE"/>
    <w:rsid w:val="734D4051"/>
    <w:rsid w:val="74DC3FE8"/>
    <w:rsid w:val="787F22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Emphasis"/>
    <w:basedOn w:val="8"/>
    <w:qFormat/>
    <w:uiPriority w:val="0"/>
    <w:rPr>
      <w:i/>
      <w:iCs/>
    </w:rPr>
  </w:style>
  <w:style w:type="paragraph" w:styleId="12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paragraph" w:styleId="13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14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5">
    <w:name w:val="toc 1"/>
    <w:basedOn w:val="1"/>
    <w:next w:val="1"/>
    <w:autoRedefine/>
    <w:qFormat/>
    <w:uiPriority w:val="39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eastAsia="Calibri" w:cstheme="minorHAnsi"/>
      <w:b/>
      <w:bCs/>
      <w:caps/>
      <w:sz w:val="24"/>
      <w:szCs w:val="20"/>
    </w:rPr>
  </w:style>
  <w:style w:type="table" w:customStyle="1" w:styleId="16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_Style 13"/>
    <w:basedOn w:val="1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2wCybu3YStyYZEEsyrBhtceKSA==">CgMxLjAyDmguaGJpZWZnNTJkM28wMg5oLjI3eTM2Y2N6bnQwbzIOaC50cTFhdXF4cmpwZzM4AHIhMTNiYll6RjNpRlh2NFZBUlpZYjZVTjRKY0JiNGhoN1Ry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1220</Words>
  <Characters>7638</Characters>
  <TotalTime>24</TotalTime>
  <ScaleCrop>false</ScaleCrop>
  <LinksUpToDate>false</LinksUpToDate>
  <CharactersWithSpaces>8815</CharactersWithSpaces>
  <Application>WPS Office_12.2.0.22549_F1E327BC-269C-435d-A152-05C5408002CA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2025-07-07T16:04:00Z</dcterms:created>
  <dc:creator>Conta da Microsoft</dc:creator>
  <cp:lastModifiedBy>relp-melo</cp:lastModifiedBy>
  <dcterms:modified xsi:type="dcterms:W3CDTF">2025-09-28T12:58:07Z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1046-12.2.0.22549</vt:lpwstr>
  </property>
  <property fmtid="{D5CDD505-2E9C-101B-9397-08002B2CF9AE}" pid="3" name="ICV">
    <vt:lpwstr>1362166F1146407595C916828FA21D37_13</vt:lpwstr>
  </property>
</Properties>
</file>