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 w14:paraId="00000002">
      <w:pPr>
        <w:jc w:val="both"/>
        <w:rPr>
          <w:rFonts w:hint="default"/>
          <w:b/>
          <w:bCs/>
          <w:lang w:val="pt-BR"/>
        </w:rPr>
      </w:pPr>
      <w:r>
        <w:rPr>
          <w:b/>
          <w:bCs/>
        </w:rPr>
        <w:br w:type="page"/>
      </w:r>
    </w:p>
    <w:p w14:paraId="00000003">
      <w:pPr>
        <w:spacing w:before="120" w:after="120" w:line="360" w:lineRule="auto"/>
        <w:jc w:val="center"/>
        <w:rPr>
          <w:b/>
        </w:rPr>
      </w:pPr>
      <w:r>
        <w:rPr>
          <w:b/>
          <w:rtl w:val="0"/>
        </w:rPr>
        <w:t>EMERGÊNCIAS EM DESENCONTRO: O PODER PÚBLICO DE COSTAS PARA AGRICULTORES FAMILIARES DE BAIÃO/PA, AMAZÔNIA ORIENTAL</w:t>
      </w:r>
    </w:p>
    <w:p w14:paraId="00000004">
      <w:pPr>
        <w:spacing w:before="120" w:after="120" w:line="360" w:lineRule="auto"/>
        <w:ind w:hanging="2"/>
        <w:jc w:val="center"/>
        <w:rPr>
          <w:vertAlign w:val="superscript"/>
        </w:rPr>
      </w:pPr>
      <w:r>
        <w:rPr>
          <w:rtl w:val="0"/>
        </w:rPr>
        <w:t>Alanne Cristine Moura da Silva</w:t>
      </w:r>
      <w:r>
        <w:rPr>
          <w:vertAlign w:val="superscript"/>
        </w:rPr>
        <w:footnoteReference w:id="0"/>
      </w:r>
    </w:p>
    <w:p w14:paraId="00000005">
      <w:pPr>
        <w:spacing w:before="120" w:after="120" w:line="360" w:lineRule="auto"/>
        <w:ind w:hanging="2"/>
        <w:jc w:val="center"/>
        <w:rPr>
          <w:vertAlign w:val="superscript"/>
        </w:rPr>
      </w:pPr>
      <w:r>
        <w:rPr>
          <w:rtl w:val="0"/>
        </w:rPr>
        <w:t>Ana Felicien</w:t>
      </w:r>
      <w:r>
        <w:rPr>
          <w:vertAlign w:val="superscript"/>
        </w:rPr>
        <w:footnoteReference w:id="1"/>
      </w:r>
    </w:p>
    <w:p w14:paraId="00000006">
      <w:pPr>
        <w:spacing w:before="120" w:after="120" w:line="360" w:lineRule="auto"/>
        <w:ind w:hanging="2"/>
        <w:jc w:val="both"/>
        <w:rPr>
          <w:b/>
        </w:rPr>
      </w:pPr>
    </w:p>
    <w:p w14:paraId="00000007">
      <w:pPr>
        <w:spacing w:before="120" w:after="120" w:line="360" w:lineRule="auto"/>
        <w:ind w:hanging="2"/>
        <w:jc w:val="both"/>
      </w:pPr>
      <w:r>
        <w:rPr>
          <w:b/>
          <w:rtl w:val="0"/>
        </w:rPr>
        <w:t>GT6:</w:t>
      </w:r>
      <w:r>
        <w:rPr>
          <w:rtl w:val="0"/>
        </w:rPr>
        <w:t xml:space="preserve"> A problemática das águas, modos de vida e transições produtivas nos espaços rurais</w:t>
      </w:r>
    </w:p>
    <w:p w14:paraId="00000008">
      <w:pPr>
        <w:spacing w:before="120" w:after="120" w:line="360" w:lineRule="auto"/>
        <w:ind w:hanging="2"/>
        <w:jc w:val="both"/>
      </w:pPr>
    </w:p>
    <w:p w14:paraId="00000009">
      <w:pPr>
        <w:spacing w:before="120" w:after="120" w:line="360" w:lineRule="auto"/>
        <w:ind w:hanging="2"/>
        <w:jc w:val="center"/>
      </w:pPr>
      <w:r>
        <w:rPr>
          <w:rtl w:val="0"/>
        </w:rPr>
        <w:t>RESUMO</w:t>
      </w:r>
    </w:p>
    <w:p w14:paraId="0000000A">
      <w:pPr>
        <w:spacing w:before="120" w:after="120"/>
        <w:ind w:hanging="2"/>
        <w:jc w:val="both"/>
      </w:pPr>
      <w:r>
        <w:rPr>
          <w:rtl w:val="0"/>
        </w:rPr>
        <w:t xml:space="preserve">O objetivo deste artigo é </w:t>
      </w:r>
      <w:r>
        <w:rPr>
          <w:rFonts w:hint="default"/>
          <w:rtl w:val="0"/>
        </w:rPr>
        <w:t>analisar as estratégias desenvolvidas pelos agricultores de pimenta-do-reino frente à escassez de água, e evidenciar as limitações nas políticas municipais e estaduais de emergência climática na comunidade de Novo Tesouro, em Baião/PA.</w:t>
      </w:r>
      <w:r>
        <w:rPr>
          <w:rFonts w:hint="default"/>
          <w:rtl w:val="0"/>
          <w:lang w:val="pt-BR"/>
        </w:rPr>
        <w:t xml:space="preserve"> </w:t>
      </w:r>
      <w:bookmarkStart w:id="2" w:name="_GoBack"/>
      <w:bookmarkEnd w:id="2"/>
      <w:r>
        <w:rPr>
          <w:rtl w:val="0"/>
        </w:rPr>
        <w:t>Trata-se de um estudo exploratório realizado por meio de entrevistas abertas com 11 agricultores familiares em abril de 2025. Os relatos apontam a percepção generalizada de redução de chuvas, as quais afetam o ciclo da pimenta-do-reino e exigem novas práticas, dentre as quais, o uso de cobertura vegetal e irrigação manual. As principais conclusões indicam que, apesar da falta de recursos financeiros, os agricultores têm buscado formas adaptativas de manter suas produções diante das emergências climáticas, calcadas na compreensão de que a água é um recurso infinito que será cada vez mais utilizado, mesmo após a publicação do decreto de emergência pela sua falta em Baião, em 2024.</w:t>
      </w:r>
    </w:p>
    <w:p w14:paraId="0000000B">
      <w:pPr>
        <w:spacing w:before="120" w:after="120" w:line="360" w:lineRule="auto"/>
        <w:ind w:hanging="2"/>
        <w:jc w:val="both"/>
      </w:pPr>
    </w:p>
    <w:p w14:paraId="0000000C">
      <w:pPr>
        <w:spacing w:before="120" w:after="120" w:line="360" w:lineRule="auto"/>
        <w:ind w:hanging="2"/>
        <w:jc w:val="both"/>
      </w:pPr>
      <w:r>
        <w:rPr>
          <w:b/>
          <w:rtl w:val="0"/>
        </w:rPr>
        <w:t xml:space="preserve">Palavras-chave: </w:t>
      </w:r>
      <w:r>
        <w:rPr>
          <w:rtl w:val="0"/>
        </w:rPr>
        <w:t>Nordeste Paraense;</w:t>
      </w:r>
      <w:r>
        <w:rPr>
          <w:rFonts w:hint="default"/>
          <w:rtl w:val="0"/>
          <w:lang w:val="pt-BR"/>
        </w:rPr>
        <w:t xml:space="preserve"> Água;</w:t>
      </w:r>
      <w:r>
        <w:rPr>
          <w:rtl w:val="0"/>
        </w:rPr>
        <w:t xml:space="preserve"> Irrigação; Estiagem</w:t>
      </w:r>
      <w:r>
        <w:br w:type="page"/>
      </w:r>
    </w:p>
    <w:p w14:paraId="0000000D">
      <w:pPr>
        <w:spacing w:before="120" w:after="120" w:line="360" w:lineRule="auto"/>
        <w:jc w:val="both"/>
        <w:rPr>
          <w:b/>
        </w:rPr>
      </w:pPr>
      <w:r>
        <w:rPr>
          <w:b w:val="0"/>
          <w:bCs/>
          <w:rtl w:val="0"/>
        </w:rPr>
        <w:t>INTRODUÇÃO</w:t>
      </w:r>
    </w:p>
    <w:p w14:paraId="0000000E">
      <w:pPr>
        <w:spacing w:before="120" w:after="120" w:line="360" w:lineRule="auto"/>
        <w:ind w:firstLine="709"/>
        <w:jc w:val="both"/>
      </w:pPr>
      <w:r>
        <w:rPr>
          <w:rtl w:val="0"/>
        </w:rPr>
        <w:t xml:space="preserve">Este artigo trata das emergências climáticas e de suas implicações no município de Baião, localizado no Nordeste Paraense, Amazônia Oriental. Nessa região, Marengo et al. (2022) reportam uma tendência de aquecimento e secagem nas últimas décadas, especialmente na estação de transição seca-úmida que vai de julho a outubro. Os autores observaram um atraso no início da estação chuvosa e um aumento na frequência de dias secos na região, e atribuíram essa intensificação das secas à interação entre os fenômenos climáticos como </w:t>
      </w:r>
      <w:r>
        <w:rPr>
          <w:i/>
          <w:rtl w:val="0"/>
        </w:rPr>
        <w:t>El Niño</w:t>
      </w:r>
      <w:r>
        <w:rPr>
          <w:rtl w:val="0"/>
        </w:rPr>
        <w:t xml:space="preserve"> e </w:t>
      </w:r>
      <w:r>
        <w:rPr>
          <w:i/>
          <w:rtl w:val="0"/>
        </w:rPr>
        <w:t>La Niña</w:t>
      </w:r>
      <w:r>
        <w:rPr>
          <w:rtl w:val="0"/>
        </w:rPr>
        <w:t>, as tendências regionais de aquecimento e secagem que tem sido mais evidentes a partir dos anos 1980, somado ao aumento do desmatamento e conversão da floresta em pastagens e terras agrícolas. Segundo os autores, as estações secas e de transição estão se tornando mais longas, quentes e secas, elevando o risco de estresse hídrico. A análise da evaporação e da frequência de dias secos reforça a ligação entre o atraso das chuvas e o desmatamento, que pode exacerbar ainda mais a seca na Amazônia Oriental.</w:t>
      </w:r>
    </w:p>
    <w:p w14:paraId="0000000F">
      <w:pPr>
        <w:spacing w:before="120" w:after="120" w:line="360" w:lineRule="auto"/>
        <w:ind w:firstLine="709"/>
        <w:jc w:val="both"/>
      </w:pPr>
      <w:r>
        <w:rPr>
          <w:rtl w:val="0"/>
        </w:rPr>
        <w:t>De acordo com Bordalo (2022), a água deve ser entendida como um bem de direito universal indo além de valores econômicos e simbólicos, mas um valor espiritual, sanitário, cultural, alimentar e de saúde pública. A água deve ser tratada como patrimônio da humanidade, sem restrição de acesso aos povos, especialmente os da Amazônia brasileira. Todavia, um estudo de Silva, Correa e Ordóñez (2025) afirma que, apesar de concentrar cerca de 20% da água doce superficial do planeta, a Amazônia enfrenta uma crise hídrica, revelando, assim, um paradoxo: a abundância de recursos hídricos não garante acesso à água para quem vive e produz na região. A crise hídrica, portanto, é também social e política, exigindo medidas que garantam justiça no uso e distribuição da água.</w:t>
      </w:r>
    </w:p>
    <w:p w14:paraId="00000010">
      <w:pPr>
        <w:spacing w:before="120" w:after="120" w:line="360" w:lineRule="auto"/>
        <w:ind w:firstLine="709"/>
        <w:jc w:val="both"/>
      </w:pPr>
      <w:r>
        <w:rPr>
          <w:rtl w:val="0"/>
        </w:rPr>
        <w:t>O aumento na frequência de eventos, como chuvas fortes e enchentes, secas e estiagens, proporcionou declarações de emergência climática nos níveis nacional, estadual e municipal. No caso do município de Baião, no estado do Pará, o Decreto Municipal nº 084/2023 declarou, em dezembro de 2023, situação de emergência em razão de uma estiagem</w:t>
      </w:r>
      <w:r>
        <w:rPr>
          <w:vertAlign w:val="superscript"/>
        </w:rPr>
        <w:footnoteReference w:id="2"/>
      </w:r>
      <w:r>
        <w:rPr>
          <w:rtl w:val="0"/>
        </w:rPr>
        <w:t xml:space="preserve"> que ocasionou danos humanos, materiais e ambientais (Baião, 2023). Em janeiro de 2024, a Defesa Civil Nacional reconheceu oficialmente a situação de emergência pela Portaria nº 295, publicada pelo Ministério da Integração e do Desenvolvimento Regional (Brasil, 2024). Mas essa medida não foi isolada, isso porque, desde 2022, o Governo Federal já havia reconhecido desastres naturais em nível nacional, por meio da Portaria do Ministério do Desenvolvimento Regional nº 260, de 2 de fevereiro de 2022 (Brasil, 2022). Depois, em novembro de 2023, o Governo do Estado do Pará decretou situação de emergência em várias regiões afetadas pela estiagem, pelo Decreto Estadual nº 3.455/2023 (Pará, 2023). Apenas em dezembro de 2023 é que o município de Baião oficializou sua própria declaração de emergência. Essa sucessão prova uma política de enfrentamento às emergências climáticas de forma descendente, “de cima para baixo”, onde os níveis mais altos do poder público se antecipam ao local. Mas com a intensificação da seca e das suas implicações, os agricultores familiares arcam sozinhos com os custos de adaptação e desconhecem qualquer tipo de política pública associada ao problema.</w:t>
      </w:r>
    </w:p>
    <w:p w14:paraId="00000011">
      <w:pPr>
        <w:spacing w:before="120" w:after="120" w:line="360" w:lineRule="auto"/>
        <w:ind w:firstLine="708"/>
        <w:jc w:val="both"/>
      </w:pPr>
      <w:r>
        <w:rPr>
          <w:rtl w:val="0"/>
        </w:rPr>
        <w:t>Nos últimos anos, o termo “emergência climática” ganhou força em discursos públicos e institucionais para expressar a urgência da crise ambiental. No entanto, McHugh, Lemos e Morrison (2021) tratam isso como um enquadramento recente e ainda em disputa na literatura, que pode tanto abrir respostas políticas mais rápidas quanto funcionar apenas como retórica simbólica sem ações concretas. No estado do Pará, esse discurso provocou decretos, mas sua aplicação prática no território permanece limitada.</w:t>
      </w:r>
    </w:p>
    <w:p w14:paraId="00000012">
      <w:pPr>
        <w:spacing w:before="120" w:after="120" w:line="360" w:lineRule="auto"/>
        <w:ind w:firstLine="708"/>
        <w:jc w:val="both"/>
      </w:pPr>
      <w:r>
        <w:rPr>
          <w:rtl w:val="0"/>
        </w:rPr>
        <w:t>O município de Baião se destaca como o terceiro maior produtor de pimenta-do-reino do Estado do Pará. Segundo dados do Instituto Brasileiro de Geografia e Estatística (IBGE, 2023), houve no município uma redução na produção de pimenta-do-reino entre os anos de 2022 e 2023, passando de 4.050 para 2.378 toneladas, ficando atrás da mandioca e do açaí. Apesar da queda, a cultura permanece na economia local pela preferência, renda e experiência dos agricultores familiares que se dizem vocacionados à sua produção. A comunidade de Novo Tesouro, foco desta pesquisa e uma das localidades de abrangência do decreto municipal de emergência climática de 2023, tem na pimenta-do-reino sua principal atividade agrícola e fonte de renda. De acordo com um estudo de Krishnamurthy et al. (2016), essa cultura é sensível ao déficit hídrico, o que a torna vulnerável aos eventos recentes de estiagem.</w:t>
      </w:r>
    </w:p>
    <w:p w14:paraId="00000013">
      <w:pPr>
        <w:spacing w:before="120" w:after="120" w:line="360" w:lineRule="auto"/>
        <w:ind w:firstLine="708"/>
        <w:jc w:val="both"/>
      </w:pPr>
      <w:r>
        <w:rPr>
          <w:rtl w:val="0"/>
        </w:rPr>
        <w:t>Num contexto de escassez de água e pretensão da intensificação desordenada do seu uso, por uma compreensão de abundância e inesgotabilidade para enfrentar os efeitos das emergências, o objetivo deste artigo é analisar as estratégias desenvolvidas pelos agricultores de pimenta-do-reino frente à escassez de água, e evidenciar as limitações nas políticas municipais e estaduais de emergência climática na comunidade de Novo Tesouro, em Baião/PA.</w:t>
      </w:r>
    </w:p>
    <w:p w14:paraId="00000016">
      <w:pPr>
        <w:spacing w:before="120" w:after="120" w:line="360" w:lineRule="auto"/>
        <w:jc w:val="both"/>
      </w:pPr>
      <w:r>
        <w:rPr>
          <w:rtl w:val="0"/>
        </w:rPr>
        <w:t>Metodologia</w:t>
      </w:r>
    </w:p>
    <w:p w14:paraId="00000017">
      <w:pPr>
        <w:spacing w:before="120" w:after="120" w:line="360" w:lineRule="auto"/>
        <w:jc w:val="both"/>
      </w:pPr>
      <w:r>
        <w:rPr>
          <w:rtl w:val="0"/>
        </w:rPr>
        <w:tab/>
      </w:r>
      <w:r>
        <w:rPr>
          <w:rtl w:val="0"/>
        </w:rPr>
        <w:t>O estudo, de caráter exploratório, foi realizado na comunidade de Novo Tesouro no município de Baião, Nordeste Paraense, em abril de 2025. Foi realizada a revisão de literatura e de dados secundários, bem como o trabalho de campo, com realização de 11 entrevistas abertas com agricultores familiares que produzem pimenta-do-reino, sendo 10 homens e uma mulher. As entrevistas tiveram foco nas percepções sobre as emergências climáticas e as estratégias adotadas para enfrentar a escassez hídrica na produção dessa cultura.</w:t>
      </w:r>
    </w:p>
    <w:p w14:paraId="00000018">
      <w:pPr>
        <w:spacing w:before="120" w:after="120" w:line="360" w:lineRule="auto"/>
        <w:ind w:firstLine="720"/>
        <w:jc w:val="both"/>
        <w:rPr>
          <w:rtl w:val="0"/>
        </w:rPr>
      </w:pPr>
      <w:r>
        <w:rPr>
          <w:rtl w:val="0"/>
        </w:rPr>
        <w:t>Observações dos cultivos ocorreram na companhia dos agricultores. As entrevistas foram analisadas com base na proposta de análise qualitativa de Michelat (1987), que orienta uma leitura horizontal e vertical.</w:t>
      </w:r>
    </w:p>
    <w:p w14:paraId="03414783">
      <w:pPr>
        <w:spacing w:before="120" w:after="120" w:line="360" w:lineRule="auto"/>
        <w:jc w:val="both"/>
        <w:rPr>
          <w:rFonts w:hint="default"/>
          <w:rtl w:val="0"/>
          <w:lang w:val="pt-BR"/>
        </w:rPr>
      </w:pPr>
      <w:r>
        <w:rPr>
          <w:rFonts w:hint="default"/>
          <w:rtl w:val="0"/>
          <w:lang w:val="pt-BR"/>
        </w:rPr>
        <w:t>DESENVOLVIMENTO</w:t>
      </w:r>
    </w:p>
    <w:p w14:paraId="00000019">
      <w:pPr>
        <w:spacing w:before="120" w:after="120" w:line="360" w:lineRule="auto"/>
        <w:jc w:val="both"/>
      </w:pPr>
      <w:r>
        <w:rPr>
          <w:rtl w:val="0"/>
        </w:rPr>
        <w:t>A terra que não chove mais: percepções locais sobre clima, estiagem e o abalo nos saberes de plantio</w:t>
      </w:r>
    </w:p>
    <w:p w14:paraId="0000001A">
      <w:pPr>
        <w:spacing w:before="120" w:after="120" w:line="360" w:lineRule="auto"/>
        <w:ind w:firstLine="708"/>
        <w:jc w:val="both"/>
      </w:pPr>
      <w:r>
        <w:rPr>
          <w:rtl w:val="0"/>
        </w:rPr>
        <w:t>Os agricultores familiares de pimenta-do-reino não apenas observam as transformações, como as vivem em seus plantios. Para eles, o clima que antes apresentava certa regularidade e permitia um planejamento da produção, passou a ser descrito como imprevisível. Na fala de um agricultor, nota-se um sentimento de deslocamento em relação ao que era conhecido, a ideia de um “clima que mudou”: “Baião era de outro jeito, o clima era mais chuvoso, parece que o sol era mais frio, está com uns 3 anos que ninguém soube mais o que é frio” (A.B., 69 anos).</w:t>
      </w:r>
    </w:p>
    <w:p w14:paraId="0000001B">
      <w:pPr>
        <w:spacing w:before="120" w:after="120" w:line="360" w:lineRule="auto"/>
        <w:ind w:firstLine="708"/>
        <w:jc w:val="both"/>
      </w:pPr>
      <w:r>
        <w:rPr>
          <w:rtl w:val="0"/>
        </w:rPr>
        <w:t>As percepções são construídas por observação dos ciclos naturais no cultivo da terra e nas experiências. A relação com o clima é medida por sinais da natureza que orientam os ciclos de trabalho. Quando estes sinais desaparecem para demarcar tempos do início das chuvas, há um abalo nas convicções e nas suas capacidades de ação sobre a terra.</w:t>
      </w:r>
    </w:p>
    <w:p w14:paraId="0000001C">
      <w:pPr>
        <w:spacing w:before="120" w:after="120" w:line="360" w:lineRule="auto"/>
        <w:ind w:firstLine="708"/>
        <w:jc w:val="both"/>
        <w:rPr>
          <w:sz w:val="20"/>
          <w:szCs w:val="20"/>
        </w:rPr>
      </w:pPr>
      <w:r>
        <w:rPr>
          <w:rtl w:val="0"/>
        </w:rPr>
        <w:t>A pimenta-do-reino, para os agricultores familiares entrevistados, é a principal fonte de renda e tem sido muito afetada por essa nova realidade climática, visto que relatam perdas expressivas, como a morte das plantas e o abortamento das flores: “Tinha 3 mil pés de pimenta, morreram 2 mil no verão, agora que deu, acabou o pimental” (D.P.; 60 anos); “Eu estava com 700 pés, mas morreram através do verão muito forte, sem irrigação, sem nada. Se não tiver água, a gente não tem a pimenta. É mudança no clima” (F.S.; 30 anos).</w:t>
      </w:r>
    </w:p>
    <w:p w14:paraId="0000001D">
      <w:pPr>
        <w:spacing w:before="120" w:after="120" w:line="360" w:lineRule="auto"/>
        <w:ind w:firstLine="708"/>
        <w:jc w:val="both"/>
      </w:pPr>
      <w:r>
        <w:rPr>
          <w:rtl w:val="0"/>
        </w:rPr>
        <w:t>O uso de termos como “mudança no clima” e “acabou o pimental” implicam perdas econômicas, transformações no dia-dia e nas expectativas sobre o futuro da pimenta-do-reino e das suas próprias vidas no campo. Nos relatos, a mudança no regime de chuvas é atribuída ao avanço do desmatamento para o cultivo da soja. Segundo Marengo e Souza Jr. (2018), a cobertura florestal serve para a manutenção do ciclo hidrológico e a substituição da floresta por grandes áreas de monocultura compromete a umidade e a regularidade das chuvas. Além disso, essa leitura é feita pelos agricultores de Baião entre a chegada da soja e a intensificação da seca. Há quase duas décadas, Fearnside (2006) já afirmava que o incentivo à produção agrícola em larga escala contribui para o aumento do desmatamento na Amazônia. Esse processo altera a paisagem e as interações entre o ambiente e as comunidades locais. Segundo Vale, Weihs e Gervazio (2020), a chegada da soja aos territórios de agricultores familiares modifica não só o uso da terra, mas também as relações sociais no campo.</w:t>
      </w:r>
    </w:p>
    <w:p w14:paraId="0000001E">
      <w:pPr>
        <w:spacing w:before="120" w:after="120" w:line="360" w:lineRule="auto"/>
        <w:ind w:firstLine="708"/>
        <w:jc w:val="both"/>
      </w:pPr>
      <w:r>
        <w:rPr>
          <w:rtl w:val="0"/>
        </w:rPr>
        <w:t>Apesar de estar na região com maior reserva de água doce do mundo, Baião enfrenta o paradoxo da escassez hídrica. Essa contradição traz desigualdades no acesso à água, que vão além da geografia e revelam a ausência de políticas públicas (Goveia, 2021). A imagem da Amazônia como sinônimo de abundância hídrica não corresponde à realidade de comunidades rurais. No município, o problema não é a falta absoluta de água, mas sua indisponibilidade no tempo necessário para a pimenta-do-reino. Esse desalinhamento entre o ciclo climático e o produtivo afeta a agricultura familiar, que depende da regularidade das chuvas para manter a produção. Isso é visto no estudo de Machado Filho et al. (2016), o qual afirma que as mudanças climáticas alteram padrões de precipitação, prejudicando os agricultores familiares que necessitam de planejamento para garantir a produção.</w:t>
      </w:r>
    </w:p>
    <w:p w14:paraId="00000020">
      <w:pPr>
        <w:spacing w:before="120" w:after="120" w:line="360" w:lineRule="auto"/>
        <w:ind w:firstLine="708"/>
        <w:jc w:val="both"/>
      </w:pPr>
      <w:r>
        <w:rPr>
          <w:rtl w:val="0"/>
        </w:rPr>
        <w:t>Essas dificuldades geram dúvidas sobre a pimenta-do-reino, mas não apagam a vontade de continuar produzindo pela garantia do lucro. Por isso, muitos agricultores buscam meios de adaptação: “Tem que plantar, a pimenta aqui para nós é que a gente compra um carro, faz uma casa boa, vive melhor com dinheiro no bolso. É com pimenta!” (D.P.; 60 anos); “O pouco que escapa [da pimenta-do-reino] é o que dá lucro para a gente” (F. B.; 51 anos). Assim, há uma economia baseada na esperança e na experiência desses agricultores, suas percepções sobre a escassez de água em Baião vão além da ausência de chuvas, mas indicam a necessidade de uma reconfiguração da relação com o tempo e a terra.</w:t>
      </w:r>
    </w:p>
    <w:p w14:paraId="00000021">
      <w:pPr>
        <w:spacing w:before="120" w:after="120" w:line="360" w:lineRule="auto"/>
        <w:jc w:val="both"/>
      </w:pPr>
      <w:r>
        <w:rPr>
          <w:rtl w:val="0"/>
        </w:rPr>
        <w:t>Buscar um jeito: estratégias entre a adaptação forçada, o custo do trabalho e os limites da água</w:t>
      </w:r>
    </w:p>
    <w:p w14:paraId="00000022">
      <w:pPr>
        <w:spacing w:before="120" w:after="120" w:line="360" w:lineRule="auto"/>
        <w:ind w:firstLine="708"/>
        <w:jc w:val="both"/>
      </w:pPr>
      <w:r>
        <w:rPr>
          <w:rtl w:val="0"/>
        </w:rPr>
        <w:t>A estratégia funciona como um conjunto de ações conscientes e planejadas das quais a família se utiliza para alcançar seus objetivos. Consiste na adequação das necessidades familiares à conveniência técnica em um determinado sistema de produção (Schneider, 2003). As estratégias de adaptação à escassez de água que surgem em Baião são respostas às variações do clima e às emergências climáticas que estão mais intensas. Ademais, a percepção dos agricultores sobre a irregularidade das chuvas é um reflexo dessa crise.</w:t>
      </w:r>
    </w:p>
    <w:p w14:paraId="00000023">
      <w:pPr>
        <w:spacing w:before="120" w:after="120" w:line="360" w:lineRule="auto"/>
        <w:ind w:firstLine="708"/>
        <w:jc w:val="both"/>
      </w:pPr>
      <w:r>
        <w:rPr>
          <w:rtl w:val="0"/>
        </w:rPr>
        <w:t>Uma das principais respostas tem sido “aguar” os plantios manualmente, com baldes ou mangueiras, transportando água de poços e igarapés até as plantas. Essa prática exaustiva mostra a centralidade da água no enfrentamento das emergências climáticas, um meio de sobrevivência agrícola, já que as políticas de apoio à irrigação não chegam. Como aponta estudo de Andrade et al. (2014), os agricultores locais constroem formas próprias de enfrentamento climático. “Comecei a aguar, mas não dei conta, porque o verão foi muito forte. Aguava com torneira e regador. Molhava em um dia e no outro estava seco. De 400 pés se sobraram 20 foi muito” (M.S., 67 anos).</w:t>
      </w:r>
    </w:p>
    <w:p w14:paraId="00000024">
      <w:pPr>
        <w:spacing w:before="120" w:after="120" w:line="360" w:lineRule="auto"/>
        <w:ind w:firstLine="708"/>
        <w:jc w:val="both"/>
      </w:pPr>
      <w:r>
        <w:rPr>
          <w:rtl w:val="0"/>
        </w:rPr>
        <w:t>Em vez de expandir ou manter o número de plantas, os agricultores reduziram o cultivo para conseguir manter parte da produção viva com os poucos recursos hídricos disponíveis. Essa decisão mostra como a gestão da água passou a orientar diretamente as escolhas produtivas. Há também um cuidado com os pés mais jovens por conta da morte das plantas mais antigas, que revela uma aposta no futuro e uma tentativa de garantir que a próxima safra enfrente menos riscos hídricos. Já o uso de cobertura tanto por cima (palha) quanto por baixo (forragem) das plantas é uma estratégia de retenção da umidade no solo e diminuição da perda de água, limitada frente à intensa estiagem. O estudo de Peres, Souza e Lavorenti (2010) mostra que a cobertura do solo com palha contribui para a conservação da umidade, sendo uma medida para o enfrentamento das emergências climáticas, ainda que, no caso de Baião, não tenha sido suficiente. Como afirmou um entrevistado: "Cobri, mas não tem cobertura que dê jeito" (M.S., 67 anos).</w:t>
      </w:r>
    </w:p>
    <w:p w14:paraId="00000025">
      <w:pPr>
        <w:spacing w:before="120" w:after="120" w:line="360" w:lineRule="auto"/>
        <w:ind w:firstLine="708"/>
        <w:jc w:val="both"/>
      </w:pPr>
      <w:r>
        <w:rPr>
          <w:rtl w:val="0"/>
        </w:rPr>
        <w:t>Nota-se, nos agricultores, um sentimento de impotência, quando as estratégias que antes davam certo não fazem mais efeito. Essas ações de aguar, reduzir área e cobrir são práticas próprias e desenvolvidas sem apoio técnico ou institucional. São estratégias de resistência que exigem esforço físico e reorganização do trabalho familiar. No entanto, eles reconhecem que já não bastam para lidar com os eventos recentes e analisam como as adaptações eram diferentes há poucos anos: “Não precisava molhar pimenta, nem cobria por cima, só um pouquinho por baixo. Jogava pouco adubo” (A.B., 49 anos).</w:t>
      </w:r>
    </w:p>
    <w:p w14:paraId="00000026">
      <w:pPr>
        <w:spacing w:before="120" w:after="120" w:line="360" w:lineRule="auto"/>
        <w:ind w:firstLine="708"/>
        <w:jc w:val="both"/>
      </w:pPr>
      <w:r>
        <w:rPr>
          <w:rtl w:val="0"/>
        </w:rPr>
        <w:t>Todos os agricultores entrevistados também cultivam mandioca, mas não encontraram dificuldades com a produção, garantindo a base alimentar e o complemento da renda com a venda da farinha. Ao contrário da pimenta-do-reino, que é sensível ao déficit hídrico, a mandioca se mostrou mais resistente à escassez de água. No entanto, não há uma grande diversificação produtiva nos plantios: apenas três agricultores têm introduzido o plantio de açaí e de cacau, muitas vezes no meio do próprio pimental, com o desejo de aproveitar melhor o espaço. Segundo Carneiro et al.</w:t>
      </w:r>
      <w:r>
        <w:rPr>
          <w:i/>
          <w:rtl w:val="0"/>
        </w:rPr>
        <w:t xml:space="preserve"> </w:t>
      </w:r>
      <w:r>
        <w:rPr>
          <w:rtl w:val="0"/>
        </w:rPr>
        <w:t>(2019), um exemplo conhecido de uso desse tipo de arranjo ocorreu diante da crise da pimenta-do-reino atacada pelo fungo da fusariose (</w:t>
      </w:r>
      <w:r>
        <w:rPr>
          <w:i/>
          <w:rtl w:val="0"/>
        </w:rPr>
        <w:t xml:space="preserve">Fusarium solani </w:t>
      </w:r>
      <w:r>
        <w:rPr>
          <w:rtl w:val="0"/>
        </w:rPr>
        <w:t>f.sp.), em Tomé-Açu/PA. O consórcio com espécies amazônicas como o cacau e o açaí permite diversificar a renda e prolongar a vida útil dos pés de pimenta-do-reino. Ainda assim, o açaí e o cacau são culturas que também demandam elevada disponibilidade hídrica (Silva et al., 2023; Ortiz-Rodriguez et al., 2015).</w:t>
      </w:r>
    </w:p>
    <w:p w14:paraId="00000027">
      <w:pPr>
        <w:spacing w:before="120" w:after="120" w:line="360" w:lineRule="auto"/>
        <w:ind w:firstLine="708"/>
        <w:jc w:val="both"/>
      </w:pPr>
      <w:r>
        <w:rPr>
          <w:rtl w:val="0"/>
        </w:rPr>
        <w:t>O predomínio da pimenta mostra novamente uma aposta econômica, simbólica e afetiva, visto que a cultura representa a chance de conquistar bens, melhorar a casa ou garantir estabilidade para a família. A mandioca segue presente, mas não ocupa o mesmo lugar. O açaí e o cacau aparecem como possibilidades em construção, mas ainda não totalmente incorporados como estratégias de adaptação, em parte porque também são culturas que dependem da alta disponibilidade de água, que tem se tornado cada vez mais incerta na região. Além disso, alguns agricultores buscam alternativas dentro da própria cultura da pimenta-do-reino, como o uso da variedade Iaçará, que, segundo alguns deles, se mostrou mais resistente à escassez de água.</w:t>
      </w:r>
    </w:p>
    <w:p w14:paraId="00000028">
      <w:pPr>
        <w:spacing w:before="120" w:after="120" w:line="360" w:lineRule="auto"/>
        <w:ind w:firstLine="708"/>
        <w:jc w:val="both"/>
      </w:pPr>
      <w:r>
        <w:rPr>
          <w:rtl w:val="0"/>
        </w:rPr>
        <w:t xml:space="preserve">Diante das perdas, a produção da pimenta-do-reino vem acompanhada de um reconhecimento claro: será preciso mudar. Há uma consciência de que sem água, o cultivo não se sustenta, por isso a ideia de irrigação surge como central nas estratégias futuras. De acordo com Cunha et al. (2013), a irrigação é uma estratégia de adaptação às mudanças climáticas entre pequenos agricultores brasileiros. Isso é visível </w:t>
      </w:r>
      <w:r>
        <w:rPr>
          <w:rFonts w:hint="default"/>
          <w:rtl w:val="0"/>
          <w:lang w:val="pt-BR"/>
        </w:rPr>
        <w:t>n</w:t>
      </w:r>
      <w:r>
        <w:rPr>
          <w:rtl w:val="0"/>
        </w:rPr>
        <w:t>os agricultores: “Vou começar a fazer irrigação, já mandei cavar um poço ali, porque sem ela não vai não” (J.S., 37 anos). No entanto, embora essa solução represente maior disponibilidade hídrica, ela tem limitações, já que mesmo aqueles que conseguiram irrigar suas plantações relataram prejuízos:</w:t>
      </w:r>
      <w:r>
        <w:rPr>
          <w:sz w:val="20"/>
          <w:szCs w:val="20"/>
          <w:rtl w:val="0"/>
        </w:rPr>
        <w:t xml:space="preserve"> </w:t>
      </w:r>
      <w:r>
        <w:rPr>
          <w:rtl w:val="0"/>
        </w:rPr>
        <w:t>“O sol foi muito ano passado e quando a planta estava florando faltou a chuva e abortou, o meu não chegou a morrer muito porque uma hora dessa eu estava para lá, dando água” (A.B., 49 anos).</w:t>
      </w:r>
    </w:p>
    <w:p w14:paraId="00000029">
      <w:pPr>
        <w:spacing w:before="120" w:after="120" w:line="360" w:lineRule="auto"/>
        <w:ind w:firstLine="708"/>
        <w:jc w:val="both"/>
      </w:pPr>
      <w:r>
        <w:rPr>
          <w:rFonts w:hint="default"/>
          <w:rtl w:val="0"/>
        </w:rPr>
        <w:t>Embora existam recomendações técnicas sobre a escolha do sistema de irrigação</w:t>
      </w:r>
      <w:r>
        <w:rPr>
          <w:rFonts w:hint="default"/>
          <w:rtl w:val="0"/>
          <w:lang w:val="pt-BR"/>
        </w:rPr>
        <w:t xml:space="preserve">, </w:t>
      </w:r>
      <w:r>
        <w:rPr>
          <w:rFonts w:hint="default"/>
          <w:rtl w:val="0"/>
        </w:rPr>
        <w:t>que variam conforme solo, clima, topografia e qualidade da água (Marouelli et al., 2011; Almeida, 2010), o que se observa na prática é que o acesso à irrigação depende de condições socioeconômicas.</w:t>
      </w:r>
      <w:r>
        <w:rPr>
          <w:rtl w:val="0"/>
        </w:rPr>
        <w:t xml:space="preserve"> Em Baião, apenas um agricultor conseguiu um sistema mais estruturado. Então, a irrigação deixa de ser uma solução para todos e revela</w:t>
      </w:r>
      <w:r>
        <w:rPr>
          <w:rFonts w:hint="default"/>
          <w:rtl w:val="0"/>
          <w:lang w:val="pt-BR"/>
        </w:rPr>
        <w:t xml:space="preserve"> </w:t>
      </w:r>
      <w:r>
        <w:rPr>
          <w:rtl w:val="0"/>
        </w:rPr>
        <w:t>as desigualdades no acesso a um bem comum, cuja gestão é precária e ausente de políticas públicas eficazes.</w:t>
      </w:r>
    </w:p>
    <w:p w14:paraId="0000002A">
      <w:pPr>
        <w:spacing w:before="120" w:after="120" w:line="360" w:lineRule="auto"/>
        <w:ind w:firstLine="708"/>
        <w:jc w:val="both"/>
      </w:pPr>
      <w:r>
        <w:rPr>
          <w:rtl w:val="0"/>
        </w:rPr>
        <w:t>Além disso, os dados da Secretaria de Estado de Meio Ambiente e Sustentabilidade (SEMAS) indicam que o uso da água para irrigação já tem gerado conflitos (Pará, 2024). Entre os autos de infração no município de Baião, destaca-se um agricultor que foi multado em R$10.500 (dez mil e quinhentos reais) por operar um sistema de irrigação para cultivo de açaí em 156 hectares sem revalidação da outorga de uso da água superficial, em 2024. Outros autos revelam captação irregular de água do igarapé Tambaí-Açu e descumprimento de condicionantes ligadas à irrigação em 2022, o que torna difícil a gestão da água no cenário das emergências climáticas no qual, cada um, põe em prática as suas estratégias, mas os mais prejudicados são os que menos contribuem à crise e os que persistirão à margem, uma vez que são os mais pobres.</w:t>
      </w:r>
    </w:p>
    <w:p w14:paraId="0000002C">
      <w:pPr>
        <w:spacing w:before="120" w:after="120" w:line="360" w:lineRule="auto"/>
        <w:ind w:firstLine="708"/>
        <w:jc w:val="both"/>
      </w:pPr>
      <w:r>
        <w:rPr>
          <w:rtl w:val="0"/>
        </w:rPr>
        <w:t>As iniciativas individuais ocorrem num contexto em que o Estado reconhece a gravidade da situação de emergência devido à estiagem prolongada em 2023. No entanto, essa declaração não resultou na implementação de políticas públicas ou programas emergenciais para apoiar os agricultores familiares, então há uma falta do reconhecimento da crise e o suporte aos que dela mais sofrem. Apesar das dificuldades, a opção parece “dar um jeito” possível.</w:t>
      </w:r>
    </w:p>
    <w:p w14:paraId="0000002D">
      <w:pPr>
        <w:spacing w:before="120" w:after="120" w:line="360" w:lineRule="auto"/>
        <w:jc w:val="both"/>
        <w:rPr>
          <w:b w:val="0"/>
          <w:bCs/>
        </w:rPr>
      </w:pPr>
      <w:r>
        <w:rPr>
          <w:b w:val="0"/>
          <w:bCs/>
          <w:rtl w:val="0"/>
        </w:rPr>
        <w:t>CONSIDERAÇÕES FINAIS</w:t>
      </w:r>
    </w:p>
    <w:p w14:paraId="0000002E">
      <w:pPr>
        <w:spacing w:before="120" w:after="120" w:line="360" w:lineRule="auto"/>
        <w:ind w:firstLine="708"/>
        <w:jc w:val="both"/>
      </w:pPr>
      <w:r>
        <w:rPr>
          <w:rtl w:val="0"/>
        </w:rPr>
        <w:t>Os agricultores familiares de Baião estão no centro de emergências climáticas que afetam a produção de pimenta-do-reino e suas condições de vida. A escassez de chuvas e a elevação das temperaturas comprometem a produtividade da pimenta-do-reino. Ademais, a percepção de mudança no clima está presente nos relatos dos agricultores que indicam a diminuição das chuvas e instabilidade dos ciclos naturais.</w:t>
      </w:r>
    </w:p>
    <w:p w14:paraId="0000002F">
      <w:pPr>
        <w:spacing w:before="120" w:after="120" w:line="360" w:lineRule="auto"/>
        <w:ind w:firstLine="708"/>
        <w:jc w:val="both"/>
      </w:pPr>
      <w:r>
        <w:rPr>
          <w:rtl w:val="0"/>
        </w:rPr>
        <w:t>Mesmo diante de perdas significativas, os agricultores não se mostram passivos. As estratégias relatadas, como irrigação manual, uso de cobertura vegetal por cima e por baixo, escolha de variedades mais resistentes, redução da área plantada e até a introdução de outras culturas, evidenciam formas adaptativas baseadas na experiência e na observação prática. Mas essas estratégias também possuem limites impostos pela desigualdade de acesso a recursos hídricos e de infraestrutura, que comprometem a capacidade de resposta dos agricultores mais vulneráveis.</w:t>
      </w:r>
    </w:p>
    <w:p w14:paraId="00000031">
      <w:pPr>
        <w:spacing w:before="120" w:after="120" w:line="360" w:lineRule="auto"/>
        <w:ind w:firstLine="708"/>
        <w:jc w:val="both"/>
      </w:pPr>
      <w:r>
        <w:rPr>
          <w:rtl w:val="0"/>
        </w:rPr>
        <w:t>A pesquisa confirma que a escassez de água, vista como uma realidade distante para a Amazônia, tornou-se um fator limitante de produção. O paradoxo de viver em uma região conhecida por sua abundância hídrica e ter a dificuldade de acesso à água no momento em que ela é mais necessária, traz a urgência de se repensar políticas públicas voltadas à adaptação climática, e também de priorizar sua conservação, já que, sem essas ações, os agricultores familiares continuarão arcando sozinhos com os custos das transformações. Assim, a escassez de água no município de Baião traz contextos sociais e políticos em seu bojo, já que a emergência climática não afeta todos da mesma maneira, ela escancara desigualdades.</w:t>
      </w:r>
    </w:p>
    <w:p w14:paraId="00000032">
      <w:pPr>
        <w:spacing w:before="120" w:after="120"/>
        <w:ind w:hanging="2"/>
        <w:jc w:val="both"/>
        <w:rPr>
          <w:b w:val="0"/>
          <w:bCs/>
        </w:rPr>
      </w:pPr>
      <w:r>
        <w:rPr>
          <w:b w:val="0"/>
          <w:bCs/>
          <w:rtl w:val="0"/>
        </w:rPr>
        <w:t>REFERÊNCIAS</w:t>
      </w:r>
    </w:p>
    <w:p w14:paraId="00000033">
      <w:pPr>
        <w:spacing w:before="0" w:after="0"/>
        <w:jc w:val="both"/>
      </w:pPr>
      <w:r>
        <w:rPr>
          <w:rtl w:val="0"/>
        </w:rPr>
        <w:t>ALMEIDA, O. A. </w:t>
      </w:r>
      <w:r>
        <w:rPr>
          <w:b/>
          <w:rtl w:val="0"/>
        </w:rPr>
        <w:t>Qualidade da água de irrigação</w:t>
      </w:r>
      <w:r>
        <w:rPr>
          <w:rtl w:val="0"/>
        </w:rPr>
        <w:t>. Cruz das Almas: Embrapa Mandioca e Fruticultura, 2010.</w:t>
      </w:r>
    </w:p>
    <w:p w14:paraId="00000034">
      <w:pPr>
        <w:spacing w:before="0" w:after="0"/>
        <w:jc w:val="both"/>
      </w:pPr>
    </w:p>
    <w:p w14:paraId="00000035">
      <w:pPr>
        <w:spacing w:before="0" w:after="0"/>
        <w:jc w:val="both"/>
      </w:pPr>
      <w:r>
        <w:rPr>
          <w:rtl w:val="0"/>
        </w:rPr>
        <w:t>ANDRADE, A. J. P.; SILVA, N. M.; SOUZA, C. R. As percepções sobre as variações e mudanças climáticas e as estratégias de adaptação dos agricultores familiares do Seridó potiguar. </w:t>
      </w:r>
      <w:r>
        <w:rPr>
          <w:b/>
          <w:rtl w:val="0"/>
        </w:rPr>
        <w:t>Desenvolvimento e Meio ambiente</w:t>
      </w:r>
      <w:r>
        <w:rPr>
          <w:rtl w:val="0"/>
        </w:rPr>
        <w:t>, v. 31, p. 77-96, 2014.</w:t>
      </w:r>
    </w:p>
    <w:p w14:paraId="00000036">
      <w:pPr>
        <w:spacing w:before="0" w:after="0"/>
        <w:jc w:val="both"/>
      </w:pPr>
    </w:p>
    <w:p w14:paraId="00000037">
      <w:pPr>
        <w:spacing w:before="0" w:after="0"/>
        <w:jc w:val="both"/>
      </w:pPr>
      <w:r>
        <w:rPr>
          <w:rtl w:val="0"/>
        </w:rPr>
        <w:t xml:space="preserve">BAIÃO (PA). Prefeitura Municipal. Decreto nº 084/2023, de 27 de dezembro de 2023. </w:t>
      </w:r>
      <w:r>
        <w:rPr>
          <w:b/>
          <w:rtl w:val="0"/>
        </w:rPr>
        <w:t>Declara situação de emergência nas áreas do Município afetadas por estiagem</w:t>
      </w:r>
      <w:r>
        <w:rPr>
          <w:rtl w:val="0"/>
        </w:rPr>
        <w:t xml:space="preserve"> (COBRADE 1.4.1.1.0). Diário Oficial do Município, 2023.</w:t>
      </w:r>
    </w:p>
    <w:p w14:paraId="00000038">
      <w:pPr>
        <w:spacing w:before="0" w:after="0"/>
        <w:jc w:val="both"/>
      </w:pPr>
      <w:bookmarkStart w:id="0" w:name="_5qp0b6o9c6o2" w:colFirst="0" w:colLast="0"/>
      <w:bookmarkEnd w:id="0"/>
    </w:p>
    <w:p w14:paraId="00000039">
      <w:pPr>
        <w:spacing w:before="0" w:after="0"/>
        <w:jc w:val="both"/>
      </w:pPr>
      <w:bookmarkStart w:id="1" w:name="_fp6aqnqxrkrp" w:colFirst="0" w:colLast="0"/>
      <w:bookmarkEnd w:id="1"/>
      <w:r>
        <w:rPr>
          <w:rtl w:val="0"/>
        </w:rPr>
        <w:t>BORDALO, C. A. O paradoxo da água na região das águas: o caso da Amazônia brasileira.</w:t>
      </w:r>
      <w:r>
        <w:rPr>
          <w:b/>
          <w:rtl w:val="0"/>
        </w:rPr>
        <w:t xml:space="preserve"> GEOUSP Espaço e Tempo</w:t>
      </w:r>
      <w:r>
        <w:rPr>
          <w:rtl w:val="0"/>
        </w:rPr>
        <w:t xml:space="preserve"> (Online), v. 21, n. 1, p. 120-137, 2017.</w:t>
      </w:r>
    </w:p>
    <w:p w14:paraId="0000003A">
      <w:pPr>
        <w:spacing w:before="0" w:after="0"/>
        <w:jc w:val="both"/>
      </w:pPr>
    </w:p>
    <w:p w14:paraId="0000003B">
      <w:pPr>
        <w:spacing w:before="0" w:after="0"/>
        <w:jc w:val="both"/>
      </w:pPr>
      <w:r>
        <w:rPr>
          <w:rtl w:val="0"/>
        </w:rPr>
        <w:t xml:space="preserve">BRASIL. Ministério da Integração e do Desenvolvimento Regional. Portaria nº 295, de 19 de janeiro de 2024. </w:t>
      </w:r>
      <w:r>
        <w:rPr>
          <w:b/>
          <w:rtl w:val="0"/>
        </w:rPr>
        <w:t xml:space="preserve">Reconhece a situação de emergência nas áreas descritas no Formulário de Informações do Desastre – FIDE. </w:t>
      </w:r>
      <w:r>
        <w:rPr>
          <w:rtl w:val="0"/>
        </w:rPr>
        <w:t>Diário Oficial da União, Seção 1, p. 32, 19 jan. 2024.</w:t>
      </w:r>
    </w:p>
    <w:p w14:paraId="0000003C">
      <w:pPr>
        <w:spacing w:before="0" w:after="0"/>
        <w:jc w:val="both"/>
      </w:pPr>
    </w:p>
    <w:p w14:paraId="0000003D">
      <w:pPr>
        <w:spacing w:before="0" w:after="0"/>
        <w:jc w:val="both"/>
      </w:pPr>
      <w:r>
        <w:rPr>
          <w:rtl w:val="0"/>
        </w:rPr>
        <w:t xml:space="preserve">BRASIL. Ministério do Desenvolvimento Regional. Portaria nº 260, de 2 de fevereiro de 2022. </w:t>
      </w:r>
      <w:r>
        <w:rPr>
          <w:b/>
          <w:rtl w:val="0"/>
        </w:rPr>
        <w:t>Estabelece procedimentos e critérios para a declaração de situação de emergência ou estado de calamidade pública pelos Municípios, Estados e Distrito Federal e para o reconhecimento federal</w:t>
      </w:r>
      <w:r>
        <w:rPr>
          <w:rtl w:val="0"/>
        </w:rPr>
        <w:t>. Diário Oficial da União, Seção 1, p. 49, 3 fev. 2022.</w:t>
      </w:r>
    </w:p>
    <w:p w14:paraId="0000003E">
      <w:pPr>
        <w:spacing w:before="0" w:after="0"/>
        <w:jc w:val="both"/>
      </w:pPr>
    </w:p>
    <w:p w14:paraId="0000003F">
      <w:pPr>
        <w:spacing w:before="0" w:after="0"/>
        <w:jc w:val="both"/>
      </w:pPr>
      <w:r>
        <w:rPr>
          <w:rtl w:val="0"/>
        </w:rPr>
        <w:t>CARNEIRO, R.; COUDEL, E.; NAVEGANTES, L.; ALMEIDA, A.; CARVALHO, R.; COSTA, A. P.; GARCIA, V.; GONZAGA, L.; MOTA, D.; NUNES, H.; SILVA, S.; PEPPER, L.; PERRIER, E.; FERREIRA, J.</w:t>
      </w:r>
      <w:r>
        <w:rPr>
          <w:b/>
          <w:rtl w:val="0"/>
        </w:rPr>
        <w:t xml:space="preserve"> Tipos de recuperação florestal encontrados no Nordeste do Pará</w:t>
      </w:r>
      <w:r>
        <w:rPr>
          <w:rtl w:val="0"/>
        </w:rPr>
        <w:t>. Belém/PA: Embrapa Amazônia Oriental: UFPA: Cirad, 2019.</w:t>
      </w:r>
    </w:p>
    <w:p w14:paraId="00000040">
      <w:pPr>
        <w:spacing w:before="0" w:after="0"/>
        <w:jc w:val="both"/>
      </w:pPr>
    </w:p>
    <w:p w14:paraId="2DB94BED">
      <w:pPr>
        <w:spacing w:before="0" w:after="0"/>
        <w:jc w:val="both"/>
        <w:rPr>
          <w:rtl w:val="0"/>
        </w:rPr>
      </w:pPr>
      <w:r>
        <w:rPr>
          <w:rtl w:val="0"/>
        </w:rPr>
        <w:t>CASTRO, A. L. C. </w:t>
      </w:r>
      <w:r>
        <w:rPr>
          <w:b/>
          <w:rtl w:val="0"/>
        </w:rPr>
        <w:t>Glossário de defesa civil estudos de riscos e medicina de desastres</w:t>
      </w:r>
      <w:r>
        <w:rPr>
          <w:rtl w:val="0"/>
        </w:rPr>
        <w:t>. Ministério do Planejamento e Orçamento, Secretaria Especial de Políticas Regionais, Departamento de Defesa Civil, 1998.</w:t>
      </w:r>
    </w:p>
    <w:p w14:paraId="637FE6B7">
      <w:pPr>
        <w:spacing w:before="0" w:after="0"/>
        <w:jc w:val="both"/>
        <w:rPr>
          <w:rtl w:val="0"/>
        </w:rPr>
      </w:pPr>
    </w:p>
    <w:p w14:paraId="00000041">
      <w:pPr>
        <w:spacing w:before="0" w:after="0"/>
        <w:jc w:val="both"/>
      </w:pPr>
      <w:r>
        <w:rPr>
          <w:rtl w:val="0"/>
        </w:rPr>
        <w:t>CUNHA, D. A. Irrigação como estratégia de adaptação de pequenos agricultores às mudanças climáticas: aspectos econômicos. </w:t>
      </w:r>
      <w:r>
        <w:rPr>
          <w:b/>
          <w:rtl w:val="0"/>
        </w:rPr>
        <w:t>Revista de Economia e Sociologia Rural</w:t>
      </w:r>
      <w:r>
        <w:rPr>
          <w:rtl w:val="0"/>
        </w:rPr>
        <w:t>, v. 51, p. 369-386, 2013.</w:t>
      </w:r>
    </w:p>
    <w:p w14:paraId="00000046">
      <w:pPr>
        <w:spacing w:before="0" w:after="0"/>
        <w:jc w:val="both"/>
      </w:pPr>
    </w:p>
    <w:p w14:paraId="00000047">
      <w:pPr>
        <w:spacing w:before="0" w:after="0"/>
        <w:jc w:val="both"/>
      </w:pPr>
      <w:r>
        <w:rPr>
          <w:rtl w:val="0"/>
        </w:rPr>
        <w:t>FEARNSIDE, P. M. Desmatamento na Amazônia: dinâmica, impactos e controle. </w:t>
      </w:r>
      <w:r>
        <w:rPr>
          <w:b/>
          <w:rtl w:val="0"/>
        </w:rPr>
        <w:t>Acta amazônica</w:t>
      </w:r>
      <w:r>
        <w:rPr>
          <w:rtl w:val="0"/>
        </w:rPr>
        <w:t>, v. 36, p. 395-400, 2006.</w:t>
      </w:r>
    </w:p>
    <w:p w14:paraId="00000048">
      <w:pPr>
        <w:spacing w:before="0" w:after="0"/>
        <w:jc w:val="both"/>
      </w:pPr>
    </w:p>
    <w:p w14:paraId="00000049">
      <w:pPr>
        <w:spacing w:before="0" w:after="0"/>
        <w:jc w:val="both"/>
      </w:pPr>
      <w:r>
        <w:rPr>
          <w:rtl w:val="0"/>
        </w:rPr>
        <w:t>GOVEIA, L. A. M. Covid-19 e acesso à água na Amazônia brasileira. </w:t>
      </w:r>
      <w:r>
        <w:rPr>
          <w:b/>
          <w:rtl w:val="0"/>
        </w:rPr>
        <w:t>Mundo Amazónico</w:t>
      </w:r>
      <w:r>
        <w:rPr>
          <w:rtl w:val="0"/>
        </w:rPr>
        <w:t>, v. 12, n. 1, p. 18-42, 2021.</w:t>
      </w:r>
    </w:p>
    <w:p w14:paraId="0000004A">
      <w:pPr>
        <w:spacing w:before="0" w:after="0"/>
        <w:jc w:val="both"/>
      </w:pPr>
    </w:p>
    <w:p w14:paraId="0000004B">
      <w:pPr>
        <w:spacing w:before="0" w:after="0"/>
        <w:jc w:val="both"/>
      </w:pPr>
      <w:r>
        <w:rPr>
          <w:rtl w:val="0"/>
        </w:rPr>
        <w:t xml:space="preserve">INSTITUTO BRASILEIRO DE GEOGRAFIA E ESTATÍSTICA (IBGE). Produção agrícola municipal: pimenta-do-reino – Baião (PA), 2022 e 2023. </w:t>
      </w:r>
      <w:r>
        <w:rPr>
          <w:b/>
          <w:rtl w:val="0"/>
        </w:rPr>
        <w:t>Sistema IBGE de Recuperação Automática</w:t>
      </w:r>
      <w:r>
        <w:rPr>
          <w:rtl w:val="0"/>
        </w:rPr>
        <w:t xml:space="preserve"> – SIDRA, 2024.</w:t>
      </w:r>
    </w:p>
    <w:p w14:paraId="0000004C">
      <w:pPr>
        <w:spacing w:before="0" w:after="0"/>
        <w:jc w:val="both"/>
      </w:pPr>
    </w:p>
    <w:p w14:paraId="0000004D">
      <w:pPr>
        <w:spacing w:before="0" w:after="0"/>
        <w:jc w:val="both"/>
      </w:pPr>
      <w:r>
        <w:rPr>
          <w:rtl w:val="0"/>
        </w:rPr>
        <w:t>KRISHNAMURTHY, K. S. et al. Black pepper and water stress. In: </w:t>
      </w:r>
      <w:r>
        <w:rPr>
          <w:b/>
          <w:rtl w:val="0"/>
        </w:rPr>
        <w:t>Abiotic stress physiology of horticultural crops</w:t>
      </w:r>
      <w:r>
        <w:rPr>
          <w:rtl w:val="0"/>
        </w:rPr>
        <w:t>. New Delhi: Springer India, 2016. p. 321-332.</w:t>
      </w:r>
    </w:p>
    <w:p w14:paraId="0000004E">
      <w:pPr>
        <w:spacing w:before="0" w:after="0"/>
        <w:jc w:val="both"/>
      </w:pPr>
    </w:p>
    <w:p w14:paraId="0000004F">
      <w:pPr>
        <w:spacing w:before="0" w:after="0"/>
        <w:jc w:val="both"/>
      </w:pPr>
      <w:r>
        <w:rPr>
          <w:rtl w:val="0"/>
        </w:rPr>
        <w:t xml:space="preserve">MACHADO FILHO, H.; MORAES, C.; BENNATI, P.; RODRIGUES, R. de A.; GUILLES, M.; ROCHA, P.; LIMA, A.; VASCONCELOS, I. </w:t>
      </w:r>
      <w:r>
        <w:rPr>
          <w:b/>
          <w:rtl w:val="0"/>
        </w:rPr>
        <w:t>Mudança do clima e os impactos na agricultura familiar no Norte e Nordeste do Brasil</w:t>
      </w:r>
      <w:r>
        <w:rPr>
          <w:rtl w:val="0"/>
        </w:rPr>
        <w:t>. Brasília-DF: IPEA: IPC-IG: PNUD, 2016. 63p.</w:t>
      </w:r>
    </w:p>
    <w:p w14:paraId="00000050">
      <w:pPr>
        <w:spacing w:before="0" w:after="0"/>
        <w:jc w:val="both"/>
      </w:pPr>
    </w:p>
    <w:p w14:paraId="00000051">
      <w:pPr>
        <w:spacing w:before="0" w:after="0"/>
        <w:jc w:val="both"/>
      </w:pPr>
      <w:r>
        <w:rPr>
          <w:rtl w:val="0"/>
        </w:rPr>
        <w:t>MARENGO, José A. et al. Increased climate pressure on the agricultural frontier in the Eastern Amazonia–Cerrado transition zone. </w:t>
      </w:r>
      <w:r>
        <w:rPr>
          <w:b/>
          <w:rtl w:val="0"/>
        </w:rPr>
        <w:t>Scientific reports</w:t>
      </w:r>
      <w:r>
        <w:rPr>
          <w:rtl w:val="0"/>
        </w:rPr>
        <w:t>, v. 12, n. 1, p. 457, 2022.</w:t>
      </w:r>
    </w:p>
    <w:p w14:paraId="00000052">
      <w:pPr>
        <w:spacing w:before="0" w:after="0"/>
        <w:jc w:val="both"/>
      </w:pPr>
    </w:p>
    <w:p w14:paraId="00000053">
      <w:pPr>
        <w:spacing w:before="0" w:after="0"/>
        <w:jc w:val="both"/>
      </w:pPr>
      <w:r>
        <w:rPr>
          <w:rtl w:val="0"/>
        </w:rPr>
        <w:t xml:space="preserve">MARENGO, J. A.; SOUZA JUNIOR, C. </w:t>
      </w:r>
      <w:r>
        <w:rPr>
          <w:b/>
          <w:rtl w:val="0"/>
        </w:rPr>
        <w:t>Mudanças Climáticas</w:t>
      </w:r>
      <w:r>
        <w:rPr>
          <w:rtl w:val="0"/>
        </w:rPr>
        <w:t>: impactos e cenários para a Amazônia. São Paulo: ALANA, 2018.</w:t>
      </w:r>
    </w:p>
    <w:p w14:paraId="00000054">
      <w:pPr>
        <w:spacing w:before="0" w:after="0"/>
        <w:jc w:val="both"/>
      </w:pPr>
    </w:p>
    <w:p w14:paraId="00000055">
      <w:pPr>
        <w:spacing w:before="0" w:after="0"/>
        <w:jc w:val="both"/>
      </w:pPr>
      <w:r>
        <w:rPr>
          <w:rtl w:val="0"/>
        </w:rPr>
        <w:t>MAROUELLI, W. A.</w:t>
      </w:r>
      <w:r>
        <w:rPr>
          <w:b/>
          <w:rtl w:val="0"/>
        </w:rPr>
        <w:t xml:space="preserve"> Manejo da água de irrigação</w:t>
      </w:r>
      <w:r>
        <w:rPr>
          <w:rtl w:val="0"/>
        </w:rPr>
        <w:t>. 2011.</w:t>
      </w:r>
    </w:p>
    <w:p w14:paraId="00000056">
      <w:pPr>
        <w:spacing w:before="0" w:after="0"/>
        <w:jc w:val="both"/>
      </w:pPr>
    </w:p>
    <w:p w14:paraId="00000057">
      <w:pPr>
        <w:spacing w:before="0" w:after="0"/>
        <w:jc w:val="both"/>
      </w:pPr>
      <w:r>
        <w:rPr>
          <w:rtl w:val="0"/>
        </w:rPr>
        <w:t>MCHUGH, L. H.; LEMOS, M. C.; MORRISON, T. H. Risk? Crisis? Emergency? Implications of the new climate emergency framing for governance and policy. </w:t>
      </w:r>
      <w:r>
        <w:rPr>
          <w:b/>
          <w:rtl w:val="0"/>
        </w:rPr>
        <w:t>Wiley Interdisciplinary Reviews: Climate Change</w:t>
      </w:r>
      <w:r>
        <w:rPr>
          <w:rtl w:val="0"/>
        </w:rPr>
        <w:t>, v. 12, n. 6, p. e736, 2021.</w:t>
      </w:r>
    </w:p>
    <w:p w14:paraId="00000058">
      <w:pPr>
        <w:spacing w:before="0" w:after="0"/>
        <w:jc w:val="both"/>
      </w:pPr>
    </w:p>
    <w:p w14:paraId="00000059">
      <w:pPr>
        <w:spacing w:before="0" w:after="0"/>
        <w:jc w:val="both"/>
      </w:pPr>
      <w:r>
        <w:rPr>
          <w:rtl w:val="0"/>
        </w:rPr>
        <w:t>MICHELAT, G. Sobre a utilização da entrevista não-diretiva em sociologia. </w:t>
      </w:r>
      <w:r>
        <w:rPr>
          <w:b/>
          <w:rtl w:val="0"/>
        </w:rPr>
        <w:t>Crítica metodológica, investigação social e enquete operária</w:t>
      </w:r>
      <w:r>
        <w:rPr>
          <w:rtl w:val="0"/>
        </w:rPr>
        <w:t>, v. 5, p. 191-212, 1987.</w:t>
      </w:r>
    </w:p>
    <w:p w14:paraId="0000005A">
      <w:pPr>
        <w:spacing w:before="0" w:after="0"/>
        <w:jc w:val="both"/>
      </w:pPr>
    </w:p>
    <w:p w14:paraId="0000005B">
      <w:pPr>
        <w:spacing w:before="0" w:after="0"/>
        <w:jc w:val="both"/>
      </w:pPr>
      <w:r>
        <w:rPr>
          <w:rtl w:val="0"/>
        </w:rPr>
        <w:t>ORTIZ-RODRIGUEZ, O. O. et al. Water footprint assessment of the Colombian cocoa production. </w:t>
      </w:r>
      <w:r>
        <w:rPr>
          <w:b/>
          <w:rtl w:val="0"/>
        </w:rPr>
        <w:t>Revista Brasileira de Engenharia Agrícola e Ambiental</w:t>
      </w:r>
      <w:r>
        <w:rPr>
          <w:rtl w:val="0"/>
        </w:rPr>
        <w:t>, v. 19, n. 9, p. 823-828, 2015.</w:t>
      </w:r>
    </w:p>
    <w:p w14:paraId="0000005C">
      <w:pPr>
        <w:spacing w:before="0" w:after="0"/>
        <w:jc w:val="both"/>
      </w:pPr>
    </w:p>
    <w:p w14:paraId="0000005D">
      <w:pPr>
        <w:spacing w:before="0" w:after="0"/>
        <w:jc w:val="both"/>
        <w:rPr>
          <w:b/>
        </w:rPr>
      </w:pPr>
      <w:r>
        <w:rPr>
          <w:rtl w:val="0"/>
        </w:rPr>
        <w:t xml:space="preserve">PARÁ. Governo do Estado. Decreto nº 3.455, de 7 de novembro de 2023. </w:t>
      </w:r>
      <w:r>
        <w:rPr>
          <w:b/>
          <w:rtl w:val="0"/>
        </w:rPr>
        <w:t xml:space="preserve">Declara Situação de Emergência nas áreas dos Municípios afetados por estiagem (COBRADE 1.4.1.1.0). </w:t>
      </w:r>
      <w:r>
        <w:rPr>
          <w:rtl w:val="0"/>
        </w:rPr>
        <w:t>Diário Oficial do Estado do Pará</w:t>
      </w:r>
      <w:r>
        <w:rPr>
          <w:b/>
          <w:rtl w:val="0"/>
        </w:rPr>
        <w:t>, 8 nov. 2023.</w:t>
      </w:r>
    </w:p>
    <w:p w14:paraId="0000005E">
      <w:pPr>
        <w:spacing w:before="0" w:after="0"/>
        <w:jc w:val="both"/>
      </w:pPr>
    </w:p>
    <w:p w14:paraId="0000005F">
      <w:pPr>
        <w:spacing w:before="0" w:after="0"/>
        <w:jc w:val="both"/>
      </w:pPr>
      <w:r>
        <w:rPr>
          <w:rtl w:val="0"/>
        </w:rPr>
        <w:t xml:space="preserve">PARÁ. Secretaria de Estado de Meio Ambiente e Sustentabilidade (SEMAS). </w:t>
      </w:r>
      <w:r>
        <w:rPr>
          <w:b/>
          <w:rtl w:val="0"/>
        </w:rPr>
        <w:t>Autos de infração relacionados ao uso irregular de recursos hídricos no município de Baião.</w:t>
      </w:r>
      <w:r>
        <w:rPr>
          <w:rtl w:val="0"/>
        </w:rPr>
        <w:t xml:space="preserve"> Portal da Transparência SEMAS. Disponível em: </w:t>
      </w:r>
      <w:r>
        <w:fldChar w:fldCharType="begin"/>
      </w:r>
      <w:r>
        <w:instrText xml:space="preserve"> HYPERLINK "http://portaldatransparencia.semas.pa.gov.br/#/visao-publica" \h </w:instrText>
      </w:r>
      <w:r>
        <w:fldChar w:fldCharType="separate"/>
      </w:r>
      <w:r>
        <w:rPr>
          <w:color w:val="1155CC"/>
          <w:u w:val="single"/>
          <w:rtl w:val="0"/>
        </w:rPr>
        <w:t>http://portaldatransparencia.semas.pa.gov.br/#/visao-publica</w:t>
      </w:r>
      <w:r>
        <w:rPr>
          <w:color w:val="1155CC"/>
          <w:u w:val="single"/>
          <w:rtl w:val="0"/>
        </w:rPr>
        <w:fldChar w:fldCharType="end"/>
      </w:r>
      <w:r>
        <w:rPr>
          <w:rtl w:val="0"/>
        </w:rPr>
        <w:t>. Acesso em: 8 maio 2025.</w:t>
      </w:r>
    </w:p>
    <w:p w14:paraId="00000060">
      <w:pPr>
        <w:spacing w:before="0" w:after="0"/>
        <w:jc w:val="both"/>
      </w:pPr>
    </w:p>
    <w:p w14:paraId="00000061">
      <w:pPr>
        <w:spacing w:before="0" w:after="0"/>
        <w:jc w:val="both"/>
        <w:rPr>
          <w:rtl w:val="0"/>
        </w:rPr>
      </w:pPr>
      <w:r>
        <w:rPr>
          <w:rtl w:val="0"/>
        </w:rPr>
        <w:t>PERES, J. G.; SOUZA, C. F.; LAVORENTI, N. A. Avaliação dos efeitos da cobertura de palha de cana-de-açúcar na umidade e na perda de água do solo. </w:t>
      </w:r>
      <w:r>
        <w:rPr>
          <w:b/>
          <w:rtl w:val="0"/>
        </w:rPr>
        <w:t>Engenharia Agrícola</w:t>
      </w:r>
      <w:r>
        <w:rPr>
          <w:rtl w:val="0"/>
        </w:rPr>
        <w:t>, v. 30, p. 875-886, 2010.</w:t>
      </w:r>
    </w:p>
    <w:p w14:paraId="2945F64B">
      <w:pPr>
        <w:spacing w:before="0" w:after="0"/>
        <w:jc w:val="both"/>
        <w:rPr>
          <w:rtl w:val="0"/>
        </w:rPr>
      </w:pPr>
    </w:p>
    <w:p w14:paraId="5B498E58">
      <w:pPr>
        <w:spacing w:before="0" w:after="0"/>
        <w:jc w:val="both"/>
        <w:rPr>
          <w:rtl w:val="0"/>
        </w:rPr>
      </w:pPr>
      <w:r>
        <w:rPr>
          <w:rtl w:val="0"/>
        </w:rPr>
        <w:t>SILVA, I. A.; CORREA, M. G.; ORDÓÑEZ, M. J. “O sertão é o mundo": um diálogo entre a crise hídrica na Amazônia e Grande Sertão: Veredas, de Guimarães Rosa. </w:t>
      </w:r>
      <w:r>
        <w:rPr>
          <w:b/>
          <w:rtl w:val="0"/>
        </w:rPr>
        <w:t>Rebena — Revista Brasileira de Ensino e Aprendizagem</w:t>
      </w:r>
      <w:r>
        <w:rPr>
          <w:rtl w:val="0"/>
        </w:rPr>
        <w:t>, v. 11, p. 92-101, 2025.</w:t>
      </w:r>
    </w:p>
    <w:p w14:paraId="00000062">
      <w:pPr>
        <w:spacing w:before="0" w:after="0"/>
        <w:jc w:val="both"/>
      </w:pPr>
    </w:p>
    <w:p w14:paraId="00000063">
      <w:pPr>
        <w:spacing w:before="0" w:after="0"/>
        <w:jc w:val="both"/>
      </w:pPr>
      <w:r>
        <w:rPr>
          <w:rtl w:val="0"/>
        </w:rPr>
        <w:t xml:space="preserve">SILVA, R. C. et al. Efeito do déficit hídrico no crescimento inicial de </w:t>
      </w:r>
      <w:r>
        <w:rPr>
          <w:i/>
          <w:rtl w:val="0"/>
        </w:rPr>
        <w:t>Euterpe oleracea</w:t>
      </w:r>
      <w:r>
        <w:rPr>
          <w:rtl w:val="0"/>
        </w:rPr>
        <w:t xml:space="preserve"> Mart. (Açaí) Sob Condições Climáticas na Região Sul do Tocantins. </w:t>
      </w:r>
      <w:r>
        <w:rPr>
          <w:b/>
          <w:rtl w:val="0"/>
        </w:rPr>
        <w:t>Revista De Gestão Social E Ambiental</w:t>
      </w:r>
      <w:r>
        <w:rPr>
          <w:rtl w:val="0"/>
        </w:rPr>
        <w:t>, v. 17, n. 8, p. e03775, 2023.</w:t>
      </w:r>
    </w:p>
    <w:p w14:paraId="00000064">
      <w:pPr>
        <w:spacing w:before="0" w:after="0"/>
        <w:jc w:val="both"/>
      </w:pPr>
    </w:p>
    <w:p w14:paraId="00000065">
      <w:pPr>
        <w:spacing w:before="0" w:after="0"/>
        <w:jc w:val="both"/>
      </w:pPr>
      <w:r>
        <w:rPr>
          <w:rtl w:val="0"/>
        </w:rPr>
        <w:t>SCHNEIDER, S. Teoria social, agricultura familiar e pluriatividade. </w:t>
      </w:r>
      <w:r>
        <w:rPr>
          <w:b/>
          <w:rtl w:val="0"/>
        </w:rPr>
        <w:t>Revista brasileira de ciências sociais</w:t>
      </w:r>
      <w:r>
        <w:rPr>
          <w:rtl w:val="0"/>
        </w:rPr>
        <w:t>, v. 18, p. 99-122, 2003.</w:t>
      </w:r>
    </w:p>
    <w:p w14:paraId="00000066">
      <w:pPr>
        <w:spacing w:before="0" w:after="0"/>
        <w:jc w:val="both"/>
      </w:pPr>
    </w:p>
    <w:p w14:paraId="00000067">
      <w:pPr>
        <w:spacing w:before="0" w:after="0"/>
        <w:jc w:val="both"/>
        <w:rPr>
          <w:rFonts w:ascii="Avenir" w:hAnsi="Avenir" w:eastAsia="Avenir" w:cs="Avenir"/>
          <w:b/>
        </w:rPr>
      </w:pPr>
      <w:r>
        <w:rPr>
          <w:rtl w:val="0"/>
        </w:rPr>
        <w:t xml:space="preserve">VALE, J. C. E.; WEIHS, M.; GERVAZIO, W. As vulnerabilidades da agricultura familiar e as ameaças das lavouras de soja ao projeto de assentamento São Pedro, Amazônia, Brasil. </w:t>
      </w:r>
      <w:r>
        <w:rPr>
          <w:b/>
          <w:rtl w:val="0"/>
        </w:rPr>
        <w:t>Confins. Revue franco-brésilienne de géographie/Revista franco-brasilera de geografia</w:t>
      </w:r>
      <w:r>
        <w:rPr>
          <w:rtl w:val="0"/>
        </w:rPr>
        <w:t>, n. 46, 2020.</w:t>
      </w:r>
    </w:p>
    <w:sectPr>
      <w:headerReference r:id="rId5" w:type="first"/>
      <w:footerReference r:id="rId7" w:type="first"/>
      <w:headerReference r:id="rId4" w:type="default"/>
      <w:footerReference r:id="rId6" w:type="default"/>
      <w:pgSz w:w="11906" w:h="16838"/>
      <w:pgMar w:top="3510" w:right="1701" w:bottom="1417" w:left="1701" w:header="708" w:footer="708" w:gutter="0"/>
      <w:pgNumType w:start="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Trebuchet MS">
    <w:panose1 w:val="020B0603020202020204"/>
    <w:charset w:val="86"/>
    <w:family w:val="auto"/>
    <w:pitch w:val="default"/>
    <w:sig w:usb0="00000687" w:usb1="00000000" w:usb2="00000000" w:usb3="00000000" w:csb0="2000009F" w:csb1="00000000"/>
  </w:font>
  <w:font w:name="Garamond">
    <w:panose1 w:val="02020404030301010803"/>
    <w:charset w:val="00"/>
    <w:family w:val="auto"/>
    <w:pitch w:val="default"/>
    <w:sig w:usb0="00000287" w:usb1="00000000" w:usb2="00000000" w:usb3="00000000" w:csb0="0000009F" w:csb1="DFD70000"/>
  </w:font>
  <w:font w:name="Avenir">
    <w:altName w:val="Segoe Print"/>
    <w:panose1 w:val="00000000000000000000"/>
    <w:charset w:val="00"/>
    <w:family w:val="auto"/>
    <w:pitch w:val="default"/>
    <w:sig w:usb0="00000000" w:usb1="00000000" w:usb2="00000000" w:usb3="00000000" w:csb0="00000000" w:csb1="00000000"/>
  </w:font>
  <w:font w:name="Antoni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8">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252"/>
        <w:tab w:val="right" w:pos="8504"/>
      </w:tabs>
      <w:spacing w:before="0" w:after="0" w:line="240" w:lineRule="auto"/>
      <w:ind w:left="0" w:right="0" w:firstLine="0"/>
      <w:jc w:val="left"/>
      <w:rPr>
        <w:rFonts w:ascii="Trebuchet MS" w:hAnsi="Trebuchet MS" w:eastAsia="Trebuchet MS" w:cs="Trebuchet MS"/>
        <w:b w:val="0"/>
        <w:i w:val="0"/>
        <w:smallCaps w:val="0"/>
        <w:strike w:val="0"/>
        <w:color w:val="000000"/>
        <w:sz w:val="24"/>
        <w:szCs w:val="24"/>
        <w:u w:val="none"/>
        <w:shd w:val="clear" w:fill="auto"/>
        <w:vertAlign w:val="baseline"/>
      </w:rPr>
    </w:pPr>
    <w:r>
      <w:drawing>
        <wp:anchor distT="0" distB="0" distL="114300" distR="114300" simplePos="0" relativeHeight="251659264" behindDoc="0" locked="0" layoutInCell="1" allowOverlap="1">
          <wp:simplePos x="0" y="0"/>
          <wp:positionH relativeFrom="column">
            <wp:posOffset>-1079500</wp:posOffset>
          </wp:positionH>
          <wp:positionV relativeFrom="paragraph">
            <wp:posOffset>-10064750</wp:posOffset>
          </wp:positionV>
          <wp:extent cx="7566660" cy="2136140"/>
          <wp:effectExtent l="0" t="0" r="0" b="0"/>
          <wp:wrapSquare wrapText="bothSides"/>
          <wp:docPr id="4" name="image1.png" descr="Uma imagem contend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4" name="image1.png" descr="Uma imagem contendo Texto&#10;&#10;O conteúdo gerado por IA pode estar incorreto."/>
                  <pic:cNvPicPr preferRelativeResize="0"/>
                </pic:nvPicPr>
                <pic:blipFill>
                  <a:blip r:embed="rId1"/>
                  <a:srcRect/>
                  <a:stretch>
                    <a:fillRect/>
                  </a:stretch>
                </pic:blipFill>
                <pic:spPr>
                  <a:xfrm>
                    <a:off x="0" y="0"/>
                    <a:ext cx="7566660" cy="213614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B">
    <w:pPr>
      <w:rPr>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0000006C">
      <w:pPr>
        <w:widowControl w:val="0"/>
        <w:jc w:val="both"/>
        <w:rPr>
          <w:sz w:val="20"/>
          <w:szCs w:val="20"/>
        </w:rPr>
      </w:pPr>
      <w:r>
        <w:rPr>
          <w:vertAlign w:val="superscript"/>
        </w:rPr>
        <w:footnoteRef/>
      </w:r>
      <w:r>
        <w:rPr>
          <w:sz w:val="20"/>
          <w:szCs w:val="20"/>
          <w:rtl w:val="0"/>
        </w:rPr>
        <w:t xml:space="preserve"> Mestranda pelo Programa de Pós-Graduação em Agriculturas Familiares, Universidade Federal do Pará, </w:t>
      </w:r>
      <w:r>
        <w:fldChar w:fldCharType="begin"/>
      </w:r>
      <w:r>
        <w:instrText xml:space="preserve"> HYPERLINK "mailto:alanne.silva@ineaf.ufpa.br" \h </w:instrText>
      </w:r>
      <w:r>
        <w:fldChar w:fldCharType="separate"/>
      </w:r>
      <w:r>
        <w:rPr>
          <w:color w:val="0000FF"/>
          <w:sz w:val="20"/>
          <w:szCs w:val="20"/>
          <w:u w:val="single"/>
          <w:rtl w:val="0"/>
        </w:rPr>
        <w:t>alanne.silva@ineaf.ufpa.br</w:t>
      </w:r>
      <w:r>
        <w:rPr>
          <w:color w:val="0000FF"/>
          <w:sz w:val="20"/>
          <w:szCs w:val="20"/>
          <w:u w:val="single"/>
          <w:rtl w:val="0"/>
        </w:rPr>
        <w:fldChar w:fldCharType="end"/>
      </w:r>
      <w:r>
        <w:rPr>
          <w:sz w:val="20"/>
          <w:szCs w:val="20"/>
          <w:rtl w:val="0"/>
        </w:rPr>
        <w:t>.</w:t>
      </w:r>
    </w:p>
  </w:footnote>
  <w:footnote w:id="1">
    <w:p w14:paraId="0000006D">
      <w:pPr>
        <w:widowControl w:val="0"/>
        <w:jc w:val="both"/>
        <w:rPr>
          <w:sz w:val="20"/>
          <w:szCs w:val="20"/>
        </w:rPr>
      </w:pPr>
      <w:r>
        <w:rPr>
          <w:vertAlign w:val="superscript"/>
        </w:rPr>
        <w:footnoteRef/>
      </w:r>
      <w:r>
        <w:rPr>
          <w:sz w:val="20"/>
          <w:szCs w:val="20"/>
          <w:rtl w:val="0"/>
        </w:rPr>
        <w:t xml:space="preserve"> Doutoranda pelo Programa de Pós-Graduação em Agriculturas Familiares, Universidade Federal do Pará, </w:t>
      </w:r>
      <w:r>
        <w:rPr>
          <w:color w:val="0000FF"/>
          <w:sz w:val="20"/>
          <w:szCs w:val="20"/>
          <w:u w:val="single"/>
          <w:rtl w:val="0"/>
        </w:rPr>
        <w:t>anafelicien@gmail.com</w:t>
      </w:r>
    </w:p>
  </w:footnote>
  <w:footnote w:id="2">
    <w:p w14:paraId="0000006E">
      <w:pPr>
        <w:widowControl w:val="0"/>
        <w:spacing w:before="120" w:after="120" w:line="360" w:lineRule="auto"/>
        <w:jc w:val="both"/>
        <w:rPr>
          <w:rFonts w:ascii="Times New Roman" w:hAnsi="Times New Roman" w:eastAsia="Times New Roman" w:cs="Times New Roman"/>
          <w:sz w:val="20"/>
          <w:szCs w:val="20"/>
        </w:rPr>
      </w:pPr>
      <w:r>
        <w:rPr>
          <w:vertAlign w:val="superscript"/>
        </w:rPr>
        <w:footnoteRef/>
      </w:r>
      <w:r>
        <w:rPr>
          <w:rFonts w:ascii="Times New Roman" w:hAnsi="Times New Roman" w:eastAsia="Times New Roman" w:cs="Times New Roman"/>
          <w:sz w:val="20"/>
          <w:szCs w:val="20"/>
          <w:rtl w:val="0"/>
        </w:rPr>
        <w:t xml:space="preserve"> Segundo Castro (1998) a estiagem é um período prolongado de baixa pluviosidade ou sua ausência, em que a perda de umidade do solo é superior à sua reposição.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06A">
    <w:pPr>
      <w:rPr>
        <w:vertAlign w:val="baseline"/>
      </w:rPr>
    </w:pPr>
    <w:r>
      <mc:AlternateContent>
        <mc:Choice Requires="wps">
          <w:drawing>
            <wp:anchor distT="0" distB="0" distL="0" distR="0" simplePos="0" relativeHeight="251659264" behindDoc="0" locked="0" layoutInCell="1" allowOverlap="1">
              <wp:simplePos x="0" y="0"/>
              <wp:positionH relativeFrom="column">
                <wp:posOffset>504825</wp:posOffset>
              </wp:positionH>
              <wp:positionV relativeFrom="paragraph">
                <wp:posOffset>7658100</wp:posOffset>
              </wp:positionV>
              <wp:extent cx="718820" cy="391795"/>
              <wp:effectExtent l="0" t="0" r="0" b="0"/>
              <wp:wrapNone/>
              <wp:docPr id="2" name="Retângulo arredondado 2"/>
              <wp:cNvGraphicFramePr/>
              <a:graphic xmlns:a="http://schemas.openxmlformats.org/drawingml/2006/main">
                <a:graphicData uri="http://schemas.microsoft.com/office/word/2010/wordprocessingShape">
                  <wps:wsp>
                    <wps:cNvSpPr/>
                    <wps:spPr>
                      <a:xfrm>
                        <a:off x="4991437" y="3588723"/>
                        <a:ext cx="709126" cy="382555"/>
                      </a:xfrm>
                      <a:prstGeom prst="roundRect">
                        <a:avLst>
                          <a:gd name="adj" fmla="val 16667"/>
                        </a:avLst>
                      </a:prstGeom>
                      <a:solidFill>
                        <a:srgbClr val="1A9B3C"/>
                      </a:solidFill>
                      <a:ln>
                        <a:noFill/>
                      </a:ln>
                    </wps:spPr>
                    <wps:txbx>
                      <w:txbxContent>
                        <w:p w14:paraId="02A51AB8">
                          <w:pPr>
                            <w:spacing w:before="0" w:after="0" w:line="240" w:lineRule="auto"/>
                            <w:ind w:left="0" w:right="0" w:firstLine="0"/>
                            <w:jc w:val="left"/>
                          </w:pPr>
                        </w:p>
                      </w:txbxContent>
                    </wps:txbx>
                    <wps:bodyPr spcFirstLastPara="1" wrap="square" lIns="91425" tIns="91425" rIns="91425" bIns="91425" anchor="ctr" anchorCtr="0">
                      <a:noAutofit/>
                    </wps:bodyPr>
                  </wps:wsp>
                </a:graphicData>
              </a:graphic>
            </wp:anchor>
          </w:drawing>
        </mc:Choice>
        <mc:Fallback>
          <w:pict>
            <v:roundrect id="_x0000_s1026" o:spid="_x0000_s1026" o:spt="2" style="position:absolute;left:0pt;margin-left:39.75pt;margin-top:603pt;height:30.85pt;width:56.6pt;z-index:251659264;v-text-anchor:middle;mso-width-relative:page;mso-height-relative:page;" fillcolor="#1A9B3C" filled="t" stroked="f" coordsize="21600,21600" arcsize="0.166666666666667" o:gfxdata="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z8Wg9cA&#10;AAAMAQAADwAAAAAAAAABACAAAAAiAAAAZHJzL2Rvd25yZXYueG1sUEsBAhQAFAAAAAgAh07iQJSs&#10;1oEgAgAANgQAAA4AAAAAAAAAAQAgAAAAJgEAAGRycy9lMm9Eb2MueG1sUEsFBgAAAAAGAAYAWQEA&#10;ALgFAAAAAA==&#10;">
              <v:fill on="t" focussize="0,0"/>
              <v:stroke on="f"/>
              <v:imagedata o:title=""/>
              <o:lock v:ext="edit" aspectratio="f"/>
              <v:textbox inset="7.1988188976378pt,7.1988188976378pt,7.1988188976378pt,7.1988188976378pt">
                <w:txbxContent>
                  <w:p w14:paraId="02A51AB8">
                    <w:pPr>
                      <w:spacing w:before="0" w:after="0" w:line="240" w:lineRule="auto"/>
                      <w:ind w:left="0" w:right="0" w:firstLine="0"/>
                      <w:jc w:val="left"/>
                    </w:pPr>
                  </w:p>
                </w:txbxContent>
              </v:textbox>
            </v:roundrect>
          </w:pict>
        </mc:Fallback>
      </mc:AlternateContent>
    </w:r>
    <w:r>
      <w:drawing>
        <wp:anchor distT="0" distB="0" distL="0" distR="0" simplePos="0" relativeHeight="251659264" behindDoc="1" locked="0" layoutInCell="1" allowOverlap="1">
          <wp:simplePos x="0" y="0"/>
          <wp:positionH relativeFrom="column">
            <wp:posOffset>-1094740</wp:posOffset>
          </wp:positionH>
          <wp:positionV relativeFrom="paragraph">
            <wp:posOffset>-418465</wp:posOffset>
          </wp:positionV>
          <wp:extent cx="7578090" cy="10711815"/>
          <wp:effectExtent l="0" t="0" r="0" b="0"/>
          <wp:wrapNone/>
          <wp:docPr id="5" name="image5.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5" name="image5.png" descr="Texto, Carta&#10;&#10;O conteúdo gerado por IA pode estar incorreto."/>
                  <pic:cNvPicPr preferRelativeResize="0"/>
                </pic:nvPicPr>
                <pic:blipFill>
                  <a:blip r:embed="rId1"/>
                  <a:srcRect/>
                  <a:stretch>
                    <a:fillRect/>
                  </a:stretch>
                </pic:blipFill>
                <pic:spPr>
                  <a:xfrm>
                    <a:off x="0" y="0"/>
                    <a:ext cx="7578284" cy="10711543"/>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1323975</wp:posOffset>
              </wp:positionH>
              <wp:positionV relativeFrom="paragraph">
                <wp:posOffset>7639050</wp:posOffset>
              </wp:positionV>
              <wp:extent cx="3703955" cy="1371600"/>
              <wp:effectExtent l="0" t="0" r="0" b="0"/>
              <wp:wrapNone/>
              <wp:docPr id="1" name="Retângulo 1"/>
              <wp:cNvGraphicFramePr/>
              <a:graphic xmlns:a="http://schemas.openxmlformats.org/drawingml/2006/main">
                <a:graphicData uri="http://schemas.microsoft.com/office/word/2010/wordprocessingShape">
                  <wps:wsp>
                    <wps:cNvSpPr/>
                    <wps:spPr>
                      <a:xfrm>
                        <a:off x="3498785" y="3098963"/>
                        <a:ext cx="3694430" cy="1362075"/>
                      </a:xfrm>
                      <a:prstGeom prst="rect">
                        <a:avLst/>
                      </a:prstGeom>
                      <a:noFill/>
                      <a:ln>
                        <a:noFill/>
                      </a:ln>
                    </wps:spPr>
                    <wps:txbx>
                      <w:txbxContent>
                        <w:p w14:paraId="6F491B26">
                          <w:pPr>
                            <w:spacing w:before="0" w:after="0" w:line="240" w:lineRule="auto"/>
                            <w:ind w:left="0" w:right="0" w:firstLine="0"/>
                            <w:jc w:val="left"/>
                          </w:pPr>
                          <w:r>
                            <w:rPr>
                              <w:rFonts w:ascii="Antonio" w:hAnsi="Antonio" w:eastAsia="Antonio" w:cs="Antonio"/>
                              <w:b w:val="0"/>
                              <w:i w:val="0"/>
                              <w:smallCaps w:val="0"/>
                              <w:strike w:val="0"/>
                              <w:color w:val="1A9B3C"/>
                              <w:sz w:val="36"/>
                              <w:vertAlign w:val="baseline"/>
                            </w:rPr>
                            <w:t>A problemática das águas, modos de vida e transições produtivas nos espaços rurais</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104.25pt;margin-top:601.5pt;height:108pt;width:291.65pt;z-index:251659264;mso-width-relative:page;mso-height-relative:page;" filled="f" stroked="f" coordsize="21600,21600" o:gfxdata="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CVFrtcAAAANAQAADwAAAAAAAAABACAAAAAiAAAAZHJzL2Rvd25yZXYueG1sUEsBAhQAFAAAAAgA&#10;h07iQJRiGLrtAQAA0AMAAA4AAAAAAAAAAQAgAAAAJgEAAGRycy9lMm9Eb2MueG1sUEsFBgAAAAAG&#10;AAYAWQEAAIUFAAAAAA==&#10;">
              <v:fill on="f" focussize="0,0"/>
              <v:stroke on="f"/>
              <v:imagedata o:title=""/>
              <o:lock v:ext="edit" aspectratio="f"/>
              <v:textbox inset="7.1988188976378pt,3.59842519685039pt,7.1988188976378pt,3.59842519685039pt">
                <w:txbxContent>
                  <w:p w14:paraId="6F491B26">
                    <w:pPr>
                      <w:spacing w:before="0" w:after="0" w:line="240" w:lineRule="auto"/>
                      <w:ind w:left="0" w:right="0" w:firstLine="0"/>
                      <w:jc w:val="left"/>
                    </w:pPr>
                    <w:r>
                      <w:rPr>
                        <w:rFonts w:ascii="Antonio" w:hAnsi="Antonio" w:eastAsia="Antonio" w:cs="Antonio"/>
                        <w:b w:val="0"/>
                        <w:i w:val="0"/>
                        <w:smallCaps w:val="0"/>
                        <w:strike w:val="0"/>
                        <w:color w:val="1A9B3C"/>
                        <w:sz w:val="36"/>
                        <w:vertAlign w:val="baseline"/>
                      </w:rPr>
                      <w:t>A problemática das águas, modos de vida e transições produtivas nos espaços rurais</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504825</wp:posOffset>
              </wp:positionH>
              <wp:positionV relativeFrom="paragraph">
                <wp:posOffset>7658100</wp:posOffset>
              </wp:positionV>
              <wp:extent cx="821055" cy="509905"/>
              <wp:effectExtent l="0" t="0" r="0" b="0"/>
              <wp:wrapNone/>
              <wp:docPr id="3" name="Retângulo 3"/>
              <wp:cNvGraphicFramePr/>
              <a:graphic xmlns:a="http://schemas.openxmlformats.org/drawingml/2006/main">
                <a:graphicData uri="http://schemas.microsoft.com/office/word/2010/wordprocessingShape">
                  <wps:wsp>
                    <wps:cNvSpPr/>
                    <wps:spPr>
                      <a:xfrm>
                        <a:off x="4940235" y="3532985"/>
                        <a:ext cx="811530" cy="494030"/>
                      </a:xfrm>
                      <a:prstGeom prst="rect">
                        <a:avLst/>
                      </a:prstGeom>
                      <a:noFill/>
                      <a:ln>
                        <a:noFill/>
                      </a:ln>
                    </wps:spPr>
                    <wps:txbx>
                      <w:txbxContent>
                        <w:p w14:paraId="3332541E">
                          <w:pPr>
                            <w:spacing w:before="0" w:after="0" w:line="240" w:lineRule="auto"/>
                            <w:ind w:left="0" w:right="0" w:firstLine="0"/>
                            <w:jc w:val="left"/>
                          </w:pPr>
                          <w:r>
                            <w:rPr>
                              <w:rFonts w:ascii="Antonio" w:hAnsi="Antonio" w:eastAsia="Antonio" w:cs="Antonio"/>
                              <w:b w:val="0"/>
                              <w:i w:val="0"/>
                              <w:smallCaps w:val="0"/>
                              <w:strike w:val="0"/>
                              <w:color w:val="F8EDD1"/>
                              <w:sz w:val="44"/>
                              <w:vertAlign w:val="baseline"/>
                            </w:rPr>
                            <w:t>GT 06:</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39.75pt;margin-top:603pt;height:40.15pt;width:64.65pt;z-index:251659264;mso-width-relative:page;mso-height-relative:page;" filled="f" stroked="f" coordsize="21600,21600" o:gfxdata="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C7d9UA&#10;AAAMAQAADwAAAAAAAAABACAAAAAiAAAAZHJzL2Rvd25yZXYueG1sUEsBAhQAFAAAAAgAh07iQFXJ&#10;C3vpAQAAzgMAAA4AAAAAAAAAAQAgAAAAJAEAAGRycy9lMm9Eb2MueG1sUEsFBgAAAAAGAAYAWQEA&#10;AH8FAAAAAA==&#10;">
              <v:fill on="f" focussize="0,0"/>
              <v:stroke on="f"/>
              <v:imagedata o:title=""/>
              <o:lock v:ext="edit" aspectratio="f"/>
              <v:textbox inset="7.1988188976378pt,3.59842519685039pt,7.1988188976378pt,3.59842519685039pt">
                <w:txbxContent>
                  <w:p w14:paraId="3332541E">
                    <w:pPr>
                      <w:spacing w:before="0" w:after="0" w:line="240" w:lineRule="auto"/>
                      <w:ind w:left="0" w:right="0" w:firstLine="0"/>
                      <w:jc w:val="left"/>
                    </w:pPr>
                    <w:r>
                      <w:rPr>
                        <w:rFonts w:ascii="Antonio" w:hAnsi="Antonio" w:eastAsia="Antonio" w:cs="Antonio"/>
                        <w:b w:val="0"/>
                        <w:i w:val="0"/>
                        <w:smallCaps w:val="0"/>
                        <w:strike w:val="0"/>
                        <w:color w:val="F8EDD1"/>
                        <w:sz w:val="44"/>
                        <w:vertAlign w:val="baseline"/>
                      </w:rPr>
                      <w:t>GT 06:</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6"/>
    <w:footnote w:id="7"/>
  </w:footnotePr>
  <w:compat>
    <w:compatSetting w:name="compatibilityMode" w:uri="http://schemas.microsoft.com/office/word" w:val="15"/>
  </w:compat>
  <w:rsids>
    <w:rsidRoot w:val="00000000"/>
    <w:rsid w:val="05FF1751"/>
    <w:rsid w:val="367A3449"/>
    <w:rsid w:val="398C28E2"/>
    <w:rsid w:val="47800E5B"/>
    <w:rsid w:val="4DB87D11"/>
    <w:rsid w:val="4DED73AD"/>
    <w:rsid w:val="6CAD6532"/>
    <w:rsid w:val="7D7772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rebuchet MS" w:hAnsi="Trebuchet MS" w:eastAsia="Trebuchet MS" w:cs="Trebuchet MS"/>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uiPriority w:val="0"/>
    <w:rPr>
      <w:rFonts w:ascii="Trebuchet MS" w:hAnsi="Trebuchet MS" w:eastAsia="Trebuchet MS" w:cs="Trebuchet MS"/>
      <w:sz w:val="24"/>
      <w:szCs w:val="24"/>
      <w:lang w:val="pt-BR"/>
    </w:rPr>
  </w:style>
  <w:style w:type="paragraph" w:styleId="2">
    <w:name w:val="heading 1"/>
    <w:basedOn w:val="1"/>
    <w:next w:val="1"/>
    <w:uiPriority w:val="0"/>
    <w:pPr>
      <w:keepNext/>
      <w:keepLines/>
      <w:spacing w:before="360" w:after="80"/>
    </w:pPr>
    <w:rPr>
      <w:rFonts w:ascii="Garamond" w:hAnsi="Garamond" w:eastAsia="Garamond" w:cs="Garamond"/>
      <w:color w:val="0F4761"/>
      <w:sz w:val="40"/>
      <w:szCs w:val="40"/>
    </w:rPr>
  </w:style>
  <w:style w:type="paragraph" w:styleId="3">
    <w:name w:val="heading 2"/>
    <w:basedOn w:val="1"/>
    <w:next w:val="1"/>
    <w:uiPriority w:val="0"/>
    <w:rPr>
      <w:rFonts w:ascii="Times New Roman" w:hAnsi="Times New Roman" w:eastAsia="Times New Roman" w:cs="Times New Roman"/>
      <w:b/>
      <w:sz w:val="36"/>
      <w:szCs w:val="36"/>
    </w:rPr>
  </w:style>
  <w:style w:type="paragraph" w:styleId="4">
    <w:name w:val="heading 3"/>
    <w:basedOn w:val="1"/>
    <w:next w:val="1"/>
    <w:qFormat/>
    <w:uiPriority w:val="0"/>
    <w:pPr>
      <w:keepNext/>
      <w:keepLines/>
      <w:spacing w:before="160" w:after="80"/>
    </w:pPr>
    <w:rPr>
      <w:color w:val="0F4761"/>
      <w:sz w:val="28"/>
      <w:szCs w:val="28"/>
    </w:rPr>
  </w:style>
  <w:style w:type="paragraph" w:styleId="5">
    <w:name w:val="heading 4"/>
    <w:basedOn w:val="1"/>
    <w:next w:val="1"/>
    <w:uiPriority w:val="0"/>
    <w:pPr>
      <w:keepNext/>
      <w:keepLines/>
      <w:spacing w:before="80" w:after="40"/>
    </w:pPr>
    <w:rPr>
      <w:i/>
      <w:color w:val="0F4761"/>
    </w:rPr>
  </w:style>
  <w:style w:type="paragraph" w:styleId="6">
    <w:name w:val="heading 5"/>
    <w:basedOn w:val="1"/>
    <w:next w:val="1"/>
    <w:qFormat/>
    <w:uiPriority w:val="0"/>
    <w:pPr>
      <w:keepNext/>
      <w:keepLines/>
      <w:spacing w:before="80" w:after="40"/>
    </w:pPr>
    <w:rPr>
      <w:color w:val="0F4761"/>
    </w:rPr>
  </w:style>
  <w:style w:type="paragraph" w:styleId="7">
    <w:name w:val="heading 6"/>
    <w:basedOn w:val="1"/>
    <w:next w:val="1"/>
    <w:qFormat/>
    <w:uiPriority w:val="0"/>
    <w:pPr>
      <w:keepNext/>
      <w:keepLines/>
      <w:spacing w:before="40"/>
    </w:pPr>
    <w:rPr>
      <w:i/>
      <w:color w:val="595959"/>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Title"/>
    <w:basedOn w:val="1"/>
    <w:next w:val="1"/>
    <w:qFormat/>
    <w:uiPriority w:val="0"/>
    <w:pPr>
      <w:spacing w:after="80"/>
    </w:pPr>
    <w:rPr>
      <w:rFonts w:ascii="Garamond" w:hAnsi="Garamond" w:eastAsia="Garamond" w:cs="Garamond"/>
      <w:sz w:val="56"/>
      <w:szCs w:val="56"/>
    </w:rPr>
  </w:style>
  <w:style w:type="paragraph" w:styleId="11">
    <w:name w:val="Subtitle"/>
    <w:basedOn w:val="1"/>
    <w:next w:val="1"/>
    <w:qFormat/>
    <w:uiPriority w:val="0"/>
    <w:pPr>
      <w:spacing w:after="160"/>
    </w:pPr>
    <w:rPr>
      <w:color w:val="595959"/>
      <w:sz w:val="28"/>
      <w:szCs w:val="28"/>
    </w:rPr>
  </w:style>
  <w:style w:type="table" w:customStyle="1" w:styleId="12">
    <w:name w:val="Table Normal"/>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TotalTime>25</TotalTime>
  <ScaleCrop>false</ScaleCrop>
  <LinksUpToDate>false</LinksUpToDate>
  <Application>WPS Office_12.2.0.20795_F1E327BC-269C-435d-A152-05C5408002CA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2025-05-12T19:55:00Z</dcterms:created>
  <dc:creator>alann</dc:creator>
  <cp:lastModifiedBy>alann</cp:lastModifiedBy>
  <dcterms:modified xsi:type="dcterms:W3CDTF">2025-05-12T20:43:07Z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97B6E6F8511641E0A8C94883F99B3BCA_13</vt:lpwstr>
  </property>
</Properties>
</file>