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A252" w14:textId="77777777" w:rsidR="003B16B6" w:rsidRPr="00A23655" w:rsidRDefault="003B16B6" w:rsidP="003B16B6">
      <w:pPr>
        <w:ind w:leftChars="0" w:left="0" w:firstLineChars="0" w:firstLine="0"/>
        <w:jc w:val="center"/>
        <w:rPr>
          <w:b/>
          <w:color w:val="000000"/>
          <w:sz w:val="32"/>
          <w:szCs w:val="32"/>
        </w:rPr>
      </w:pPr>
      <w:r>
        <w:rPr>
          <w:b/>
          <w:color w:val="000000"/>
          <w:sz w:val="32"/>
          <w:szCs w:val="32"/>
        </w:rPr>
        <w:t>La medición de la experiencia universitaria como dimensión para la gestión y el estudio de la permanencia estudiantil: una propuesta desde el sur de Chile</w:t>
      </w:r>
    </w:p>
    <w:p w14:paraId="5908981C" w14:textId="77777777" w:rsidR="00C637C2" w:rsidRDefault="00C637C2">
      <w:pPr>
        <w:spacing w:after="0"/>
        <w:ind w:left="0" w:hanging="2"/>
        <w:rPr>
          <w:sz w:val="24"/>
          <w:szCs w:val="24"/>
        </w:rPr>
      </w:pPr>
    </w:p>
    <w:p w14:paraId="145154A6" w14:textId="77777777" w:rsidR="003B16B6" w:rsidRDefault="00177CB2" w:rsidP="003B16B6">
      <w:pPr>
        <w:tabs>
          <w:tab w:val="left" w:pos="7078"/>
          <w:tab w:val="left" w:pos="9638"/>
        </w:tabs>
        <w:ind w:left="0" w:hanging="2"/>
        <w:rPr>
          <w:sz w:val="24"/>
          <w:szCs w:val="24"/>
        </w:rPr>
      </w:pPr>
      <w:r>
        <w:rPr>
          <w:b/>
          <w:sz w:val="24"/>
          <w:szCs w:val="24"/>
        </w:rPr>
        <w:t>Línea Temática</w:t>
      </w:r>
      <w:r>
        <w:rPr>
          <w:sz w:val="24"/>
          <w:szCs w:val="24"/>
        </w:rPr>
        <w:t xml:space="preserve">: </w:t>
      </w:r>
      <w:r w:rsidR="003B16B6" w:rsidRPr="003B16B6">
        <w:rPr>
          <w:sz w:val="24"/>
          <w:szCs w:val="24"/>
        </w:rPr>
        <w:t>Línea 5 – Políticas nacionales y gestión institucional para la promoción de la permanencia y reducción del abandono.</w:t>
      </w:r>
    </w:p>
    <w:p w14:paraId="4C757581" w14:textId="48BD9A74" w:rsidR="00C637C2" w:rsidRPr="00EF610E" w:rsidRDefault="003B16B6" w:rsidP="003B16B6">
      <w:pPr>
        <w:tabs>
          <w:tab w:val="left" w:pos="9638"/>
        </w:tabs>
        <w:ind w:left="0" w:hanging="2"/>
        <w:jc w:val="right"/>
        <w:rPr>
          <w:i/>
          <w:iCs/>
          <w:color w:val="000000"/>
          <w:sz w:val="24"/>
          <w:szCs w:val="24"/>
        </w:rPr>
      </w:pPr>
      <w:r>
        <w:rPr>
          <w:i/>
          <w:iCs/>
          <w:color w:val="000000"/>
          <w:sz w:val="24"/>
          <w:szCs w:val="24"/>
        </w:rPr>
        <w:t xml:space="preserve">Eduardo Alberto Arteaga </w:t>
      </w:r>
      <w:r w:rsidR="00A017D2">
        <w:rPr>
          <w:i/>
          <w:iCs/>
          <w:color w:val="000000"/>
          <w:sz w:val="24"/>
          <w:szCs w:val="24"/>
        </w:rPr>
        <w:t>Viveros, Universidad</w:t>
      </w:r>
      <w:r>
        <w:rPr>
          <w:i/>
          <w:iCs/>
          <w:color w:val="000000"/>
          <w:sz w:val="24"/>
          <w:szCs w:val="24"/>
        </w:rPr>
        <w:t xml:space="preserve"> de Barcelona</w:t>
      </w:r>
      <w:r w:rsidR="00EF610E" w:rsidRPr="00172A5C">
        <w:rPr>
          <w:i/>
          <w:iCs/>
          <w:color w:val="000000"/>
          <w:sz w:val="24"/>
          <w:szCs w:val="24"/>
        </w:rPr>
        <w:t xml:space="preserve">, </w:t>
      </w:r>
      <w:r>
        <w:rPr>
          <w:i/>
          <w:iCs/>
          <w:color w:val="000000"/>
          <w:sz w:val="24"/>
          <w:szCs w:val="24"/>
        </w:rPr>
        <w:t xml:space="preserve">earteaga@uct.cl; </w:t>
      </w:r>
      <w:r w:rsidR="00177CB2">
        <w:t xml:space="preserve">     </w:t>
      </w:r>
    </w:p>
    <w:p w14:paraId="7E96EEAC" w14:textId="77777777" w:rsidR="000059BD" w:rsidRDefault="00177CB2">
      <w:pPr>
        <w:pBdr>
          <w:top w:val="nil"/>
          <w:left w:val="nil"/>
          <w:bottom w:val="nil"/>
          <w:right w:val="nil"/>
          <w:between w:val="nil"/>
        </w:pBdr>
        <w:tabs>
          <w:tab w:val="center" w:pos="4419"/>
          <w:tab w:val="right" w:pos="8838"/>
        </w:tabs>
        <w:ind w:left="0" w:hanging="2"/>
        <w:rPr>
          <w:sz w:val="24"/>
          <w:szCs w:val="24"/>
        </w:rPr>
      </w:pPr>
      <w:r>
        <w:rPr>
          <w:b/>
          <w:sz w:val="24"/>
          <w:szCs w:val="24"/>
        </w:rPr>
        <w:t>Resumen</w:t>
      </w:r>
      <w:r>
        <w:rPr>
          <w:sz w:val="24"/>
          <w:szCs w:val="24"/>
        </w:rPr>
        <w:t xml:space="preserve">. </w:t>
      </w:r>
    </w:p>
    <w:p w14:paraId="3FA0ADC3" w14:textId="77777777" w:rsidR="000059BD" w:rsidRPr="00A566A7" w:rsidRDefault="000059BD" w:rsidP="000059BD">
      <w:pPr>
        <w:ind w:left="0" w:hanging="2"/>
        <w:rPr>
          <w:sz w:val="24"/>
          <w:szCs w:val="24"/>
        </w:rPr>
      </w:pPr>
      <w:r w:rsidRPr="00A566A7">
        <w:rPr>
          <w:sz w:val="24"/>
          <w:szCs w:val="24"/>
        </w:rPr>
        <w:t xml:space="preserve">En el presente artículo se dan a conocer los resultados obtenidos a partir </w:t>
      </w:r>
      <w:r>
        <w:rPr>
          <w:sz w:val="24"/>
          <w:szCs w:val="24"/>
        </w:rPr>
        <w:t>de un</w:t>
      </w:r>
      <w:r w:rsidRPr="00A566A7">
        <w:rPr>
          <w:sz w:val="24"/>
          <w:szCs w:val="24"/>
        </w:rPr>
        <w:t xml:space="preserve"> </w:t>
      </w:r>
      <w:r>
        <w:rPr>
          <w:sz w:val="24"/>
          <w:szCs w:val="24"/>
        </w:rPr>
        <w:t>estudio</w:t>
      </w:r>
      <w:r w:rsidRPr="00A566A7">
        <w:rPr>
          <w:sz w:val="24"/>
          <w:szCs w:val="24"/>
        </w:rPr>
        <w:t xml:space="preserve"> </w:t>
      </w:r>
      <w:r>
        <w:rPr>
          <w:sz w:val="24"/>
          <w:szCs w:val="24"/>
        </w:rPr>
        <w:t>sobre</w:t>
      </w:r>
      <w:r w:rsidRPr="00A566A7">
        <w:rPr>
          <w:sz w:val="24"/>
          <w:szCs w:val="24"/>
        </w:rPr>
        <w:t xml:space="preserve"> experiencia </w:t>
      </w:r>
      <w:r>
        <w:rPr>
          <w:sz w:val="24"/>
          <w:szCs w:val="24"/>
        </w:rPr>
        <w:t xml:space="preserve">estudiantil </w:t>
      </w:r>
      <w:r w:rsidRPr="00A566A7">
        <w:rPr>
          <w:sz w:val="24"/>
          <w:szCs w:val="24"/>
        </w:rPr>
        <w:t xml:space="preserve">universitaria en una universidad del sur de Chile. La relevancia de la evaluación de la experiencia universitaria ha sido destacada en las investigaciones efectuadas en el contexto internacional; sin embargo, se evidencia una escasez de estos en el ámbito chileno, en el que </w:t>
      </w:r>
      <w:r>
        <w:rPr>
          <w:sz w:val="24"/>
          <w:szCs w:val="24"/>
        </w:rPr>
        <w:t xml:space="preserve">efectivamente </w:t>
      </w:r>
      <w:r w:rsidRPr="00A566A7">
        <w:rPr>
          <w:sz w:val="24"/>
          <w:szCs w:val="24"/>
        </w:rPr>
        <w:t>se dé cuenta de su importancia en el desarrollo de indicadores institucionales para el análisis y la gestión de la permanencia y abandono estudiantil en las Instituciones de Educación Superior (IES), más allá del ámbito estrictamente académico medido tradicionalmente a través del rendimiento en notas</w:t>
      </w:r>
      <w:r>
        <w:rPr>
          <w:sz w:val="24"/>
          <w:szCs w:val="24"/>
        </w:rPr>
        <w:t xml:space="preserve"> </w:t>
      </w:r>
      <w:r w:rsidRPr="00A566A7">
        <w:rPr>
          <w:sz w:val="24"/>
          <w:szCs w:val="24"/>
        </w:rPr>
        <w:t>y el nivel de asistencia a clases</w:t>
      </w:r>
      <w:r>
        <w:rPr>
          <w:sz w:val="24"/>
          <w:szCs w:val="24"/>
        </w:rPr>
        <w:t>.</w:t>
      </w:r>
    </w:p>
    <w:p w14:paraId="1236F426" w14:textId="74DE5FCE" w:rsidR="000059BD" w:rsidRPr="00A566A7" w:rsidRDefault="000059BD" w:rsidP="000059BD">
      <w:pPr>
        <w:spacing w:line="240" w:lineRule="auto"/>
        <w:ind w:left="0" w:hanging="2"/>
        <w:rPr>
          <w:sz w:val="24"/>
          <w:szCs w:val="24"/>
        </w:rPr>
      </w:pPr>
      <w:r w:rsidRPr="00A566A7">
        <w:rPr>
          <w:sz w:val="24"/>
          <w:szCs w:val="24"/>
        </w:rPr>
        <w:t xml:space="preserve">En consecuencia, el estudio persiguió </w:t>
      </w:r>
      <w:r>
        <w:rPr>
          <w:sz w:val="24"/>
          <w:szCs w:val="24"/>
        </w:rPr>
        <w:t>tres</w:t>
      </w:r>
      <w:r w:rsidRPr="00A566A7">
        <w:rPr>
          <w:sz w:val="24"/>
          <w:szCs w:val="24"/>
        </w:rPr>
        <w:t xml:space="preserve"> objetivos: </w:t>
      </w:r>
      <w:r>
        <w:rPr>
          <w:sz w:val="24"/>
          <w:szCs w:val="24"/>
        </w:rPr>
        <w:t>1) C</w:t>
      </w:r>
      <w:r w:rsidRPr="00A566A7">
        <w:rPr>
          <w:sz w:val="24"/>
          <w:szCs w:val="24"/>
        </w:rPr>
        <w:t>aracterizar el nivel de satisfacción de los estudiantes en relación a su experiencia universitaria</w:t>
      </w:r>
      <w:r>
        <w:rPr>
          <w:sz w:val="24"/>
          <w:szCs w:val="24"/>
        </w:rPr>
        <w:t>; 2) Determinar la existencia de diferencias significativas entre grupos de comparación definidos en función de variables demográficas y personales; y, 3)</w:t>
      </w:r>
      <w:r w:rsidRPr="00A566A7">
        <w:rPr>
          <w:sz w:val="24"/>
          <w:szCs w:val="24"/>
        </w:rPr>
        <w:t xml:space="preserve"> </w:t>
      </w:r>
      <w:r>
        <w:rPr>
          <w:sz w:val="24"/>
          <w:szCs w:val="24"/>
        </w:rPr>
        <w:t>E</w:t>
      </w:r>
      <w:r w:rsidRPr="00A566A7">
        <w:rPr>
          <w:sz w:val="24"/>
          <w:szCs w:val="24"/>
        </w:rPr>
        <w:t>stablecer indicadores válidos y fiables para la gestión institucional en relación a la permanencia y abandono estudiantil</w:t>
      </w:r>
      <w:r>
        <w:rPr>
          <w:sz w:val="24"/>
          <w:szCs w:val="24"/>
        </w:rPr>
        <w:t xml:space="preserve">. En este marco, </w:t>
      </w:r>
      <w:r w:rsidRPr="00A566A7">
        <w:rPr>
          <w:sz w:val="24"/>
          <w:szCs w:val="24"/>
        </w:rPr>
        <w:t>se identificaron 3 dimensiones vinculadas a la experiencia universitaria</w:t>
      </w:r>
      <w:r>
        <w:rPr>
          <w:sz w:val="24"/>
          <w:szCs w:val="24"/>
        </w:rPr>
        <w:t xml:space="preserve"> considerando </w:t>
      </w:r>
      <w:r w:rsidR="00D863BA">
        <w:rPr>
          <w:sz w:val="24"/>
          <w:szCs w:val="24"/>
        </w:rPr>
        <w:t>la</w:t>
      </w:r>
      <w:r>
        <w:rPr>
          <w:sz w:val="24"/>
          <w:szCs w:val="24"/>
        </w:rPr>
        <w:t xml:space="preserve"> </w:t>
      </w:r>
      <w:r w:rsidR="008B5FA0">
        <w:rPr>
          <w:sz w:val="24"/>
          <w:szCs w:val="24"/>
        </w:rPr>
        <w:t>bibliografía</w:t>
      </w:r>
      <w:r>
        <w:rPr>
          <w:sz w:val="24"/>
          <w:szCs w:val="24"/>
        </w:rPr>
        <w:t xml:space="preserve"> sobre la temática</w:t>
      </w:r>
      <w:r w:rsidRPr="00A566A7">
        <w:rPr>
          <w:sz w:val="24"/>
          <w:szCs w:val="24"/>
        </w:rPr>
        <w:t>: 1) los servicios estudiantiles; b) Convivencia estudiantil; y, c) Responsabilidad social universitaria</w:t>
      </w:r>
      <w:r w:rsidR="00AF1E0C">
        <w:rPr>
          <w:sz w:val="24"/>
          <w:szCs w:val="24"/>
        </w:rPr>
        <w:t>.</w:t>
      </w:r>
    </w:p>
    <w:p w14:paraId="61411544" w14:textId="77777777" w:rsidR="000059BD" w:rsidRPr="00F26D7A" w:rsidRDefault="000059BD" w:rsidP="000059BD">
      <w:pPr>
        <w:ind w:left="0" w:hanging="2"/>
        <w:rPr>
          <w:sz w:val="24"/>
          <w:szCs w:val="24"/>
          <w:lang w:val="es-CL"/>
        </w:rPr>
      </w:pPr>
      <w:r w:rsidRPr="00A566A7">
        <w:rPr>
          <w:sz w:val="24"/>
          <w:szCs w:val="24"/>
        </w:rPr>
        <w:t>En términos metodológicos se adoptó un enfoque cuantitativo en el que se diseñó y aplicó un cuestionario tipo Likert, con las dimensiones mencionadas, a una muestra aleatoria fijada en 11 disciplinas del área de pregrado. Entre los resultados obtenidos, se evidencia</w:t>
      </w:r>
      <w:r>
        <w:rPr>
          <w:sz w:val="24"/>
          <w:szCs w:val="24"/>
        </w:rPr>
        <w:t xml:space="preserve"> una media positiva</w:t>
      </w:r>
      <w:r w:rsidRPr="00A566A7">
        <w:rPr>
          <w:sz w:val="24"/>
          <w:szCs w:val="24"/>
        </w:rPr>
        <w:t xml:space="preserve"> en la dimensión</w:t>
      </w:r>
      <w:r w:rsidRPr="00A566A7">
        <w:rPr>
          <w:sz w:val="24"/>
          <w:szCs w:val="24"/>
          <w:lang w:val="es-CL"/>
        </w:rPr>
        <w:t xml:space="preserve"> “Servicios estudiantiles</w:t>
      </w:r>
      <w:r>
        <w:rPr>
          <w:sz w:val="24"/>
          <w:szCs w:val="24"/>
          <w:lang w:val="es-CL"/>
        </w:rPr>
        <w:t>” en gran parte de sus ítems</w:t>
      </w:r>
      <w:r w:rsidRPr="00A566A7">
        <w:rPr>
          <w:sz w:val="24"/>
          <w:szCs w:val="24"/>
          <w:lang w:val="es-CL"/>
        </w:rPr>
        <w:t>. Junto a ello, en el caso de la “Convivencia”, se observa</w:t>
      </w:r>
      <w:r>
        <w:rPr>
          <w:sz w:val="24"/>
          <w:szCs w:val="24"/>
          <w:lang w:val="es-CL"/>
        </w:rPr>
        <w:t xml:space="preserve"> también</w:t>
      </w:r>
      <w:r w:rsidRPr="00A566A7">
        <w:rPr>
          <w:sz w:val="24"/>
          <w:szCs w:val="24"/>
          <w:lang w:val="es-CL"/>
        </w:rPr>
        <w:t xml:space="preserve"> una puntuación positiva en el que los aspectos vinculados, por ejemplo, al grado de respeto presente en la comunidad entre los docentes y compañeros/as del aula de clases</w:t>
      </w:r>
      <w:r>
        <w:rPr>
          <w:sz w:val="24"/>
          <w:szCs w:val="24"/>
          <w:lang w:val="es-CL"/>
        </w:rPr>
        <w:t xml:space="preserve"> son valorados entre los estudiantes encuestados</w:t>
      </w:r>
      <w:r w:rsidRPr="00A566A7">
        <w:rPr>
          <w:sz w:val="24"/>
          <w:szCs w:val="24"/>
          <w:lang w:val="es-CL"/>
        </w:rPr>
        <w:t xml:space="preserve">. </w:t>
      </w:r>
      <w:r w:rsidRPr="00F26D7A">
        <w:rPr>
          <w:sz w:val="24"/>
          <w:szCs w:val="24"/>
          <w:lang w:val="es-CL"/>
        </w:rPr>
        <w:t xml:space="preserve">Sin embargo, en el caso de la tercera dimensión, “Responsabilidad social universitaria”, se observa una puntuación promedio </w:t>
      </w:r>
      <w:r>
        <w:rPr>
          <w:sz w:val="24"/>
          <w:szCs w:val="24"/>
          <w:lang w:val="es-CL"/>
        </w:rPr>
        <w:t xml:space="preserve">relativamente </w:t>
      </w:r>
      <w:r w:rsidRPr="00F26D7A">
        <w:rPr>
          <w:sz w:val="24"/>
          <w:szCs w:val="24"/>
          <w:lang w:val="es-CL"/>
        </w:rPr>
        <w:t>baja en comparación al resto de los constructos señalados</w:t>
      </w:r>
      <w:r>
        <w:rPr>
          <w:sz w:val="24"/>
          <w:szCs w:val="24"/>
          <w:lang w:val="es-CL"/>
        </w:rPr>
        <w:t>:</w:t>
      </w:r>
      <w:r w:rsidRPr="00F26D7A">
        <w:rPr>
          <w:sz w:val="24"/>
          <w:szCs w:val="24"/>
          <w:lang w:val="es-CL"/>
        </w:rPr>
        <w:t xml:space="preserve"> algunos ítems vinculados a la infraestructura que dispone la universidad para las personas en situación de discapacidad, a </w:t>
      </w:r>
      <w:r>
        <w:rPr>
          <w:sz w:val="24"/>
          <w:szCs w:val="24"/>
          <w:lang w:val="es-CL"/>
        </w:rPr>
        <w:t>la</w:t>
      </w:r>
      <w:r w:rsidRPr="00F26D7A">
        <w:rPr>
          <w:sz w:val="24"/>
          <w:szCs w:val="24"/>
          <w:lang w:val="es-CL"/>
        </w:rPr>
        <w:t xml:space="preserve"> oferta alimenticia adecuada y a la participación en actividades de extensión sobre responsabilidad social, presentan una evaluación media-negativa</w:t>
      </w:r>
      <w:r>
        <w:rPr>
          <w:sz w:val="24"/>
          <w:szCs w:val="24"/>
          <w:lang w:val="es-CL"/>
        </w:rPr>
        <w:t xml:space="preserve"> entre los estudiantes encuestados</w:t>
      </w:r>
      <w:r w:rsidRPr="00F26D7A">
        <w:rPr>
          <w:sz w:val="24"/>
          <w:szCs w:val="24"/>
          <w:lang w:val="es-CL"/>
        </w:rPr>
        <w:t>.</w:t>
      </w:r>
    </w:p>
    <w:p w14:paraId="76792CE8" w14:textId="17AD5660" w:rsidR="000059BD" w:rsidRPr="007D7227" w:rsidRDefault="000059BD" w:rsidP="00D863BA">
      <w:pPr>
        <w:spacing w:line="240" w:lineRule="auto"/>
        <w:ind w:left="0" w:hanging="2"/>
        <w:rPr>
          <w:rStyle w:val="MquinadeescribirHTML1"/>
          <w:rFonts w:ascii="Times New Roman" w:hAnsi="Times New Roman"/>
          <w:sz w:val="24"/>
          <w:szCs w:val="24"/>
          <w:lang w:val="es-CL"/>
        </w:rPr>
      </w:pPr>
      <w:r w:rsidRPr="00F26D7A">
        <w:rPr>
          <w:sz w:val="24"/>
          <w:szCs w:val="24"/>
          <w:lang w:val="es-CL"/>
        </w:rPr>
        <w:t xml:space="preserve">Por otro lado, en cuanto a los resultados obtenidos según grupos de comparación, se evidencia diferencias en la puntuación media/rangos sobre experiencia estudiantil universitaria, particularmente, en relación al año de ingreso a la universidad. </w:t>
      </w:r>
      <w:r w:rsidR="00D863BA">
        <w:rPr>
          <w:sz w:val="24"/>
          <w:szCs w:val="24"/>
          <w:lang w:val="es-CL"/>
        </w:rPr>
        <w:t>E</w:t>
      </w:r>
      <w:r w:rsidRPr="00F26D7A">
        <w:rPr>
          <w:sz w:val="24"/>
          <w:szCs w:val="24"/>
          <w:lang w:val="es-CL"/>
        </w:rPr>
        <w:t xml:space="preserve">n esta variable, las diferencias son estadísticamente significativas según contrastes paramétricos y no paramétricos. Junto a ello, también se observa que el nivel de satisfacción estudiantil universitaria, disminuye entre las generaciones antiguas y aumenta en las generaciones nuevas de ingreso. </w:t>
      </w:r>
      <w:r>
        <w:rPr>
          <w:sz w:val="24"/>
          <w:szCs w:val="24"/>
          <w:lang w:val="es-CL"/>
        </w:rPr>
        <w:t xml:space="preserve">Entre las conclusiones del estudio, se </w:t>
      </w:r>
      <w:r>
        <w:rPr>
          <w:sz w:val="24"/>
          <w:szCs w:val="24"/>
          <w:lang w:val="es-CL"/>
        </w:rPr>
        <w:lastRenderedPageBreak/>
        <w:t xml:space="preserve">plantea que esta primera aplicación de un instrumento que evalúa la experiencia universitaria estudiantil sirve como insumo fundamental para una evaluación sistemática de una dimensión que ha sido </w:t>
      </w:r>
      <w:r w:rsidR="00D863BA">
        <w:rPr>
          <w:sz w:val="24"/>
          <w:szCs w:val="24"/>
          <w:lang w:val="es-CL"/>
        </w:rPr>
        <w:t>poca medida</w:t>
      </w:r>
      <w:r>
        <w:rPr>
          <w:sz w:val="24"/>
          <w:szCs w:val="24"/>
          <w:lang w:val="es-CL"/>
        </w:rPr>
        <w:t xml:space="preserve"> en el contexto nacional y que aporta al desarrollo de indicadores institucionales que puedan complementar y profundizar en la gestión y análisis de la permanencia/abandono estudiantil en el ámbito de la educación superior regional.</w:t>
      </w:r>
    </w:p>
    <w:p w14:paraId="480313F1" w14:textId="4249C9D0" w:rsidR="00C637C2" w:rsidRPr="00A017D2" w:rsidRDefault="000059BD" w:rsidP="000059BD">
      <w:pPr>
        <w:ind w:leftChars="0" w:left="0" w:firstLineChars="0" w:firstLine="0"/>
        <w:rPr>
          <w:sz w:val="24"/>
          <w:szCs w:val="24"/>
        </w:rPr>
      </w:pPr>
      <w:r w:rsidRPr="00B05DB6">
        <w:rPr>
          <w:b/>
          <w:bCs/>
          <w:sz w:val="24"/>
          <w:szCs w:val="24"/>
        </w:rPr>
        <w:t>Palabras Clave</w:t>
      </w:r>
      <w:r>
        <w:rPr>
          <w:sz w:val="24"/>
          <w:szCs w:val="24"/>
        </w:rPr>
        <w:t>: Experiencia Universitaria, Gestión Institucional, Permanencia, Abandono, Estudiantes.</w:t>
      </w:r>
    </w:p>
    <w:p w14:paraId="3920E98E" w14:textId="77777777"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1. Introducción</w:t>
      </w:r>
    </w:p>
    <w:p w14:paraId="4CA28349" w14:textId="60CC7CDA" w:rsidR="00901C50" w:rsidRPr="00A017D2" w:rsidRDefault="00901C50" w:rsidP="00A017D2">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line="240" w:lineRule="auto"/>
        <w:ind w:left="0" w:right="51" w:hanging="2"/>
        <w:rPr>
          <w:sz w:val="24"/>
          <w:szCs w:val="24"/>
        </w:rPr>
      </w:pPr>
      <w:r w:rsidRPr="00901C50">
        <w:rPr>
          <w:sz w:val="24"/>
          <w:szCs w:val="24"/>
        </w:rPr>
        <w:t>Las instituciones de educación superior pueden ser vista como sistemas complejos abiertos al entorno y que funcionan de acuerdo con las condiciones sociales específicas de los contextos en los cuales se encuentran insertas (</w:t>
      </w:r>
      <w:proofErr w:type="spellStart"/>
      <w:r w:rsidRPr="00901C50">
        <w:rPr>
          <w:sz w:val="24"/>
          <w:szCs w:val="24"/>
        </w:rPr>
        <w:t>Capelleras</w:t>
      </w:r>
      <w:proofErr w:type="spellEnd"/>
      <w:r w:rsidRPr="00901C50">
        <w:rPr>
          <w:sz w:val="24"/>
          <w:szCs w:val="24"/>
        </w:rPr>
        <w:t xml:space="preserve"> &amp; </w:t>
      </w:r>
      <w:proofErr w:type="spellStart"/>
      <w:r w:rsidRPr="00901C50">
        <w:rPr>
          <w:sz w:val="24"/>
          <w:szCs w:val="24"/>
        </w:rPr>
        <w:t>Veciana</w:t>
      </w:r>
      <w:proofErr w:type="spellEnd"/>
      <w:r w:rsidRPr="00901C50">
        <w:rPr>
          <w:sz w:val="24"/>
          <w:szCs w:val="24"/>
        </w:rPr>
        <w:t xml:space="preserve">, 2004). En ellas se generan una serie de procesos que interactúan permanentemente para dar como resultado un producto o servicio, destinado generalmente a posicionarse en su relación con el medio social (Mejías &amp; Martínez, 2009; Righi, Jorge &amp; </w:t>
      </w:r>
      <w:proofErr w:type="spellStart"/>
      <w:r w:rsidRPr="00901C50">
        <w:rPr>
          <w:sz w:val="24"/>
          <w:szCs w:val="24"/>
        </w:rPr>
        <w:t>Angeli</w:t>
      </w:r>
      <w:proofErr w:type="spellEnd"/>
      <w:r w:rsidRPr="00901C50">
        <w:rPr>
          <w:sz w:val="24"/>
          <w:szCs w:val="24"/>
        </w:rPr>
        <w:t xml:space="preserve">, 2006). Según los estudios, uno de los grandes aspectos o dimensiones que tienen que ver con la calidad de la educación superior </w:t>
      </w:r>
      <w:r w:rsidR="004A043E">
        <w:rPr>
          <w:sz w:val="24"/>
          <w:szCs w:val="24"/>
        </w:rPr>
        <w:t xml:space="preserve">y la gestión institucional respecto al análisis del abandono estudiantil, </w:t>
      </w:r>
      <w:r w:rsidRPr="00901C50">
        <w:rPr>
          <w:sz w:val="24"/>
          <w:szCs w:val="24"/>
        </w:rPr>
        <w:t xml:space="preserve">dice relación con las características de los servicios que se generan en un interior para su destinatario principal: los estudiantes (Candelas, Gurruchaga, Mejías &amp; Flores, 2013). </w:t>
      </w:r>
    </w:p>
    <w:p w14:paraId="04172AAA" w14:textId="097C5A9C" w:rsidR="004A043E" w:rsidRDefault="00901C50" w:rsidP="004A043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line="240" w:lineRule="auto"/>
        <w:ind w:leftChars="0" w:left="0" w:right="51" w:firstLineChars="0" w:firstLine="0"/>
        <w:rPr>
          <w:sz w:val="24"/>
          <w:szCs w:val="24"/>
        </w:rPr>
      </w:pPr>
      <w:r w:rsidRPr="00901C50">
        <w:rPr>
          <w:sz w:val="24"/>
          <w:szCs w:val="24"/>
        </w:rPr>
        <w:t>En este marco, los estudios señalan que los estudiantes constituyen el principal receptor de los procesos educativos, por lo que se hace primordial determinar sus expectativas y necesidades con respecto a los servicios que ofrecen las instituciones</w:t>
      </w:r>
      <w:r w:rsidR="004A043E">
        <w:rPr>
          <w:sz w:val="24"/>
          <w:szCs w:val="24"/>
        </w:rPr>
        <w:t xml:space="preserve"> </w:t>
      </w:r>
      <w:r w:rsidRPr="00901C50">
        <w:rPr>
          <w:sz w:val="24"/>
          <w:szCs w:val="24"/>
        </w:rPr>
        <w:t>(Alves &amp; Raposo, 2004; Mejías &amp; Martínez, 2009). De este modo, adquiere un papel fundamental el estudio de la satisfacción estudiantil</w:t>
      </w:r>
      <w:r w:rsidR="004A043E">
        <w:rPr>
          <w:sz w:val="24"/>
          <w:szCs w:val="24"/>
        </w:rPr>
        <w:t xml:space="preserve"> en la educación superior</w:t>
      </w:r>
      <w:r w:rsidRPr="00901C50">
        <w:rPr>
          <w:sz w:val="24"/>
          <w:szCs w:val="24"/>
        </w:rPr>
        <w:t xml:space="preserve">.  </w:t>
      </w:r>
    </w:p>
    <w:p w14:paraId="2EADDEC9" w14:textId="02ACBCDC" w:rsidR="00901C50" w:rsidRPr="00A017D2" w:rsidRDefault="00901C50" w:rsidP="004A043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line="240" w:lineRule="auto"/>
        <w:ind w:leftChars="0" w:left="0" w:right="51" w:firstLineChars="0" w:firstLine="0"/>
        <w:rPr>
          <w:sz w:val="24"/>
          <w:szCs w:val="24"/>
        </w:rPr>
      </w:pPr>
      <w:r w:rsidRPr="00901C50">
        <w:rPr>
          <w:sz w:val="24"/>
          <w:szCs w:val="24"/>
        </w:rPr>
        <w:t xml:space="preserve">Según Gento &amp; Vivas (2003), la satisfacción comprende el resultado de un proceso valorativo. Es decir, cuando una persona señala estar satisfecha o no con respecto a algo, significa que está emitiendo un juicio de valor a partir de un proceso de evaluación que realiza entre sus expectativas y la experiencia real obtenida. A partir de esto, se entiende la satisfacción estudiantil en la educación superior como la apreciación favorable que hacen los estudiantes de los resultados y experiencias vinculadas con su educación, en función de sus expectativas y de sus propias necesidades. </w:t>
      </w:r>
    </w:p>
    <w:p w14:paraId="7EC13E13" w14:textId="1973780A" w:rsidR="00901C50" w:rsidRPr="00D863BA" w:rsidRDefault="00901C50" w:rsidP="00D863BA">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line="240" w:lineRule="auto"/>
        <w:ind w:left="0" w:right="51" w:hanging="2"/>
        <w:rPr>
          <w:sz w:val="24"/>
          <w:szCs w:val="24"/>
        </w:rPr>
      </w:pPr>
      <w:r w:rsidRPr="00901C50">
        <w:rPr>
          <w:sz w:val="24"/>
          <w:szCs w:val="24"/>
        </w:rPr>
        <w:t>Los estudios en el ámbito han tenido como principal propósito entender mejor el proceso de interacción entre las instituciones y los estudiantes, así como los cambios que han producido y que se pueden producir a partir de aquella interacción, construyendo para ello instrumentos que puedan ser válidos y confiables para caracterizar las opiniones de los estudiantes, indagando en la experiencia vivida durante su proceso de formación profesional y académica (</w:t>
      </w:r>
      <w:proofErr w:type="spellStart"/>
      <w:r w:rsidRPr="00901C50">
        <w:rPr>
          <w:color w:val="000000"/>
          <w:sz w:val="24"/>
          <w:szCs w:val="24"/>
        </w:rPr>
        <w:t>Aldridge</w:t>
      </w:r>
      <w:proofErr w:type="spellEnd"/>
      <w:r w:rsidRPr="00901C50">
        <w:rPr>
          <w:sz w:val="24"/>
          <w:szCs w:val="24"/>
        </w:rPr>
        <w:t xml:space="preserve"> &amp; </w:t>
      </w:r>
      <w:r w:rsidRPr="00901C50">
        <w:rPr>
          <w:color w:val="000000"/>
          <w:sz w:val="24"/>
          <w:szCs w:val="24"/>
        </w:rPr>
        <w:t>Rowley</w:t>
      </w:r>
      <w:r w:rsidRPr="00901C50">
        <w:rPr>
          <w:sz w:val="24"/>
          <w:szCs w:val="24"/>
        </w:rPr>
        <w:t>; 1998; Abdullah, 2006). En este sentido, la satisfacción de los estudiantes sobre los servicios de las instituciones constituye uno de los principales constructores latentes que, a juicio de la literatura revisada, se deben considerar en los procesos de gestión y análisis de la calidad de las entidades educativas, particularmente en la educación superior (</w:t>
      </w:r>
      <w:proofErr w:type="spellStart"/>
      <w:r w:rsidRPr="00901C50">
        <w:rPr>
          <w:sz w:val="24"/>
          <w:szCs w:val="24"/>
        </w:rPr>
        <w:t>Basheer</w:t>
      </w:r>
      <w:proofErr w:type="spellEnd"/>
      <w:r w:rsidRPr="00901C50">
        <w:rPr>
          <w:sz w:val="24"/>
          <w:szCs w:val="24"/>
        </w:rPr>
        <w:t>, 2009).</w:t>
      </w:r>
    </w:p>
    <w:p w14:paraId="3CA51F43" w14:textId="1F020B23" w:rsidR="00901C50" w:rsidRPr="00D863BA" w:rsidRDefault="00901C50" w:rsidP="008B5FA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line="240" w:lineRule="auto"/>
        <w:ind w:left="0" w:right="51" w:hanging="2"/>
        <w:rPr>
          <w:sz w:val="24"/>
          <w:szCs w:val="24"/>
        </w:rPr>
      </w:pPr>
      <w:r w:rsidRPr="00901C50">
        <w:rPr>
          <w:sz w:val="24"/>
          <w:szCs w:val="24"/>
        </w:rPr>
        <w:t xml:space="preserve">Entre algunos de los trabajos e investigaciones disponibles para medir la satisfacción de los estudiantes se encuentran los realizados por Long et al. (1999); Gento &amp; Vivas (2003); Alves y Raposo (2004); y, Righi, Jorge &amp; </w:t>
      </w:r>
      <w:proofErr w:type="spellStart"/>
      <w:r w:rsidRPr="00901C50">
        <w:rPr>
          <w:sz w:val="24"/>
          <w:szCs w:val="24"/>
        </w:rPr>
        <w:t>Angeli</w:t>
      </w:r>
      <w:proofErr w:type="spellEnd"/>
      <w:r w:rsidRPr="00901C50">
        <w:rPr>
          <w:sz w:val="24"/>
          <w:szCs w:val="24"/>
        </w:rPr>
        <w:t xml:space="preserve"> (2006). En el primero, los autores construyeron una escala que contemplaba dos apartados correspondiente a las expectativas y experiencia de los estudiantes; en el segundo, los autores desarrollaron un instrumento de encuesta llamada SEUE – Satisfacción de los Estudiantes Universitarios con la educación – el cual ponderaba las respuestas para la obtención de un indicador representativo de la sumatorio de los ítems; en el tercero, encontramos un estudio de caso sobre la satisfacción estudiantil en una universidad portuguesa; y, en el cuarto, mientras tanto, encontramos una Escala de Satisfacción sobre Experiencia Académica ESEA.</w:t>
      </w:r>
    </w:p>
    <w:p w14:paraId="6DB04995" w14:textId="27E12888" w:rsidR="00901C50" w:rsidRPr="00D863BA" w:rsidRDefault="00901C50" w:rsidP="004A043E">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9072"/>
          <w:tab w:val="left" w:pos="9663"/>
          <w:tab w:val="left" w:pos="9781"/>
          <w:tab w:val="left" w:pos="10383"/>
        </w:tabs>
        <w:spacing w:line="240" w:lineRule="auto"/>
        <w:ind w:left="0" w:right="51" w:hanging="2"/>
        <w:rPr>
          <w:rStyle w:val="Textoennegrita"/>
          <w:b w:val="0"/>
          <w:bCs w:val="0"/>
          <w:sz w:val="24"/>
          <w:szCs w:val="24"/>
        </w:rPr>
      </w:pPr>
      <w:r w:rsidRPr="00901C50">
        <w:rPr>
          <w:sz w:val="24"/>
          <w:szCs w:val="24"/>
        </w:rPr>
        <w:lastRenderedPageBreak/>
        <w:t xml:space="preserve">Uno de los principales estudios en español sobre la medición de la satisfacción estudiantil sobre los servicios que ofrecen las instituciones de educación superior, se encuentra en la metodología propuesta por Mejías y Martínez (2009), a través del desarrollo de un instrumento denominado SEU </w:t>
      </w:r>
      <w:r w:rsidR="00AF1E0C">
        <w:rPr>
          <w:sz w:val="24"/>
          <w:szCs w:val="24"/>
        </w:rPr>
        <w:t>(</w:t>
      </w:r>
      <w:r w:rsidRPr="00901C50">
        <w:rPr>
          <w:sz w:val="24"/>
          <w:szCs w:val="24"/>
        </w:rPr>
        <w:t>Satisfacción Estudiantil Universitaria</w:t>
      </w:r>
      <w:r w:rsidR="00AF1E0C">
        <w:rPr>
          <w:sz w:val="24"/>
          <w:szCs w:val="24"/>
        </w:rPr>
        <w:t xml:space="preserve">), </w:t>
      </w:r>
      <w:r w:rsidRPr="00901C50">
        <w:rPr>
          <w:sz w:val="24"/>
          <w:szCs w:val="24"/>
        </w:rPr>
        <w:t xml:space="preserve">el cual </w:t>
      </w:r>
      <w:r w:rsidR="00997987">
        <w:rPr>
          <w:sz w:val="24"/>
          <w:szCs w:val="24"/>
        </w:rPr>
        <w:t>se compuso de las</w:t>
      </w:r>
      <w:r w:rsidRPr="00901C50">
        <w:rPr>
          <w:sz w:val="24"/>
          <w:szCs w:val="24"/>
        </w:rPr>
        <w:t xml:space="preserve"> siguientes dimensiones: enseñanza, organización académica, vida universitaria, infraestructura y servicios</w:t>
      </w:r>
      <w:r w:rsidR="004A043E">
        <w:rPr>
          <w:sz w:val="24"/>
          <w:szCs w:val="24"/>
        </w:rPr>
        <w:t>.</w:t>
      </w:r>
      <w:r w:rsidRPr="00901C50">
        <w:rPr>
          <w:sz w:val="24"/>
          <w:szCs w:val="24"/>
        </w:rPr>
        <w:t xml:space="preserve">  Por otro lado, en el estudio de Candelas, Gurruchaga, Mejías &amp; Flores (2013) encontramos una modificación del cuestionario SEU, el cual quedó compuesto finalmente por las siguientes dimensiones: aspectos académicos</w:t>
      </w:r>
      <w:r w:rsidR="004A043E">
        <w:rPr>
          <w:sz w:val="24"/>
          <w:szCs w:val="24"/>
        </w:rPr>
        <w:t xml:space="preserve"> (</w:t>
      </w:r>
      <w:r w:rsidRPr="00901C50">
        <w:rPr>
          <w:sz w:val="24"/>
          <w:szCs w:val="24"/>
        </w:rPr>
        <w:t>conocimientos exhibidos por los profesores y de las técnicas de enseñanza usadas</w:t>
      </w:r>
      <w:r w:rsidR="004A043E">
        <w:rPr>
          <w:sz w:val="24"/>
          <w:szCs w:val="24"/>
        </w:rPr>
        <w:t>)</w:t>
      </w:r>
      <w:r w:rsidRPr="00901C50">
        <w:rPr>
          <w:sz w:val="24"/>
          <w:szCs w:val="24"/>
        </w:rPr>
        <w:t>; aspectos administrativos</w:t>
      </w:r>
      <w:r w:rsidR="004A043E">
        <w:rPr>
          <w:sz w:val="24"/>
          <w:szCs w:val="24"/>
        </w:rPr>
        <w:t xml:space="preserve"> (</w:t>
      </w:r>
      <w:r w:rsidRPr="00901C50">
        <w:rPr>
          <w:sz w:val="24"/>
          <w:szCs w:val="24"/>
        </w:rPr>
        <w:t>procesos y procedimientos que funcionan de soporte a las actividades académicas de los estudiantes</w:t>
      </w:r>
      <w:r w:rsidR="0023086C">
        <w:rPr>
          <w:sz w:val="24"/>
          <w:szCs w:val="24"/>
        </w:rPr>
        <w:t>);</w:t>
      </w:r>
      <w:r w:rsidRPr="00901C50">
        <w:rPr>
          <w:sz w:val="24"/>
          <w:szCs w:val="24"/>
        </w:rPr>
        <w:t xml:space="preserve"> aspectos complementarios</w:t>
      </w:r>
      <w:r w:rsidR="0023086C">
        <w:rPr>
          <w:sz w:val="24"/>
          <w:szCs w:val="24"/>
        </w:rPr>
        <w:t xml:space="preserve"> (</w:t>
      </w:r>
      <w:r w:rsidRPr="00901C50">
        <w:rPr>
          <w:sz w:val="24"/>
          <w:szCs w:val="24"/>
        </w:rPr>
        <w:t>infraestructura</w:t>
      </w:r>
      <w:r w:rsidR="0023086C">
        <w:rPr>
          <w:sz w:val="24"/>
          <w:szCs w:val="24"/>
        </w:rPr>
        <w:t xml:space="preserve">, </w:t>
      </w:r>
      <w:r w:rsidRPr="00901C50">
        <w:rPr>
          <w:sz w:val="24"/>
          <w:szCs w:val="24"/>
        </w:rPr>
        <w:t>servicios de cafetería</w:t>
      </w:r>
      <w:r w:rsidR="0023086C">
        <w:rPr>
          <w:sz w:val="24"/>
          <w:szCs w:val="24"/>
        </w:rPr>
        <w:t xml:space="preserve">, </w:t>
      </w:r>
      <w:r w:rsidRPr="00901C50">
        <w:rPr>
          <w:sz w:val="24"/>
          <w:szCs w:val="24"/>
        </w:rPr>
        <w:t>sanitarios y puestos estacionamientos</w:t>
      </w:r>
      <w:r w:rsidR="0023086C">
        <w:rPr>
          <w:sz w:val="24"/>
          <w:szCs w:val="24"/>
        </w:rPr>
        <w:t>)</w:t>
      </w:r>
      <w:r w:rsidRPr="00901C50">
        <w:rPr>
          <w:sz w:val="24"/>
          <w:szCs w:val="24"/>
        </w:rPr>
        <w:t>; oferta académica</w:t>
      </w:r>
      <w:r w:rsidR="0023086C">
        <w:rPr>
          <w:sz w:val="24"/>
          <w:szCs w:val="24"/>
        </w:rPr>
        <w:t xml:space="preserve"> (formación, </w:t>
      </w:r>
      <w:r w:rsidRPr="00901C50">
        <w:rPr>
          <w:sz w:val="24"/>
          <w:szCs w:val="24"/>
        </w:rPr>
        <w:t>becas, servicios informáticos u otros similares</w:t>
      </w:r>
      <w:r w:rsidR="0023086C">
        <w:rPr>
          <w:sz w:val="24"/>
          <w:szCs w:val="24"/>
        </w:rPr>
        <w:t>)</w:t>
      </w:r>
      <w:r w:rsidRPr="00901C50">
        <w:rPr>
          <w:sz w:val="24"/>
          <w:szCs w:val="24"/>
        </w:rPr>
        <w:t>; entorno</w:t>
      </w:r>
      <w:r w:rsidR="0023086C">
        <w:rPr>
          <w:sz w:val="24"/>
          <w:szCs w:val="24"/>
        </w:rPr>
        <w:t xml:space="preserve"> (</w:t>
      </w:r>
      <w:r w:rsidRPr="00901C50">
        <w:rPr>
          <w:sz w:val="24"/>
          <w:szCs w:val="24"/>
        </w:rPr>
        <w:t>valoración del estudiante con respecto a la seguridad y limpieza de la institución</w:t>
      </w:r>
      <w:r w:rsidR="0023086C">
        <w:rPr>
          <w:sz w:val="24"/>
          <w:szCs w:val="24"/>
        </w:rPr>
        <w:t>)</w:t>
      </w:r>
      <w:r w:rsidRPr="00901C50">
        <w:rPr>
          <w:sz w:val="24"/>
          <w:szCs w:val="24"/>
        </w:rPr>
        <w:t>; y, por último, la empatía</w:t>
      </w:r>
      <w:r w:rsidR="00E43F05">
        <w:rPr>
          <w:sz w:val="24"/>
          <w:szCs w:val="24"/>
        </w:rPr>
        <w:t xml:space="preserve"> (</w:t>
      </w:r>
      <w:r w:rsidRPr="00901C50">
        <w:rPr>
          <w:sz w:val="24"/>
          <w:szCs w:val="24"/>
        </w:rPr>
        <w:t>trato del personal administrativo</w:t>
      </w:r>
      <w:r w:rsidR="00E43F05">
        <w:rPr>
          <w:sz w:val="24"/>
          <w:szCs w:val="24"/>
        </w:rPr>
        <w:t xml:space="preserve"> al </w:t>
      </w:r>
      <w:r w:rsidR="00997987">
        <w:rPr>
          <w:sz w:val="24"/>
          <w:szCs w:val="24"/>
        </w:rPr>
        <w:t>estudiante</w:t>
      </w:r>
      <w:r w:rsidR="00E43F05">
        <w:rPr>
          <w:sz w:val="24"/>
          <w:szCs w:val="24"/>
        </w:rPr>
        <w:t>)</w:t>
      </w:r>
      <w:r w:rsidRPr="00901C50">
        <w:rPr>
          <w:sz w:val="24"/>
          <w:szCs w:val="24"/>
        </w:rPr>
        <w:t xml:space="preserve">. </w:t>
      </w:r>
    </w:p>
    <w:p w14:paraId="18CDDF72" w14:textId="3BE2D9B2" w:rsidR="009E2D10" w:rsidRDefault="00901C50" w:rsidP="009E2D10">
      <w:pPr>
        <w:spacing w:line="240" w:lineRule="auto"/>
        <w:ind w:left="0" w:hanging="2"/>
        <w:rPr>
          <w:sz w:val="24"/>
          <w:szCs w:val="24"/>
        </w:rPr>
      </w:pPr>
      <w:r w:rsidRPr="00AF1E0C">
        <w:rPr>
          <w:sz w:val="24"/>
          <w:szCs w:val="24"/>
        </w:rPr>
        <w:t>En cuanto a la literatura internacional en inglés, se observa que la investigación sobre el ámbito de la satisfacción estudiantil en educación superior, es significativamente mayor en relación con la cantidad de estudios realizados en el contexto hispanoamericano (</w:t>
      </w:r>
      <w:proofErr w:type="spellStart"/>
      <w:r w:rsidRPr="00AF1E0C">
        <w:rPr>
          <w:color w:val="000000"/>
          <w:sz w:val="24"/>
          <w:szCs w:val="24"/>
        </w:rPr>
        <w:t>Aldridge</w:t>
      </w:r>
      <w:proofErr w:type="spellEnd"/>
      <w:r w:rsidRPr="00AF1E0C">
        <w:rPr>
          <w:sz w:val="24"/>
          <w:szCs w:val="24"/>
        </w:rPr>
        <w:t xml:space="preserve"> &amp; </w:t>
      </w:r>
      <w:r w:rsidRPr="00AF1E0C">
        <w:rPr>
          <w:color w:val="000000"/>
          <w:sz w:val="24"/>
          <w:szCs w:val="24"/>
        </w:rPr>
        <w:t>Rowley</w:t>
      </w:r>
      <w:r w:rsidRPr="00AF1E0C">
        <w:rPr>
          <w:sz w:val="24"/>
          <w:szCs w:val="24"/>
        </w:rPr>
        <w:t xml:space="preserve">; 1998; </w:t>
      </w:r>
      <w:proofErr w:type="spellStart"/>
      <w:r w:rsidRPr="00AF1E0C">
        <w:rPr>
          <w:sz w:val="24"/>
          <w:szCs w:val="24"/>
        </w:rPr>
        <w:t>Komal</w:t>
      </w:r>
      <w:proofErr w:type="spellEnd"/>
      <w:r w:rsidRPr="00AF1E0C">
        <w:rPr>
          <w:sz w:val="24"/>
          <w:szCs w:val="24"/>
        </w:rPr>
        <w:t xml:space="preserve">, &amp; Kumar, 2013; </w:t>
      </w:r>
      <w:proofErr w:type="spellStart"/>
      <w:r w:rsidRPr="00AF1E0C">
        <w:rPr>
          <w:sz w:val="24"/>
          <w:szCs w:val="24"/>
        </w:rPr>
        <w:t>Poh</w:t>
      </w:r>
      <w:proofErr w:type="spellEnd"/>
      <w:r w:rsidRPr="00AF1E0C">
        <w:rPr>
          <w:sz w:val="24"/>
          <w:szCs w:val="24"/>
        </w:rPr>
        <w:t xml:space="preserve"> Ju &amp; </w:t>
      </w:r>
      <w:proofErr w:type="spellStart"/>
      <w:r w:rsidRPr="00AF1E0C">
        <w:rPr>
          <w:sz w:val="24"/>
          <w:szCs w:val="24"/>
        </w:rPr>
        <w:t>Ainon</w:t>
      </w:r>
      <w:proofErr w:type="spellEnd"/>
      <w:r w:rsidRPr="00AF1E0C">
        <w:rPr>
          <w:sz w:val="24"/>
          <w:szCs w:val="24"/>
        </w:rPr>
        <w:t xml:space="preserve">, 2006; </w:t>
      </w:r>
      <w:proofErr w:type="spellStart"/>
      <w:r w:rsidRPr="00AF1E0C">
        <w:rPr>
          <w:sz w:val="24"/>
          <w:szCs w:val="24"/>
        </w:rPr>
        <w:t>Grubet</w:t>
      </w:r>
      <w:proofErr w:type="spellEnd"/>
      <w:r w:rsidRPr="00AF1E0C">
        <w:rPr>
          <w:sz w:val="24"/>
          <w:szCs w:val="24"/>
        </w:rPr>
        <w:t xml:space="preserve">, </w:t>
      </w:r>
      <w:proofErr w:type="spellStart"/>
      <w:r w:rsidRPr="00AF1E0C">
        <w:rPr>
          <w:sz w:val="24"/>
          <w:szCs w:val="24"/>
        </w:rPr>
        <w:t>Fub</w:t>
      </w:r>
      <w:proofErr w:type="spellEnd"/>
      <w:r w:rsidRPr="00AF1E0C">
        <w:rPr>
          <w:sz w:val="24"/>
          <w:szCs w:val="24"/>
        </w:rPr>
        <w:t xml:space="preserve"> &amp; Glaeser-</w:t>
      </w:r>
      <w:proofErr w:type="spellStart"/>
      <w:r w:rsidRPr="00AF1E0C">
        <w:rPr>
          <w:sz w:val="24"/>
          <w:szCs w:val="24"/>
        </w:rPr>
        <w:t>Zikuda</w:t>
      </w:r>
      <w:proofErr w:type="spellEnd"/>
      <w:r w:rsidRPr="00AF1E0C">
        <w:rPr>
          <w:sz w:val="24"/>
          <w:szCs w:val="24"/>
        </w:rPr>
        <w:t xml:space="preserve">, 2010). </w:t>
      </w:r>
      <w:r w:rsidR="0012056D" w:rsidRPr="00AF1E0C">
        <w:rPr>
          <w:sz w:val="24"/>
          <w:szCs w:val="24"/>
        </w:rPr>
        <w:t>Estos</w:t>
      </w:r>
      <w:r w:rsidRPr="00AF1E0C">
        <w:rPr>
          <w:sz w:val="24"/>
          <w:szCs w:val="24"/>
        </w:rPr>
        <w:t xml:space="preserve"> estudios en la no sólo se limitan a investigar la </w:t>
      </w:r>
      <w:r w:rsidR="0012056D" w:rsidRPr="00AF1E0C">
        <w:rPr>
          <w:sz w:val="24"/>
          <w:szCs w:val="24"/>
        </w:rPr>
        <w:t xml:space="preserve">satisfacción estudiantil en relación </w:t>
      </w:r>
      <w:r w:rsidRPr="00AF1E0C">
        <w:rPr>
          <w:sz w:val="24"/>
          <w:szCs w:val="24"/>
        </w:rPr>
        <w:t xml:space="preserve">con la docencia en el aula de clases, sino que también incluyen aspectos como las instalaciones, los servicios de apoyo, la atención del personal administrativo, la oferta de actividades extracurriculares, entre otros elementos considerados relevantes </w:t>
      </w:r>
      <w:r w:rsidR="007A3A43" w:rsidRPr="00AF1E0C">
        <w:rPr>
          <w:sz w:val="24"/>
          <w:szCs w:val="24"/>
        </w:rPr>
        <w:t>para su análisis</w:t>
      </w:r>
      <w:r w:rsidR="00AF1E0C">
        <w:rPr>
          <w:sz w:val="24"/>
          <w:szCs w:val="24"/>
        </w:rPr>
        <w:t xml:space="preserve">. </w:t>
      </w:r>
      <w:r w:rsidR="000059BD" w:rsidRPr="00AF1E0C">
        <w:rPr>
          <w:sz w:val="24"/>
          <w:szCs w:val="24"/>
        </w:rPr>
        <w:t>En este sentido, en el presente estudio la</w:t>
      </w:r>
      <w:r w:rsidR="00AF1E0C">
        <w:rPr>
          <w:sz w:val="24"/>
          <w:szCs w:val="24"/>
        </w:rPr>
        <w:t xml:space="preserve"> satisfacción de la</w:t>
      </w:r>
      <w:r w:rsidR="000059BD" w:rsidRPr="00AF1E0C">
        <w:rPr>
          <w:sz w:val="24"/>
          <w:szCs w:val="24"/>
        </w:rPr>
        <w:t xml:space="preserve"> experiencia estudiantil universitaria se ha definido como el conjunto de vivencias que experimenta el estudiante durante su proceso de formación y que abarcan elementos multidimensionales que no se reducen al rendimiento académico, tales como la convivencia entre profesores y alumnos, el ambiente y los servicios de la institución, la participación en actividades extraacadémicas en el ámbito del deporte, música, responsabilidad cívica, valores y principios, entre otros.</w:t>
      </w:r>
    </w:p>
    <w:p w14:paraId="08C64C72" w14:textId="5771B61C" w:rsidR="009E2D10" w:rsidRPr="00AF1E0C" w:rsidRDefault="009E2D10" w:rsidP="009E2D10">
      <w:pPr>
        <w:spacing w:line="240" w:lineRule="auto"/>
        <w:ind w:left="0" w:hanging="2"/>
        <w:rPr>
          <w:sz w:val="24"/>
          <w:szCs w:val="24"/>
        </w:rPr>
      </w:pPr>
      <w:r>
        <w:rPr>
          <w:sz w:val="24"/>
          <w:szCs w:val="24"/>
        </w:rPr>
        <w:t xml:space="preserve">Por último, cabe señalar la importancia de establecer un vínculo entre la experiencia </w:t>
      </w:r>
      <w:r w:rsidR="001709E0">
        <w:rPr>
          <w:sz w:val="24"/>
          <w:szCs w:val="24"/>
        </w:rPr>
        <w:t xml:space="preserve">del estudiante en la educación superior y su permanencia en ella </w:t>
      </w:r>
      <w:r w:rsidR="00573544">
        <w:rPr>
          <w:sz w:val="24"/>
          <w:szCs w:val="24"/>
        </w:rPr>
        <w:t>durante el transcurso de</w:t>
      </w:r>
      <w:r w:rsidR="00D237D7">
        <w:rPr>
          <w:sz w:val="24"/>
          <w:szCs w:val="24"/>
        </w:rPr>
        <w:t xml:space="preserve">l </w:t>
      </w:r>
      <w:r w:rsidR="001709E0">
        <w:rPr>
          <w:sz w:val="24"/>
          <w:szCs w:val="24"/>
        </w:rPr>
        <w:t>ciclo formativo. En este sentido, el presente estudio considera que la perspectiva de Tinto (1986; 1997; 1998), en relación a</w:t>
      </w:r>
      <w:r w:rsidR="00573544">
        <w:rPr>
          <w:sz w:val="24"/>
          <w:szCs w:val="24"/>
        </w:rPr>
        <w:t xml:space="preserve">l </w:t>
      </w:r>
      <w:r w:rsidR="001709E0">
        <w:rPr>
          <w:sz w:val="24"/>
          <w:szCs w:val="24"/>
        </w:rPr>
        <w:t xml:space="preserve">modelo sociológico-interaccionista </w:t>
      </w:r>
      <w:r w:rsidR="00573544">
        <w:rPr>
          <w:sz w:val="24"/>
          <w:szCs w:val="24"/>
        </w:rPr>
        <w:t xml:space="preserve">que plantea, </w:t>
      </w:r>
      <w:r w:rsidR="001709E0">
        <w:rPr>
          <w:sz w:val="24"/>
          <w:szCs w:val="24"/>
        </w:rPr>
        <w:t xml:space="preserve">se debe profundizar, además, con una dimensión que trate sobre “experiencia estudiantil” en el sistema. De esta manera, se </w:t>
      </w:r>
      <w:r w:rsidR="00BF4B2D">
        <w:rPr>
          <w:sz w:val="24"/>
          <w:szCs w:val="24"/>
        </w:rPr>
        <w:t>debería incluir</w:t>
      </w:r>
      <w:r w:rsidR="001709E0">
        <w:rPr>
          <w:sz w:val="24"/>
          <w:szCs w:val="24"/>
        </w:rPr>
        <w:t xml:space="preserve"> en dicho modelo el análisis del nivel de integración social del estudiante a través de la medición de su experiencia directa en la institución donde realiza sus estudios formativos. Esto, con el propósito de establecer políticas institucionales destinadas a la promoción de la permanencia y la disminución del abandono, sobre todo, en contextos de alta vulnerabilidad económica y social, como ocurre en el caso de la Región de La Araucanía (Chile).</w:t>
      </w:r>
    </w:p>
    <w:p w14:paraId="50DAC2AC" w14:textId="01B42A65" w:rsidR="00764EC9" w:rsidRDefault="00764EC9" w:rsidP="00764EC9">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2. Metodología</w:t>
      </w:r>
    </w:p>
    <w:p w14:paraId="4AFE554A" w14:textId="5054F40B" w:rsidR="001709E0" w:rsidRDefault="002004BB" w:rsidP="00573544">
      <w:pPr>
        <w:keepNext/>
        <w:keepLines/>
        <w:pBdr>
          <w:top w:val="nil"/>
          <w:left w:val="nil"/>
          <w:bottom w:val="nil"/>
          <w:right w:val="nil"/>
          <w:between w:val="nil"/>
        </w:pBdr>
        <w:tabs>
          <w:tab w:val="left" w:pos="9638"/>
        </w:tabs>
        <w:spacing w:line="240" w:lineRule="auto"/>
        <w:ind w:left="0" w:hanging="2"/>
        <w:rPr>
          <w:bCs/>
          <w:color w:val="000000"/>
          <w:sz w:val="24"/>
          <w:szCs w:val="24"/>
        </w:rPr>
      </w:pPr>
      <w:r>
        <w:rPr>
          <w:bCs/>
          <w:color w:val="000000"/>
          <w:sz w:val="24"/>
          <w:szCs w:val="24"/>
        </w:rPr>
        <w:t>La metodología adopta un enfoque cuantitativo de naturaleza transversal en el diseño, aplicación y análisis de un Cuestionario de Satisfacción Estudiantil de Experiencia Universitaria para el caso de la Universidad de la Frontera: institución universitaria que desarrolla sus actividades académicas e investigativas en la Región de La Araucanía (Chile), en un contexto histórico y espacial de alta vulnerabilidad económica y social</w:t>
      </w:r>
      <w:r w:rsidR="001D076E">
        <w:rPr>
          <w:bCs/>
          <w:color w:val="000000"/>
          <w:sz w:val="24"/>
          <w:szCs w:val="24"/>
        </w:rPr>
        <w:t>, en el que se ha considerado fundamental el desarrollo de un instrumento piloto</w:t>
      </w:r>
      <w:r w:rsidR="00266BD9">
        <w:rPr>
          <w:bCs/>
          <w:color w:val="000000"/>
          <w:sz w:val="24"/>
          <w:szCs w:val="24"/>
        </w:rPr>
        <w:t>, al presente año 2022</w:t>
      </w:r>
      <w:r w:rsidR="009E2D10">
        <w:rPr>
          <w:bCs/>
          <w:color w:val="000000"/>
          <w:sz w:val="24"/>
          <w:szCs w:val="24"/>
        </w:rPr>
        <w:t xml:space="preserve"> (aplicado en el primer semestre)</w:t>
      </w:r>
      <w:r w:rsidR="00266BD9">
        <w:rPr>
          <w:bCs/>
          <w:color w:val="000000"/>
          <w:sz w:val="24"/>
          <w:szCs w:val="24"/>
        </w:rPr>
        <w:t>,</w:t>
      </w:r>
      <w:r w:rsidR="001D076E">
        <w:rPr>
          <w:bCs/>
          <w:color w:val="000000"/>
          <w:sz w:val="24"/>
          <w:szCs w:val="24"/>
        </w:rPr>
        <w:t xml:space="preserve"> para </w:t>
      </w:r>
      <w:r w:rsidR="00266BD9">
        <w:rPr>
          <w:bCs/>
          <w:color w:val="000000"/>
          <w:sz w:val="24"/>
          <w:szCs w:val="24"/>
        </w:rPr>
        <w:t>la</w:t>
      </w:r>
      <w:r w:rsidR="001D076E">
        <w:rPr>
          <w:bCs/>
          <w:color w:val="000000"/>
          <w:sz w:val="24"/>
          <w:szCs w:val="24"/>
        </w:rPr>
        <w:t xml:space="preserve"> caracterización de la satisfacción estudiantil universitaria y así contar con insumos</w:t>
      </w:r>
      <w:r w:rsidR="00266BD9">
        <w:rPr>
          <w:bCs/>
          <w:color w:val="000000"/>
          <w:sz w:val="24"/>
          <w:szCs w:val="24"/>
        </w:rPr>
        <w:t xml:space="preserve"> empíricos</w:t>
      </w:r>
      <w:r w:rsidR="001D076E">
        <w:rPr>
          <w:bCs/>
          <w:color w:val="000000"/>
          <w:sz w:val="24"/>
          <w:szCs w:val="24"/>
        </w:rPr>
        <w:t xml:space="preserve"> para el desarrollo de indicadores </w:t>
      </w:r>
      <w:r w:rsidR="00266BD9">
        <w:rPr>
          <w:bCs/>
          <w:color w:val="000000"/>
          <w:sz w:val="24"/>
          <w:szCs w:val="24"/>
        </w:rPr>
        <w:t>de</w:t>
      </w:r>
      <w:r w:rsidR="001D076E">
        <w:rPr>
          <w:bCs/>
          <w:color w:val="000000"/>
          <w:sz w:val="24"/>
          <w:szCs w:val="24"/>
        </w:rPr>
        <w:t xml:space="preserve"> gestión institucional en relación a la permanencia estudiantil</w:t>
      </w:r>
      <w:r>
        <w:rPr>
          <w:bCs/>
          <w:color w:val="000000"/>
          <w:sz w:val="24"/>
          <w:szCs w:val="24"/>
        </w:rPr>
        <w:t>.</w:t>
      </w:r>
      <w:bookmarkStart w:id="0" w:name="_Toc111715972"/>
      <w:bookmarkStart w:id="1" w:name="_Toc111716185"/>
    </w:p>
    <w:p w14:paraId="18CFAEFC" w14:textId="7278A90C" w:rsidR="00573544" w:rsidRDefault="00573544" w:rsidP="00573544">
      <w:pPr>
        <w:ind w:leftChars="0" w:left="0" w:firstLineChars="0" w:firstLine="0"/>
      </w:pPr>
    </w:p>
    <w:p w14:paraId="19FA37B5" w14:textId="2F37E875" w:rsidR="00573544" w:rsidRDefault="00573544" w:rsidP="00573544">
      <w:pPr>
        <w:ind w:leftChars="0" w:left="0" w:firstLineChars="0" w:firstLine="0"/>
      </w:pPr>
    </w:p>
    <w:p w14:paraId="0EDD91D8" w14:textId="77777777" w:rsidR="00573544" w:rsidRPr="001709E0" w:rsidRDefault="00573544" w:rsidP="00573544">
      <w:pPr>
        <w:ind w:leftChars="0" w:left="0" w:firstLineChars="0" w:firstLine="0"/>
      </w:pPr>
    </w:p>
    <w:p w14:paraId="4581D235" w14:textId="3FB97FD1" w:rsidR="002004BB" w:rsidRPr="002004BB" w:rsidRDefault="00764EC9" w:rsidP="002004BB">
      <w:pPr>
        <w:pStyle w:val="Prrafodelista"/>
        <w:numPr>
          <w:ilvl w:val="0"/>
          <w:numId w:val="13"/>
        </w:numPr>
        <w:ind w:leftChars="0" w:firstLineChars="0"/>
        <w:rPr>
          <w:b/>
          <w:bCs/>
          <w:sz w:val="24"/>
          <w:szCs w:val="24"/>
        </w:rPr>
      </w:pPr>
      <w:r w:rsidRPr="002140F0">
        <w:rPr>
          <w:b/>
          <w:bCs/>
          <w:sz w:val="24"/>
          <w:szCs w:val="24"/>
        </w:rPr>
        <w:lastRenderedPageBreak/>
        <w:t>Diseño Instrumento</w:t>
      </w:r>
      <w:bookmarkEnd w:id="0"/>
      <w:bookmarkEnd w:id="1"/>
    </w:p>
    <w:p w14:paraId="1AE6643C" w14:textId="703F3FDC" w:rsidR="00764EC9" w:rsidRPr="002140F0" w:rsidRDefault="002004BB" w:rsidP="00915C89">
      <w:pPr>
        <w:ind w:left="0" w:hanging="2"/>
        <w:rPr>
          <w:rFonts w:eastAsia="Cambria"/>
          <w:color w:val="FF0000"/>
          <w:sz w:val="24"/>
          <w:szCs w:val="24"/>
        </w:rPr>
      </w:pPr>
      <w:r>
        <w:rPr>
          <w:rFonts w:eastAsia="Cambria"/>
          <w:sz w:val="24"/>
          <w:szCs w:val="24"/>
        </w:rPr>
        <w:t xml:space="preserve">En este estudio, se ha definido </w:t>
      </w:r>
      <w:r w:rsidR="00764EC9" w:rsidRPr="002140F0">
        <w:rPr>
          <w:rFonts w:eastAsia="Cambria"/>
          <w:sz w:val="24"/>
          <w:szCs w:val="24"/>
        </w:rPr>
        <w:t xml:space="preserve">la experiencia universitaria como el conjunto de vivencias que experimenta un/una estudiante durante su proceso de formación que van más allá de lo estrictamente académico y para su </w:t>
      </w:r>
      <w:r>
        <w:rPr>
          <w:rFonts w:eastAsia="Cambria"/>
          <w:sz w:val="24"/>
          <w:szCs w:val="24"/>
        </w:rPr>
        <w:t>análisis se</w:t>
      </w:r>
      <w:r w:rsidR="00764EC9" w:rsidRPr="002140F0">
        <w:rPr>
          <w:rFonts w:eastAsia="Cambria"/>
          <w:sz w:val="24"/>
          <w:szCs w:val="24"/>
        </w:rPr>
        <w:t xml:space="preserve"> identifica</w:t>
      </w:r>
      <w:r>
        <w:rPr>
          <w:rFonts w:eastAsia="Cambria"/>
          <w:sz w:val="24"/>
          <w:szCs w:val="24"/>
        </w:rPr>
        <w:t>ron</w:t>
      </w:r>
      <w:r w:rsidR="00764EC9" w:rsidRPr="002140F0">
        <w:rPr>
          <w:rFonts w:eastAsia="Cambria"/>
          <w:sz w:val="24"/>
          <w:szCs w:val="24"/>
        </w:rPr>
        <w:t xml:space="preserve"> tres dimensiones fundamentales: </w:t>
      </w:r>
    </w:p>
    <w:p w14:paraId="61A3BA17" w14:textId="5565D686" w:rsidR="00FB510C" w:rsidRPr="001359E9" w:rsidRDefault="00764EC9" w:rsidP="001359E9">
      <w:pPr>
        <w:pStyle w:val="Prrafodelista"/>
        <w:numPr>
          <w:ilvl w:val="0"/>
          <w:numId w:val="14"/>
        </w:numPr>
        <w:ind w:leftChars="0" w:left="360" w:firstLineChars="0"/>
        <w:rPr>
          <w:rFonts w:eastAsia="Cambria"/>
          <w:color w:val="000000"/>
          <w:sz w:val="24"/>
          <w:szCs w:val="24"/>
        </w:rPr>
      </w:pPr>
      <w:r w:rsidRPr="002140F0">
        <w:rPr>
          <w:rFonts w:eastAsia="Cambria"/>
          <w:color w:val="000000"/>
          <w:sz w:val="24"/>
          <w:szCs w:val="24"/>
        </w:rPr>
        <w:t xml:space="preserve">Servicios estudiantiles brindados por la institución: atenciones de salud física y mental, actividades deportivas, culturales, artísticas y recreativas, apoyo administrativo para trámites y becas, entre otros. </w:t>
      </w:r>
    </w:p>
    <w:p w14:paraId="2D0CBFFB" w14:textId="12F785F9" w:rsidR="00FB510C" w:rsidRPr="001359E9" w:rsidRDefault="00764EC9" w:rsidP="001359E9">
      <w:pPr>
        <w:pStyle w:val="Prrafodelista"/>
        <w:numPr>
          <w:ilvl w:val="0"/>
          <w:numId w:val="14"/>
        </w:numPr>
        <w:ind w:leftChars="0" w:left="360" w:firstLineChars="0"/>
        <w:rPr>
          <w:rFonts w:eastAsia="Cambria"/>
          <w:color w:val="000000"/>
          <w:sz w:val="24"/>
          <w:szCs w:val="24"/>
        </w:rPr>
      </w:pPr>
      <w:r w:rsidRPr="002140F0">
        <w:rPr>
          <w:rFonts w:eastAsia="Cambria"/>
          <w:color w:val="000000"/>
          <w:sz w:val="24"/>
          <w:szCs w:val="24"/>
        </w:rPr>
        <w:t>Convivencia, que contempla el trato con sus pares, docentes y funcionarios, además de la capacidad de integración de los/as estudiantes en la cultura institucional.</w:t>
      </w:r>
    </w:p>
    <w:p w14:paraId="32C9956E" w14:textId="555DAC14" w:rsidR="00764EC9" w:rsidRDefault="008B5FA0" w:rsidP="00FB510C">
      <w:pPr>
        <w:pStyle w:val="Prrafodelista"/>
        <w:numPr>
          <w:ilvl w:val="0"/>
          <w:numId w:val="14"/>
        </w:numPr>
        <w:ind w:leftChars="0" w:left="360" w:firstLineChars="0"/>
        <w:rPr>
          <w:rFonts w:eastAsia="Cambria"/>
          <w:color w:val="000000"/>
          <w:sz w:val="24"/>
          <w:szCs w:val="24"/>
        </w:rPr>
      </w:pPr>
      <w:r w:rsidRPr="002140F0">
        <w:rPr>
          <w:rFonts w:eastAsia="Cambria"/>
          <w:color w:val="000000"/>
          <w:sz w:val="24"/>
          <w:szCs w:val="24"/>
        </w:rPr>
        <w:t xml:space="preserve">Responsabilidad </w:t>
      </w:r>
      <w:r w:rsidR="00915C89" w:rsidRPr="002140F0">
        <w:rPr>
          <w:rFonts w:eastAsia="Cambria"/>
          <w:color w:val="000000"/>
          <w:sz w:val="24"/>
          <w:szCs w:val="24"/>
        </w:rPr>
        <w:t>social universitaria y estudiantil (s</w:t>
      </w:r>
      <w:r w:rsidR="00764EC9" w:rsidRPr="002140F0">
        <w:rPr>
          <w:rFonts w:eastAsia="Cambria"/>
          <w:color w:val="000000"/>
          <w:sz w:val="24"/>
          <w:szCs w:val="24"/>
        </w:rPr>
        <w:t>ello institucional</w:t>
      </w:r>
      <w:r w:rsidR="00915C89" w:rsidRPr="002140F0">
        <w:rPr>
          <w:rFonts w:eastAsia="Cambria"/>
          <w:color w:val="000000"/>
          <w:sz w:val="24"/>
          <w:szCs w:val="24"/>
        </w:rPr>
        <w:t>)</w:t>
      </w:r>
      <w:r w:rsidR="00764EC9" w:rsidRPr="002140F0">
        <w:rPr>
          <w:rFonts w:eastAsia="Cambria"/>
          <w:color w:val="000000"/>
          <w:sz w:val="24"/>
          <w:szCs w:val="24"/>
        </w:rPr>
        <w:t xml:space="preserve">, como aspecto fundamental para abordar la identidad y pertenencia a la institución y los principios y valores que ésta representa. </w:t>
      </w:r>
    </w:p>
    <w:p w14:paraId="49301CA3" w14:textId="31EC3D95" w:rsidR="00FB510C" w:rsidRPr="00997987" w:rsidRDefault="00997987" w:rsidP="00997987">
      <w:pPr>
        <w:ind w:leftChars="0" w:left="0" w:firstLineChars="0" w:firstLine="0"/>
        <w:rPr>
          <w:rFonts w:eastAsia="Cambria"/>
          <w:color w:val="000000"/>
          <w:sz w:val="24"/>
          <w:szCs w:val="24"/>
        </w:rPr>
      </w:pPr>
      <w:r>
        <w:rPr>
          <w:rFonts w:eastAsia="Cambria"/>
          <w:color w:val="000000"/>
          <w:sz w:val="24"/>
          <w:szCs w:val="24"/>
        </w:rPr>
        <w:t>La aplicación del instrumento se realizó para las siguientes Facultades: Ingeniería y Ciencias, Medicina y Odontología, respectivamente.</w:t>
      </w:r>
      <w:bookmarkStart w:id="2" w:name="_Toc111715974"/>
      <w:bookmarkStart w:id="3" w:name="_Toc111716187"/>
    </w:p>
    <w:p w14:paraId="36E85054" w14:textId="4A295CC9" w:rsidR="00764EC9" w:rsidRPr="00F72EDA" w:rsidRDefault="009E2D10" w:rsidP="00925AF0">
      <w:pPr>
        <w:pStyle w:val="Prrafodelista"/>
        <w:numPr>
          <w:ilvl w:val="0"/>
          <w:numId w:val="13"/>
        </w:numPr>
        <w:ind w:leftChars="0" w:left="714" w:firstLineChars="0" w:hanging="357"/>
        <w:rPr>
          <w:rFonts w:eastAsia="Cambria"/>
          <w:sz w:val="24"/>
          <w:szCs w:val="24"/>
        </w:rPr>
      </w:pPr>
      <w:r>
        <w:rPr>
          <w:b/>
          <w:bCs/>
          <w:sz w:val="24"/>
          <w:szCs w:val="24"/>
        </w:rPr>
        <w:t>Muestra, t</w:t>
      </w:r>
      <w:r w:rsidR="00764EC9" w:rsidRPr="002140F0">
        <w:rPr>
          <w:b/>
          <w:bCs/>
          <w:sz w:val="24"/>
          <w:szCs w:val="24"/>
        </w:rPr>
        <w:t>asa de respuesta según dimensión</w:t>
      </w:r>
      <w:bookmarkEnd w:id="2"/>
      <w:bookmarkEnd w:id="3"/>
      <w:r w:rsidR="000A75FA">
        <w:rPr>
          <w:b/>
          <w:bCs/>
          <w:sz w:val="24"/>
          <w:szCs w:val="24"/>
        </w:rPr>
        <w:t xml:space="preserve"> y fiabilidad del instrumento</w:t>
      </w:r>
    </w:p>
    <w:p w14:paraId="095E7F4F" w14:textId="3049AC96" w:rsidR="00764EC9" w:rsidRPr="00F72EDA" w:rsidRDefault="009E2D10" w:rsidP="009E2D10">
      <w:pPr>
        <w:pBdr>
          <w:top w:val="nil"/>
          <w:left w:val="nil"/>
          <w:bottom w:val="nil"/>
          <w:right w:val="nil"/>
          <w:between w:val="nil"/>
        </w:pBdr>
        <w:spacing w:line="240" w:lineRule="auto"/>
        <w:ind w:left="0" w:hanging="2"/>
        <w:rPr>
          <w:rFonts w:eastAsia="Cambria"/>
          <w:sz w:val="24"/>
          <w:szCs w:val="24"/>
        </w:rPr>
      </w:pPr>
      <w:r>
        <w:rPr>
          <w:rFonts w:eastAsia="Cambria"/>
          <w:sz w:val="24"/>
          <w:szCs w:val="24"/>
        </w:rPr>
        <w:t xml:space="preserve">El instrumento se aplicó a una muestra inicial de 419 estudiantes con al menos 1 año en la institución universitaria. La distribución de la muestra según Facultad fue la siguiente: Ingeniería y Ciencias (n=81); Salud (n=293) y Odontología (n=45). </w:t>
      </w:r>
      <w:r w:rsidR="00764EC9" w:rsidRPr="00F72EDA">
        <w:rPr>
          <w:rFonts w:eastAsia="Cambria"/>
          <w:sz w:val="24"/>
          <w:szCs w:val="24"/>
        </w:rPr>
        <w:t xml:space="preserve">En relación a la tasa de respuesta por dimensión e ítem del cuestionario se obtienen </w:t>
      </w:r>
      <w:r>
        <w:rPr>
          <w:rFonts w:eastAsia="Cambria"/>
          <w:sz w:val="24"/>
          <w:szCs w:val="24"/>
        </w:rPr>
        <w:t xml:space="preserve">los </w:t>
      </w:r>
      <w:r w:rsidR="00764EC9" w:rsidRPr="00F72EDA">
        <w:rPr>
          <w:rFonts w:eastAsia="Cambria"/>
          <w:sz w:val="24"/>
          <w:szCs w:val="24"/>
        </w:rPr>
        <w:t>valores</w:t>
      </w:r>
      <w:r>
        <w:rPr>
          <w:rFonts w:eastAsia="Cambria"/>
          <w:sz w:val="24"/>
          <w:szCs w:val="24"/>
        </w:rPr>
        <w:t xml:space="preserve"> que se presentan a continuación:</w:t>
      </w:r>
    </w:p>
    <w:p w14:paraId="0946B68B" w14:textId="4A735F07" w:rsidR="00764EC9" w:rsidRDefault="00764EC9" w:rsidP="00764EC9">
      <w:pPr>
        <w:pStyle w:val="IndiceTablas"/>
        <w:ind w:hanging="2"/>
        <w:rPr>
          <w:rFonts w:eastAsia="Cambria"/>
        </w:rPr>
      </w:pPr>
      <w:bookmarkStart w:id="4" w:name="_heading=h.3znysh7" w:colFirst="0" w:colLast="0"/>
      <w:bookmarkStart w:id="5" w:name="_Toc111716070"/>
      <w:bookmarkEnd w:id="4"/>
      <w:r>
        <w:rPr>
          <w:rFonts w:eastAsia="Cambria"/>
        </w:rPr>
        <w:t xml:space="preserve">Tabla </w:t>
      </w:r>
      <w:r w:rsidR="00997987">
        <w:rPr>
          <w:rFonts w:eastAsia="Cambria"/>
        </w:rPr>
        <w:t>1</w:t>
      </w:r>
      <w:r>
        <w:rPr>
          <w:rFonts w:eastAsia="Cambria"/>
        </w:rPr>
        <w:t>. Tasa de respuesta según dimensión de la encuesta.</w:t>
      </w:r>
      <w:bookmarkEnd w:id="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82"/>
        <w:gridCol w:w="2030"/>
        <w:gridCol w:w="2217"/>
      </w:tblGrid>
      <w:tr w:rsidR="00764EC9" w:rsidRPr="00F72EDA" w14:paraId="3308D2C1" w14:textId="77777777" w:rsidTr="00F72EDA">
        <w:trPr>
          <w:trHeight w:val="288"/>
          <w:jc w:val="center"/>
        </w:trPr>
        <w:tc>
          <w:tcPr>
            <w:tcW w:w="2795" w:type="pct"/>
            <w:shd w:val="clear" w:color="auto" w:fill="002060"/>
            <w:vAlign w:val="center"/>
          </w:tcPr>
          <w:p w14:paraId="78D5B8DA" w14:textId="77777777" w:rsidR="00764EC9" w:rsidRPr="00F72EDA" w:rsidRDefault="00764EC9" w:rsidP="00590287">
            <w:pPr>
              <w:spacing w:after="0" w:line="276" w:lineRule="auto"/>
              <w:ind w:left="0" w:hanging="2"/>
              <w:jc w:val="center"/>
              <w:rPr>
                <w:rFonts w:eastAsia="Cambria"/>
                <w:b/>
                <w:color w:val="FFFFFF"/>
                <w:sz w:val="16"/>
                <w:szCs w:val="16"/>
              </w:rPr>
            </w:pPr>
            <w:r w:rsidRPr="00F72EDA">
              <w:rPr>
                <w:rFonts w:eastAsia="Cambria"/>
                <w:b/>
                <w:color w:val="FFFFFF"/>
                <w:sz w:val="16"/>
                <w:szCs w:val="16"/>
              </w:rPr>
              <w:t>Dimensión</w:t>
            </w:r>
          </w:p>
        </w:tc>
        <w:tc>
          <w:tcPr>
            <w:tcW w:w="1054" w:type="pct"/>
            <w:shd w:val="clear" w:color="auto" w:fill="002060"/>
            <w:vAlign w:val="center"/>
          </w:tcPr>
          <w:p w14:paraId="3A21728A" w14:textId="77777777" w:rsidR="00764EC9" w:rsidRPr="00F72EDA" w:rsidRDefault="00764EC9" w:rsidP="00590287">
            <w:pPr>
              <w:spacing w:after="0" w:line="276" w:lineRule="auto"/>
              <w:ind w:left="0" w:hanging="2"/>
              <w:jc w:val="center"/>
              <w:rPr>
                <w:rFonts w:eastAsia="Cambria"/>
                <w:b/>
                <w:color w:val="FFFFFF"/>
                <w:sz w:val="16"/>
                <w:szCs w:val="16"/>
              </w:rPr>
            </w:pPr>
            <w:r w:rsidRPr="00F72EDA">
              <w:rPr>
                <w:rFonts w:eastAsia="Cambria"/>
                <w:b/>
                <w:color w:val="FFFFFF"/>
                <w:sz w:val="16"/>
                <w:szCs w:val="16"/>
              </w:rPr>
              <w:t>N respuesta según dimensión</w:t>
            </w:r>
          </w:p>
        </w:tc>
        <w:tc>
          <w:tcPr>
            <w:tcW w:w="1151" w:type="pct"/>
            <w:shd w:val="clear" w:color="auto" w:fill="002060"/>
            <w:vAlign w:val="center"/>
          </w:tcPr>
          <w:p w14:paraId="3033EEFA" w14:textId="77777777" w:rsidR="00764EC9" w:rsidRPr="00F72EDA" w:rsidRDefault="00764EC9" w:rsidP="00590287">
            <w:pPr>
              <w:spacing w:after="0" w:line="276" w:lineRule="auto"/>
              <w:ind w:left="0" w:hanging="2"/>
              <w:jc w:val="center"/>
              <w:rPr>
                <w:rFonts w:eastAsia="Cambria"/>
                <w:b/>
                <w:color w:val="FFFFFF"/>
                <w:sz w:val="16"/>
                <w:szCs w:val="16"/>
              </w:rPr>
            </w:pPr>
            <w:r w:rsidRPr="00F72EDA">
              <w:rPr>
                <w:rFonts w:eastAsia="Cambria"/>
                <w:b/>
                <w:color w:val="FFFFFF"/>
                <w:sz w:val="16"/>
                <w:szCs w:val="16"/>
              </w:rPr>
              <w:t xml:space="preserve">% Respuesta en relación al total </w:t>
            </w:r>
          </w:p>
          <w:p w14:paraId="5363B44D" w14:textId="77777777" w:rsidR="00764EC9" w:rsidRPr="00F72EDA" w:rsidRDefault="00764EC9" w:rsidP="00590287">
            <w:pPr>
              <w:spacing w:after="0" w:line="276" w:lineRule="auto"/>
              <w:ind w:left="0" w:hanging="2"/>
              <w:jc w:val="center"/>
              <w:rPr>
                <w:rFonts w:eastAsia="Cambria"/>
                <w:b/>
                <w:color w:val="FFFFFF"/>
                <w:sz w:val="16"/>
                <w:szCs w:val="16"/>
              </w:rPr>
            </w:pPr>
            <w:r w:rsidRPr="00F72EDA">
              <w:rPr>
                <w:rFonts w:eastAsia="Cambria"/>
                <w:b/>
                <w:color w:val="FFFFFF"/>
                <w:sz w:val="16"/>
                <w:szCs w:val="16"/>
              </w:rPr>
              <w:t>(N = 419)</w:t>
            </w:r>
          </w:p>
        </w:tc>
      </w:tr>
      <w:tr w:rsidR="00764EC9" w:rsidRPr="00F72EDA" w14:paraId="7CA1D353" w14:textId="77777777" w:rsidTr="001359E9">
        <w:trPr>
          <w:trHeight w:val="91"/>
          <w:jc w:val="center"/>
        </w:trPr>
        <w:tc>
          <w:tcPr>
            <w:tcW w:w="2795" w:type="pct"/>
            <w:shd w:val="clear" w:color="auto" w:fill="auto"/>
            <w:vAlign w:val="center"/>
          </w:tcPr>
          <w:p w14:paraId="7489F55A" w14:textId="77777777" w:rsidR="00764EC9" w:rsidRPr="00F72EDA" w:rsidRDefault="00764EC9" w:rsidP="00764EC9">
            <w:pPr>
              <w:numPr>
                <w:ilvl w:val="0"/>
                <w:numId w:val="6"/>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rPr>
                <w:rFonts w:eastAsia="Cambria"/>
                <w:color w:val="000000"/>
                <w:sz w:val="16"/>
                <w:szCs w:val="16"/>
              </w:rPr>
            </w:pPr>
            <w:r w:rsidRPr="00F72EDA">
              <w:rPr>
                <w:rFonts w:eastAsia="Cambria"/>
                <w:color w:val="000000"/>
                <w:sz w:val="16"/>
                <w:szCs w:val="16"/>
              </w:rPr>
              <w:t>Servicios estudiantiles (ítems del 1 al 15)</w:t>
            </w:r>
          </w:p>
        </w:tc>
        <w:tc>
          <w:tcPr>
            <w:tcW w:w="1054" w:type="pct"/>
            <w:shd w:val="clear" w:color="auto" w:fill="auto"/>
            <w:vAlign w:val="center"/>
          </w:tcPr>
          <w:p w14:paraId="6B966339" w14:textId="77777777" w:rsidR="00764EC9" w:rsidRPr="00F72EDA" w:rsidRDefault="00764EC9" w:rsidP="00590287">
            <w:pPr>
              <w:spacing w:after="0" w:line="276" w:lineRule="auto"/>
              <w:ind w:left="0" w:hanging="2"/>
              <w:jc w:val="center"/>
              <w:rPr>
                <w:rFonts w:eastAsia="Cambria"/>
                <w:color w:val="000000"/>
                <w:sz w:val="16"/>
                <w:szCs w:val="16"/>
              </w:rPr>
            </w:pPr>
            <w:r w:rsidRPr="00F72EDA">
              <w:rPr>
                <w:rFonts w:eastAsia="Cambria"/>
                <w:color w:val="000000"/>
                <w:sz w:val="16"/>
                <w:szCs w:val="16"/>
              </w:rPr>
              <w:t>381</w:t>
            </w:r>
          </w:p>
        </w:tc>
        <w:tc>
          <w:tcPr>
            <w:tcW w:w="1151" w:type="pct"/>
            <w:vAlign w:val="center"/>
          </w:tcPr>
          <w:p w14:paraId="03696058" w14:textId="77777777" w:rsidR="00764EC9" w:rsidRPr="00F72EDA" w:rsidRDefault="00764EC9" w:rsidP="00590287">
            <w:pPr>
              <w:spacing w:after="0" w:line="276" w:lineRule="auto"/>
              <w:ind w:left="0" w:hanging="2"/>
              <w:jc w:val="center"/>
              <w:rPr>
                <w:rFonts w:eastAsia="Cambria"/>
                <w:color w:val="000000"/>
                <w:sz w:val="16"/>
                <w:szCs w:val="16"/>
              </w:rPr>
            </w:pPr>
            <w:r w:rsidRPr="00F72EDA">
              <w:rPr>
                <w:rFonts w:eastAsia="Cambria"/>
                <w:color w:val="000000"/>
                <w:sz w:val="16"/>
                <w:szCs w:val="16"/>
              </w:rPr>
              <w:t>90,9%</w:t>
            </w:r>
          </w:p>
        </w:tc>
      </w:tr>
      <w:tr w:rsidR="00764EC9" w:rsidRPr="00F72EDA" w14:paraId="2706EAEE" w14:textId="77777777" w:rsidTr="001359E9">
        <w:trPr>
          <w:trHeight w:val="48"/>
          <w:jc w:val="center"/>
        </w:trPr>
        <w:tc>
          <w:tcPr>
            <w:tcW w:w="2795" w:type="pct"/>
            <w:shd w:val="clear" w:color="auto" w:fill="auto"/>
            <w:vAlign w:val="center"/>
          </w:tcPr>
          <w:p w14:paraId="673522AB" w14:textId="77777777" w:rsidR="00764EC9" w:rsidRPr="00F72EDA" w:rsidRDefault="00764EC9" w:rsidP="00764EC9">
            <w:pPr>
              <w:numPr>
                <w:ilvl w:val="0"/>
                <w:numId w:val="6"/>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rPr>
                <w:rFonts w:eastAsia="Cambria"/>
                <w:color w:val="000000"/>
                <w:sz w:val="16"/>
                <w:szCs w:val="16"/>
              </w:rPr>
            </w:pPr>
            <w:r w:rsidRPr="00F72EDA">
              <w:rPr>
                <w:rFonts w:eastAsia="Cambria"/>
                <w:color w:val="000000"/>
                <w:sz w:val="16"/>
                <w:szCs w:val="16"/>
              </w:rPr>
              <w:t xml:space="preserve">Convivencia (ítems del 16 al 26) </w:t>
            </w:r>
          </w:p>
        </w:tc>
        <w:tc>
          <w:tcPr>
            <w:tcW w:w="1054" w:type="pct"/>
            <w:shd w:val="clear" w:color="auto" w:fill="auto"/>
            <w:vAlign w:val="center"/>
          </w:tcPr>
          <w:p w14:paraId="7C7FDC59" w14:textId="77777777" w:rsidR="00764EC9" w:rsidRPr="00F72EDA" w:rsidRDefault="00764EC9" w:rsidP="00590287">
            <w:pPr>
              <w:spacing w:after="0" w:line="276" w:lineRule="auto"/>
              <w:ind w:left="0" w:hanging="2"/>
              <w:jc w:val="center"/>
              <w:rPr>
                <w:rFonts w:eastAsia="Cambria"/>
                <w:color w:val="000000"/>
                <w:sz w:val="16"/>
                <w:szCs w:val="16"/>
              </w:rPr>
            </w:pPr>
            <w:r w:rsidRPr="00F72EDA">
              <w:rPr>
                <w:rFonts w:eastAsia="Cambria"/>
                <w:color w:val="000000"/>
                <w:sz w:val="16"/>
                <w:szCs w:val="16"/>
              </w:rPr>
              <w:t>354</w:t>
            </w:r>
          </w:p>
        </w:tc>
        <w:tc>
          <w:tcPr>
            <w:tcW w:w="1151" w:type="pct"/>
            <w:vAlign w:val="center"/>
          </w:tcPr>
          <w:p w14:paraId="5035478E" w14:textId="77777777" w:rsidR="00764EC9" w:rsidRPr="00F72EDA" w:rsidRDefault="00764EC9" w:rsidP="00590287">
            <w:pPr>
              <w:spacing w:after="0" w:line="276" w:lineRule="auto"/>
              <w:ind w:left="0" w:hanging="2"/>
              <w:jc w:val="center"/>
              <w:rPr>
                <w:rFonts w:eastAsia="Cambria"/>
                <w:color w:val="000000"/>
                <w:sz w:val="16"/>
                <w:szCs w:val="16"/>
              </w:rPr>
            </w:pPr>
            <w:r w:rsidRPr="00F72EDA">
              <w:rPr>
                <w:rFonts w:eastAsia="Cambria"/>
                <w:color w:val="000000"/>
                <w:sz w:val="16"/>
                <w:szCs w:val="16"/>
              </w:rPr>
              <w:t>84,5%</w:t>
            </w:r>
          </w:p>
        </w:tc>
      </w:tr>
      <w:tr w:rsidR="00764EC9" w:rsidRPr="00F72EDA" w14:paraId="3DAA5B4F" w14:textId="77777777" w:rsidTr="00F72EDA">
        <w:trPr>
          <w:trHeight w:val="288"/>
          <w:jc w:val="center"/>
        </w:trPr>
        <w:tc>
          <w:tcPr>
            <w:tcW w:w="2795" w:type="pct"/>
            <w:shd w:val="clear" w:color="auto" w:fill="auto"/>
            <w:vAlign w:val="center"/>
          </w:tcPr>
          <w:p w14:paraId="4F6F65DB" w14:textId="77777777" w:rsidR="00764EC9" w:rsidRPr="00F72EDA" w:rsidRDefault="00764EC9" w:rsidP="00764EC9">
            <w:pPr>
              <w:numPr>
                <w:ilvl w:val="0"/>
                <w:numId w:val="6"/>
              </w:numPr>
              <w:pBdr>
                <w:top w:val="nil"/>
                <w:left w:val="nil"/>
                <w:bottom w:val="nil"/>
                <w:right w:val="nil"/>
                <w:between w:val="nil"/>
              </w:pBdr>
              <w:suppressAutoHyphens w:val="0"/>
              <w:spacing w:after="0" w:line="276" w:lineRule="auto"/>
              <w:ind w:leftChars="0" w:left="0" w:firstLineChars="0" w:hanging="2"/>
              <w:textDirection w:val="lrTb"/>
              <w:textAlignment w:val="auto"/>
              <w:outlineLvl w:val="9"/>
              <w:rPr>
                <w:rFonts w:eastAsia="Cambria"/>
                <w:color w:val="000000"/>
                <w:sz w:val="16"/>
                <w:szCs w:val="16"/>
              </w:rPr>
            </w:pPr>
            <w:r w:rsidRPr="00F72EDA">
              <w:rPr>
                <w:rFonts w:eastAsia="Cambria"/>
                <w:color w:val="000000"/>
                <w:sz w:val="16"/>
                <w:szCs w:val="16"/>
              </w:rPr>
              <w:t>Responsabilidad social universitaria y estudiantil (ítems del 27 al 36)</w:t>
            </w:r>
          </w:p>
        </w:tc>
        <w:tc>
          <w:tcPr>
            <w:tcW w:w="1054" w:type="pct"/>
            <w:shd w:val="clear" w:color="auto" w:fill="auto"/>
            <w:vAlign w:val="center"/>
          </w:tcPr>
          <w:p w14:paraId="7FA361A4" w14:textId="77777777" w:rsidR="00764EC9" w:rsidRPr="00F72EDA" w:rsidRDefault="00764EC9" w:rsidP="00590287">
            <w:pPr>
              <w:spacing w:after="0" w:line="276" w:lineRule="auto"/>
              <w:ind w:left="0" w:hanging="2"/>
              <w:jc w:val="center"/>
              <w:rPr>
                <w:rFonts w:eastAsia="Cambria"/>
                <w:color w:val="000000"/>
                <w:sz w:val="16"/>
                <w:szCs w:val="16"/>
              </w:rPr>
            </w:pPr>
            <w:r w:rsidRPr="00F72EDA">
              <w:rPr>
                <w:rFonts w:eastAsia="Cambria"/>
                <w:color w:val="000000"/>
                <w:sz w:val="16"/>
                <w:szCs w:val="16"/>
              </w:rPr>
              <w:t>330</w:t>
            </w:r>
          </w:p>
        </w:tc>
        <w:tc>
          <w:tcPr>
            <w:tcW w:w="1151" w:type="pct"/>
            <w:vAlign w:val="center"/>
          </w:tcPr>
          <w:p w14:paraId="39E5BDAD" w14:textId="77777777" w:rsidR="00764EC9" w:rsidRPr="00F72EDA" w:rsidRDefault="00764EC9" w:rsidP="00590287">
            <w:pPr>
              <w:spacing w:after="0" w:line="276" w:lineRule="auto"/>
              <w:ind w:left="0" w:hanging="2"/>
              <w:jc w:val="center"/>
              <w:rPr>
                <w:rFonts w:eastAsia="Cambria"/>
                <w:color w:val="000000"/>
                <w:sz w:val="16"/>
                <w:szCs w:val="16"/>
              </w:rPr>
            </w:pPr>
            <w:r w:rsidRPr="00F72EDA">
              <w:rPr>
                <w:rFonts w:eastAsia="Cambria"/>
                <w:color w:val="000000"/>
                <w:sz w:val="16"/>
                <w:szCs w:val="16"/>
              </w:rPr>
              <w:t>78,8%</w:t>
            </w:r>
          </w:p>
        </w:tc>
      </w:tr>
    </w:tbl>
    <w:p w14:paraId="2F7B4AD6" w14:textId="3F73441E" w:rsidR="00764EC9" w:rsidRPr="001359E9" w:rsidRDefault="00764EC9" w:rsidP="001359E9">
      <w:pPr>
        <w:pBdr>
          <w:top w:val="nil"/>
          <w:left w:val="nil"/>
          <w:bottom w:val="nil"/>
          <w:right w:val="nil"/>
          <w:between w:val="nil"/>
        </w:pBdr>
        <w:spacing w:after="0" w:line="240" w:lineRule="auto"/>
        <w:ind w:left="0" w:hanging="2"/>
        <w:jc w:val="center"/>
        <w:rPr>
          <w:rFonts w:eastAsia="Cambria"/>
          <w:color w:val="000000"/>
          <w:sz w:val="16"/>
          <w:szCs w:val="16"/>
        </w:rPr>
      </w:pPr>
      <w:r w:rsidRPr="001359E9">
        <w:rPr>
          <w:rFonts w:eastAsia="Cambria"/>
          <w:color w:val="000000"/>
          <w:sz w:val="16"/>
          <w:szCs w:val="16"/>
        </w:rPr>
        <w:t>Fuente: Encuesta de Satisfacción Estudiantil sobre Experiencia Universitaria (2022)</w:t>
      </w:r>
      <w:bookmarkStart w:id="6" w:name="_heading=h.2et92p0" w:colFirst="0" w:colLast="0"/>
      <w:bookmarkEnd w:id="6"/>
    </w:p>
    <w:p w14:paraId="440912F5" w14:textId="2B291599" w:rsidR="00925AF0" w:rsidRDefault="00925AF0" w:rsidP="001359E9">
      <w:pPr>
        <w:pBdr>
          <w:top w:val="nil"/>
          <w:left w:val="nil"/>
          <w:bottom w:val="nil"/>
          <w:right w:val="nil"/>
          <w:between w:val="nil"/>
        </w:pBdr>
        <w:spacing w:after="0" w:line="240" w:lineRule="auto"/>
        <w:ind w:left="0" w:hanging="2"/>
        <w:rPr>
          <w:rFonts w:ascii="Cambria" w:eastAsia="Cambria" w:hAnsi="Cambria" w:cs="Cambria"/>
          <w:color w:val="000000"/>
          <w:sz w:val="18"/>
          <w:szCs w:val="18"/>
        </w:rPr>
      </w:pPr>
    </w:p>
    <w:p w14:paraId="3C4EC6DE" w14:textId="1486C13A" w:rsidR="00925AF0" w:rsidRPr="001359E9" w:rsidRDefault="00925AF0" w:rsidP="001359E9">
      <w:pPr>
        <w:ind w:leftChars="0" w:left="0" w:firstLineChars="0" w:firstLine="0"/>
        <w:rPr>
          <w:rFonts w:eastAsia="Cambria"/>
          <w:color w:val="000000"/>
          <w:sz w:val="24"/>
          <w:szCs w:val="24"/>
        </w:rPr>
      </w:pPr>
      <w:r w:rsidRPr="001359E9">
        <w:rPr>
          <w:rFonts w:eastAsia="Cambria"/>
          <w:color w:val="000000"/>
          <w:sz w:val="24"/>
          <w:szCs w:val="24"/>
        </w:rPr>
        <w:t>Por otro lado, En la siguiente tabla se presenta un análisis del nivel de fiabilidad del instrumento, tanto a nivel general como por cada una de sus dimensiones principales. En particular, se calculó el coeficiente de fiabilidad de Cronbach:</w:t>
      </w:r>
    </w:p>
    <w:p w14:paraId="352FFF00" w14:textId="6F68983C" w:rsidR="00925AF0" w:rsidRDefault="00925AF0" w:rsidP="00925AF0">
      <w:pPr>
        <w:pStyle w:val="IndiceTablas"/>
        <w:ind w:hanging="2"/>
        <w:rPr>
          <w:rFonts w:eastAsia="Cambria"/>
        </w:rPr>
      </w:pPr>
      <w:bookmarkStart w:id="7" w:name="_heading=h.1y810tw" w:colFirst="0" w:colLast="0"/>
      <w:bookmarkStart w:id="8" w:name="_Toc111716076"/>
      <w:bookmarkEnd w:id="7"/>
      <w:r>
        <w:rPr>
          <w:rFonts w:eastAsia="Cambria"/>
        </w:rPr>
        <w:t xml:space="preserve">Tabla </w:t>
      </w:r>
      <w:r w:rsidR="00997987">
        <w:rPr>
          <w:rFonts w:eastAsia="Cambria"/>
        </w:rPr>
        <w:t>2.</w:t>
      </w:r>
      <w:r>
        <w:rPr>
          <w:rFonts w:eastAsia="Cambria"/>
        </w:rPr>
        <w:t xml:space="preserve"> Coeficiente de fiabilidad de Cronbach para el Instrumento</w:t>
      </w:r>
      <w:bookmarkEnd w:id="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0"/>
        <w:gridCol w:w="2473"/>
        <w:gridCol w:w="2296"/>
      </w:tblGrid>
      <w:tr w:rsidR="00925AF0" w:rsidRPr="001359E9" w14:paraId="3E9D5D54" w14:textId="77777777" w:rsidTr="00AF1E0C">
        <w:trPr>
          <w:trHeight w:val="20"/>
          <w:jc w:val="center"/>
        </w:trPr>
        <w:tc>
          <w:tcPr>
            <w:tcW w:w="2524" w:type="pct"/>
            <w:shd w:val="clear" w:color="auto" w:fill="002060"/>
          </w:tcPr>
          <w:p w14:paraId="0D56805D"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b/>
                <w:color w:val="FFFFFF"/>
                <w:sz w:val="16"/>
                <w:szCs w:val="16"/>
              </w:rPr>
            </w:pPr>
            <w:r w:rsidRPr="001359E9">
              <w:rPr>
                <w:rFonts w:eastAsia="Cambria"/>
                <w:b/>
                <w:color w:val="FFFFFF"/>
                <w:sz w:val="16"/>
                <w:szCs w:val="16"/>
              </w:rPr>
              <w:t>Principales dimensiones</w:t>
            </w:r>
          </w:p>
        </w:tc>
        <w:tc>
          <w:tcPr>
            <w:tcW w:w="1284" w:type="pct"/>
            <w:shd w:val="clear" w:color="auto" w:fill="002060"/>
          </w:tcPr>
          <w:p w14:paraId="4A872FB3"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b/>
                <w:color w:val="FFFFFF"/>
                <w:sz w:val="16"/>
                <w:szCs w:val="16"/>
              </w:rPr>
            </w:pPr>
            <w:r w:rsidRPr="001359E9">
              <w:rPr>
                <w:rFonts w:eastAsia="Cambria"/>
                <w:b/>
                <w:color w:val="FFFFFF"/>
                <w:sz w:val="16"/>
                <w:szCs w:val="16"/>
              </w:rPr>
              <w:t>Fiabilidad Alfa de Cronbach</w:t>
            </w:r>
          </w:p>
        </w:tc>
        <w:tc>
          <w:tcPr>
            <w:tcW w:w="1192" w:type="pct"/>
            <w:shd w:val="clear" w:color="auto" w:fill="002060"/>
          </w:tcPr>
          <w:p w14:paraId="3F3DBD8B"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b/>
                <w:color w:val="FFFFFF"/>
                <w:sz w:val="16"/>
                <w:szCs w:val="16"/>
              </w:rPr>
            </w:pPr>
            <w:proofErr w:type="spellStart"/>
            <w:r w:rsidRPr="001359E9">
              <w:rPr>
                <w:rFonts w:eastAsia="Cambria"/>
                <w:b/>
                <w:color w:val="FFFFFF"/>
                <w:sz w:val="16"/>
                <w:szCs w:val="16"/>
              </w:rPr>
              <w:t>N°</w:t>
            </w:r>
            <w:proofErr w:type="spellEnd"/>
            <w:r w:rsidRPr="001359E9">
              <w:rPr>
                <w:rFonts w:eastAsia="Cambria"/>
                <w:b/>
                <w:color w:val="FFFFFF"/>
                <w:sz w:val="16"/>
                <w:szCs w:val="16"/>
              </w:rPr>
              <w:t xml:space="preserve"> de ítems</w:t>
            </w:r>
          </w:p>
        </w:tc>
      </w:tr>
      <w:tr w:rsidR="00925AF0" w:rsidRPr="001359E9" w14:paraId="44EF836E" w14:textId="77777777" w:rsidTr="00AF1E0C">
        <w:trPr>
          <w:trHeight w:val="20"/>
          <w:jc w:val="center"/>
        </w:trPr>
        <w:tc>
          <w:tcPr>
            <w:tcW w:w="2524" w:type="pct"/>
            <w:vAlign w:val="center"/>
          </w:tcPr>
          <w:p w14:paraId="36124592" w14:textId="77777777" w:rsidR="00925AF0" w:rsidRPr="001359E9" w:rsidRDefault="00925AF0" w:rsidP="001359E9">
            <w:pPr>
              <w:pBdr>
                <w:top w:val="nil"/>
                <w:left w:val="nil"/>
                <w:bottom w:val="nil"/>
                <w:right w:val="nil"/>
                <w:between w:val="nil"/>
              </w:pBdr>
              <w:spacing w:line="240" w:lineRule="auto"/>
              <w:ind w:left="0" w:hanging="2"/>
              <w:rPr>
                <w:rFonts w:eastAsia="Cambria"/>
                <w:color w:val="000000"/>
                <w:sz w:val="16"/>
                <w:szCs w:val="16"/>
              </w:rPr>
            </w:pPr>
            <w:r w:rsidRPr="001359E9">
              <w:rPr>
                <w:rFonts w:eastAsia="Cambria"/>
                <w:color w:val="000000"/>
                <w:sz w:val="16"/>
                <w:szCs w:val="16"/>
              </w:rPr>
              <w:t>Servicios estudiantiles</w:t>
            </w:r>
          </w:p>
        </w:tc>
        <w:tc>
          <w:tcPr>
            <w:tcW w:w="1284" w:type="pct"/>
            <w:vAlign w:val="center"/>
          </w:tcPr>
          <w:p w14:paraId="7603B4A6"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0,855</w:t>
            </w:r>
          </w:p>
        </w:tc>
        <w:tc>
          <w:tcPr>
            <w:tcW w:w="1192" w:type="pct"/>
            <w:vAlign w:val="center"/>
          </w:tcPr>
          <w:p w14:paraId="07363081"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15</w:t>
            </w:r>
          </w:p>
        </w:tc>
      </w:tr>
      <w:tr w:rsidR="00925AF0" w:rsidRPr="001359E9" w14:paraId="749D1155" w14:textId="77777777" w:rsidTr="00AF1E0C">
        <w:trPr>
          <w:trHeight w:val="20"/>
          <w:jc w:val="center"/>
        </w:trPr>
        <w:tc>
          <w:tcPr>
            <w:tcW w:w="2524" w:type="pct"/>
            <w:vAlign w:val="center"/>
          </w:tcPr>
          <w:p w14:paraId="3391E023" w14:textId="77777777" w:rsidR="00925AF0" w:rsidRPr="001359E9" w:rsidRDefault="00925AF0" w:rsidP="001359E9">
            <w:pPr>
              <w:pBdr>
                <w:top w:val="nil"/>
                <w:left w:val="nil"/>
                <w:bottom w:val="nil"/>
                <w:right w:val="nil"/>
                <w:between w:val="nil"/>
              </w:pBdr>
              <w:spacing w:line="240" w:lineRule="auto"/>
              <w:ind w:left="0" w:hanging="2"/>
              <w:rPr>
                <w:rFonts w:eastAsia="Cambria"/>
                <w:color w:val="000000"/>
                <w:sz w:val="16"/>
                <w:szCs w:val="16"/>
              </w:rPr>
            </w:pPr>
            <w:r w:rsidRPr="001359E9">
              <w:rPr>
                <w:rFonts w:eastAsia="Cambria"/>
                <w:color w:val="000000"/>
                <w:sz w:val="16"/>
                <w:szCs w:val="16"/>
              </w:rPr>
              <w:t>Convivencia</w:t>
            </w:r>
          </w:p>
        </w:tc>
        <w:tc>
          <w:tcPr>
            <w:tcW w:w="1284" w:type="pct"/>
            <w:vAlign w:val="center"/>
          </w:tcPr>
          <w:p w14:paraId="7E507BFF"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0,839</w:t>
            </w:r>
          </w:p>
        </w:tc>
        <w:tc>
          <w:tcPr>
            <w:tcW w:w="1192" w:type="pct"/>
            <w:vAlign w:val="center"/>
          </w:tcPr>
          <w:p w14:paraId="70B1EB4E"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11</w:t>
            </w:r>
          </w:p>
        </w:tc>
      </w:tr>
      <w:tr w:rsidR="00925AF0" w:rsidRPr="001359E9" w14:paraId="3CB56F76" w14:textId="77777777" w:rsidTr="00AF1E0C">
        <w:trPr>
          <w:trHeight w:val="20"/>
          <w:jc w:val="center"/>
        </w:trPr>
        <w:tc>
          <w:tcPr>
            <w:tcW w:w="2524" w:type="pct"/>
            <w:vAlign w:val="center"/>
          </w:tcPr>
          <w:p w14:paraId="48AEEFC7" w14:textId="77777777" w:rsidR="00925AF0" w:rsidRPr="001359E9" w:rsidRDefault="00925AF0" w:rsidP="001359E9">
            <w:pPr>
              <w:pBdr>
                <w:top w:val="nil"/>
                <w:left w:val="nil"/>
                <w:bottom w:val="nil"/>
                <w:right w:val="nil"/>
                <w:between w:val="nil"/>
              </w:pBdr>
              <w:spacing w:line="240" w:lineRule="auto"/>
              <w:ind w:left="0" w:hanging="2"/>
              <w:rPr>
                <w:rFonts w:eastAsia="Cambria"/>
                <w:color w:val="000000"/>
                <w:sz w:val="16"/>
                <w:szCs w:val="16"/>
              </w:rPr>
            </w:pPr>
            <w:r w:rsidRPr="001359E9">
              <w:rPr>
                <w:rFonts w:eastAsia="Cambria"/>
                <w:color w:val="000000"/>
                <w:sz w:val="16"/>
                <w:szCs w:val="16"/>
              </w:rPr>
              <w:t>Responsabilidad Social Universitaria y Estudiantil</w:t>
            </w:r>
          </w:p>
        </w:tc>
        <w:tc>
          <w:tcPr>
            <w:tcW w:w="1284" w:type="pct"/>
            <w:vAlign w:val="center"/>
          </w:tcPr>
          <w:p w14:paraId="7A316F8B"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0,748</w:t>
            </w:r>
          </w:p>
        </w:tc>
        <w:tc>
          <w:tcPr>
            <w:tcW w:w="1192" w:type="pct"/>
            <w:vAlign w:val="center"/>
          </w:tcPr>
          <w:p w14:paraId="559127EC"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10</w:t>
            </w:r>
          </w:p>
        </w:tc>
      </w:tr>
      <w:tr w:rsidR="00925AF0" w:rsidRPr="001359E9" w14:paraId="0303A12E" w14:textId="77777777" w:rsidTr="00AF1E0C">
        <w:trPr>
          <w:trHeight w:val="20"/>
          <w:jc w:val="center"/>
        </w:trPr>
        <w:tc>
          <w:tcPr>
            <w:tcW w:w="2524" w:type="pct"/>
            <w:vAlign w:val="center"/>
          </w:tcPr>
          <w:p w14:paraId="1781DCD5" w14:textId="77777777" w:rsidR="00925AF0" w:rsidRPr="001359E9" w:rsidRDefault="00925AF0" w:rsidP="001359E9">
            <w:pPr>
              <w:pBdr>
                <w:top w:val="nil"/>
                <w:left w:val="nil"/>
                <w:bottom w:val="nil"/>
                <w:right w:val="nil"/>
                <w:between w:val="nil"/>
              </w:pBdr>
              <w:spacing w:line="240" w:lineRule="auto"/>
              <w:ind w:left="0" w:hanging="2"/>
              <w:rPr>
                <w:rFonts w:eastAsia="Cambria"/>
                <w:color w:val="000000"/>
                <w:sz w:val="16"/>
                <w:szCs w:val="16"/>
              </w:rPr>
            </w:pPr>
            <w:r w:rsidRPr="001359E9">
              <w:rPr>
                <w:rFonts w:eastAsia="Cambria"/>
                <w:color w:val="000000"/>
                <w:sz w:val="16"/>
                <w:szCs w:val="16"/>
              </w:rPr>
              <w:t>Instrumento (3 dimensiones)</w:t>
            </w:r>
          </w:p>
        </w:tc>
        <w:tc>
          <w:tcPr>
            <w:tcW w:w="1284" w:type="pct"/>
            <w:vAlign w:val="center"/>
          </w:tcPr>
          <w:p w14:paraId="6C019E7C"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0,909</w:t>
            </w:r>
          </w:p>
        </w:tc>
        <w:tc>
          <w:tcPr>
            <w:tcW w:w="1192" w:type="pct"/>
            <w:vAlign w:val="center"/>
          </w:tcPr>
          <w:p w14:paraId="1529E35A" w14:textId="77777777" w:rsidR="00925AF0" w:rsidRPr="001359E9" w:rsidRDefault="00925AF0" w:rsidP="001359E9">
            <w:pPr>
              <w:pBdr>
                <w:top w:val="nil"/>
                <w:left w:val="nil"/>
                <w:bottom w:val="nil"/>
                <w:right w:val="nil"/>
                <w:between w:val="nil"/>
              </w:pBdr>
              <w:spacing w:line="240" w:lineRule="auto"/>
              <w:ind w:left="0" w:hanging="2"/>
              <w:jc w:val="center"/>
              <w:rPr>
                <w:rFonts w:eastAsia="Cambria"/>
                <w:color w:val="000000"/>
                <w:sz w:val="16"/>
                <w:szCs w:val="16"/>
              </w:rPr>
            </w:pPr>
            <w:r w:rsidRPr="001359E9">
              <w:rPr>
                <w:rFonts w:eastAsia="Cambria"/>
                <w:color w:val="000000"/>
                <w:sz w:val="16"/>
                <w:szCs w:val="16"/>
              </w:rPr>
              <w:t>36</w:t>
            </w:r>
          </w:p>
        </w:tc>
      </w:tr>
    </w:tbl>
    <w:p w14:paraId="05F1332D" w14:textId="34F2B59C" w:rsidR="00925AF0" w:rsidRPr="001359E9" w:rsidRDefault="00925AF0" w:rsidP="00925AF0">
      <w:pPr>
        <w:pBdr>
          <w:top w:val="nil"/>
          <w:left w:val="nil"/>
          <w:bottom w:val="nil"/>
          <w:right w:val="nil"/>
          <w:between w:val="nil"/>
        </w:pBdr>
        <w:spacing w:after="0" w:line="240" w:lineRule="auto"/>
        <w:ind w:left="0" w:hanging="2"/>
        <w:jc w:val="center"/>
        <w:rPr>
          <w:rFonts w:eastAsia="Cambria"/>
          <w:color w:val="000000"/>
          <w:sz w:val="16"/>
          <w:szCs w:val="16"/>
        </w:rPr>
      </w:pPr>
      <w:r w:rsidRPr="001359E9">
        <w:rPr>
          <w:rFonts w:eastAsia="Cambria"/>
          <w:color w:val="000000"/>
          <w:sz w:val="16"/>
          <w:szCs w:val="16"/>
        </w:rPr>
        <w:t>Fuente: Encuesta de Satisfacción Estudiantil sobre Experiencia Universitaria (2022)</w:t>
      </w:r>
    </w:p>
    <w:p w14:paraId="5E2E0028" w14:textId="77777777" w:rsidR="00925AF0" w:rsidRDefault="00925AF0" w:rsidP="00925AF0">
      <w:pPr>
        <w:pBdr>
          <w:top w:val="nil"/>
          <w:left w:val="nil"/>
          <w:bottom w:val="nil"/>
          <w:right w:val="nil"/>
          <w:between w:val="nil"/>
        </w:pBdr>
        <w:spacing w:after="0" w:line="240" w:lineRule="auto"/>
        <w:ind w:left="0" w:hanging="2"/>
        <w:jc w:val="center"/>
        <w:rPr>
          <w:rFonts w:ascii="Cambria" w:eastAsia="Cambria" w:hAnsi="Cambria" w:cs="Cambria"/>
          <w:color w:val="000000"/>
          <w:sz w:val="18"/>
          <w:szCs w:val="18"/>
        </w:rPr>
      </w:pPr>
    </w:p>
    <w:p w14:paraId="4CFA2386" w14:textId="45E292AC" w:rsidR="00925AF0" w:rsidRPr="001359E9" w:rsidRDefault="00925AF0" w:rsidP="001359E9">
      <w:pPr>
        <w:pBdr>
          <w:top w:val="nil"/>
          <w:left w:val="nil"/>
          <w:bottom w:val="nil"/>
          <w:right w:val="nil"/>
          <w:between w:val="nil"/>
        </w:pBdr>
        <w:spacing w:line="240" w:lineRule="auto"/>
        <w:ind w:leftChars="0" w:left="2" w:hanging="2"/>
        <w:rPr>
          <w:rFonts w:eastAsia="Cambria"/>
          <w:color w:val="000000"/>
          <w:sz w:val="24"/>
          <w:szCs w:val="24"/>
        </w:rPr>
      </w:pPr>
      <w:r w:rsidRPr="00925AF0">
        <w:rPr>
          <w:rFonts w:eastAsia="Cambria"/>
          <w:color w:val="000000"/>
          <w:sz w:val="24"/>
          <w:szCs w:val="24"/>
        </w:rPr>
        <w:t xml:space="preserve">Como se puede observar, este índice de consistencia interna de la escala, nos permite determinar, en un rango de 0 a 1, que el instrumento presenta una </w:t>
      </w:r>
      <w:r w:rsidRPr="00925AF0">
        <w:rPr>
          <w:rFonts w:eastAsia="Cambria"/>
          <w:i/>
          <w:color w:val="000000"/>
          <w:sz w:val="24"/>
          <w:szCs w:val="24"/>
        </w:rPr>
        <w:t>fiabilidad alta</w:t>
      </w:r>
      <w:r w:rsidRPr="00925AF0">
        <w:rPr>
          <w:rFonts w:eastAsia="Cambria"/>
          <w:color w:val="000000"/>
          <w:sz w:val="24"/>
          <w:szCs w:val="24"/>
        </w:rPr>
        <w:t xml:space="preserve"> en cada una de sus dimensiones y una </w:t>
      </w:r>
      <w:r w:rsidRPr="00925AF0">
        <w:rPr>
          <w:rFonts w:eastAsia="Cambria"/>
          <w:i/>
          <w:color w:val="000000"/>
          <w:sz w:val="24"/>
          <w:szCs w:val="24"/>
        </w:rPr>
        <w:t>fiabilidad</w:t>
      </w:r>
      <w:r w:rsidRPr="00925AF0">
        <w:rPr>
          <w:rFonts w:eastAsia="Cambria"/>
          <w:color w:val="000000"/>
          <w:sz w:val="24"/>
          <w:szCs w:val="24"/>
        </w:rPr>
        <w:t xml:space="preserve"> </w:t>
      </w:r>
      <w:r w:rsidRPr="00925AF0">
        <w:rPr>
          <w:rFonts w:eastAsia="Cambria"/>
          <w:i/>
          <w:color w:val="000000"/>
          <w:sz w:val="24"/>
          <w:szCs w:val="24"/>
        </w:rPr>
        <w:t>muy alta</w:t>
      </w:r>
      <w:r w:rsidRPr="00925AF0">
        <w:rPr>
          <w:rFonts w:eastAsia="Cambria"/>
          <w:color w:val="000000"/>
          <w:sz w:val="24"/>
          <w:szCs w:val="24"/>
        </w:rPr>
        <w:t xml:space="preserve"> en su conjunto. En detalle, se evidencia que, en la dimensión de Servicios Estudiantiles, el índice alcanza un valor de 0,855, mientras que, en las dimensiones de Convivencia y Responsabilidad Social Universitaria y Estudiantil, estos valores se ubican en un nivel de 0,839 y 0,748. </w:t>
      </w:r>
    </w:p>
    <w:p w14:paraId="73F78869" w14:textId="0C9EB430" w:rsidR="00925AF0" w:rsidRPr="00925AF0" w:rsidRDefault="00764EC9" w:rsidP="00925AF0">
      <w:pPr>
        <w:pStyle w:val="Ttulo2"/>
        <w:numPr>
          <w:ilvl w:val="1"/>
          <w:numId w:val="15"/>
        </w:numPr>
        <w:spacing w:before="0" w:after="120"/>
        <w:ind w:leftChars="0" w:left="714" w:firstLineChars="0" w:hanging="357"/>
        <w:rPr>
          <w:rFonts w:ascii="Times New Roman" w:hAnsi="Times New Roman"/>
          <w:sz w:val="24"/>
          <w:szCs w:val="24"/>
        </w:rPr>
      </w:pPr>
      <w:bookmarkStart w:id="9" w:name="_Toc111715975"/>
      <w:bookmarkStart w:id="10" w:name="_Toc111716188"/>
      <w:r w:rsidRPr="00F72EDA">
        <w:rPr>
          <w:rFonts w:ascii="Times New Roman" w:hAnsi="Times New Roman"/>
          <w:sz w:val="24"/>
          <w:szCs w:val="24"/>
        </w:rPr>
        <w:lastRenderedPageBreak/>
        <w:t>Plan de análisis de la información de la encuesta</w:t>
      </w:r>
      <w:bookmarkEnd w:id="9"/>
      <w:bookmarkEnd w:id="10"/>
    </w:p>
    <w:p w14:paraId="25C392F5" w14:textId="248A369A" w:rsidR="006834F1" w:rsidRPr="00266BD9" w:rsidRDefault="00764EC9" w:rsidP="00266BD9">
      <w:pPr>
        <w:ind w:left="0" w:hanging="2"/>
        <w:rPr>
          <w:rFonts w:eastAsia="Cambria"/>
          <w:sz w:val="24"/>
          <w:szCs w:val="24"/>
        </w:rPr>
      </w:pPr>
      <w:r w:rsidRPr="00925AF0">
        <w:rPr>
          <w:rFonts w:eastAsia="Cambria"/>
          <w:sz w:val="24"/>
          <w:szCs w:val="24"/>
        </w:rPr>
        <w:t>Como plan de análisis de la información se han seguido una serie de fases relacionadas al procesamiento de los datos obtenidos. De esta manera, el plan de análisis de la información se compuso de las siguientes etapas y/o actividades de procesamiento y sistematización de los datos cuantitativos y cualitativos obtenidos mediante la presente encuesta de satisfacción sobre experiencia universitaria estudiantil:</w:t>
      </w:r>
      <w:r w:rsidR="00266BD9">
        <w:rPr>
          <w:rFonts w:eastAsia="Cambria"/>
          <w:sz w:val="24"/>
          <w:szCs w:val="24"/>
        </w:rPr>
        <w:t xml:space="preserve"> a)</w:t>
      </w:r>
      <w:r w:rsidR="002004BB" w:rsidRPr="00266BD9">
        <w:rPr>
          <w:rFonts w:eastAsia="Cambria"/>
          <w:sz w:val="24"/>
          <w:szCs w:val="24"/>
        </w:rPr>
        <w:t>Aplicación del Cuestionario de Satisfacción Estudiantil Universitaria</w:t>
      </w:r>
      <w:r w:rsidR="00266BD9" w:rsidRPr="00266BD9">
        <w:rPr>
          <w:rFonts w:eastAsia="Cambria"/>
          <w:sz w:val="24"/>
          <w:szCs w:val="24"/>
        </w:rPr>
        <w:t xml:space="preserve">; b) </w:t>
      </w:r>
      <w:r w:rsidRPr="00266BD9">
        <w:rPr>
          <w:rFonts w:eastAsia="Cambria"/>
          <w:sz w:val="24"/>
          <w:szCs w:val="24"/>
        </w:rPr>
        <w:t>Construcción de la base de datos</w:t>
      </w:r>
      <w:r w:rsidR="00266BD9" w:rsidRPr="00266BD9">
        <w:rPr>
          <w:rFonts w:eastAsia="Cambria"/>
          <w:sz w:val="24"/>
          <w:szCs w:val="24"/>
        </w:rPr>
        <w:t xml:space="preserve"> y</w:t>
      </w:r>
      <w:r w:rsidR="002004BB" w:rsidRPr="00266BD9">
        <w:rPr>
          <w:rFonts w:eastAsia="Cambria"/>
          <w:sz w:val="24"/>
          <w:szCs w:val="24"/>
        </w:rPr>
        <w:t xml:space="preserve"> </w:t>
      </w:r>
      <w:r w:rsidR="00266BD9" w:rsidRPr="00266BD9">
        <w:rPr>
          <w:rFonts w:eastAsia="Cambria"/>
          <w:sz w:val="24"/>
          <w:szCs w:val="24"/>
        </w:rPr>
        <w:t>d</w:t>
      </w:r>
      <w:r w:rsidRPr="00266BD9">
        <w:rPr>
          <w:rFonts w:eastAsia="Cambria"/>
          <w:sz w:val="24"/>
          <w:szCs w:val="24"/>
        </w:rPr>
        <w:t>epuración de la información</w:t>
      </w:r>
      <w:r w:rsidR="00266BD9" w:rsidRPr="00266BD9">
        <w:rPr>
          <w:rFonts w:eastAsia="Cambria"/>
          <w:sz w:val="24"/>
          <w:szCs w:val="24"/>
        </w:rPr>
        <w:t xml:space="preserve">; c) </w:t>
      </w:r>
      <w:r w:rsidRPr="00266BD9">
        <w:rPr>
          <w:rFonts w:eastAsia="Cambria"/>
          <w:sz w:val="24"/>
          <w:szCs w:val="24"/>
        </w:rPr>
        <w:t xml:space="preserve">Análisis exploratorio de los </w:t>
      </w:r>
      <w:r w:rsidR="00266BD9" w:rsidRPr="00266BD9">
        <w:rPr>
          <w:rFonts w:eastAsia="Cambria"/>
          <w:sz w:val="24"/>
          <w:szCs w:val="24"/>
        </w:rPr>
        <w:t xml:space="preserve">datos; d) </w:t>
      </w:r>
      <w:r w:rsidRPr="00266BD9">
        <w:rPr>
          <w:rFonts w:eastAsia="Cambria"/>
          <w:sz w:val="24"/>
          <w:szCs w:val="24"/>
        </w:rPr>
        <w:t>Análisis de confiabilidad de las dimensiones del cuestionario</w:t>
      </w:r>
      <w:r w:rsidR="00266BD9" w:rsidRPr="00266BD9">
        <w:rPr>
          <w:rFonts w:eastAsia="Cambria"/>
          <w:sz w:val="24"/>
          <w:szCs w:val="24"/>
        </w:rPr>
        <w:t xml:space="preserve">; e) </w:t>
      </w:r>
      <w:r w:rsidRPr="00266BD9">
        <w:rPr>
          <w:rFonts w:eastAsia="Cambria"/>
          <w:sz w:val="24"/>
          <w:szCs w:val="24"/>
        </w:rPr>
        <w:t>Cálculo de puntuaciones media para las principales dimensiones del cuestionario, así como un indicador promedio general del instrumento</w:t>
      </w:r>
      <w:r w:rsidR="00266BD9" w:rsidRPr="00266BD9">
        <w:rPr>
          <w:rFonts w:eastAsia="Cambria"/>
          <w:sz w:val="24"/>
          <w:szCs w:val="24"/>
        </w:rPr>
        <w:t xml:space="preserve">; f) </w:t>
      </w:r>
      <w:r w:rsidRPr="00266BD9">
        <w:rPr>
          <w:rFonts w:eastAsia="Cambria"/>
          <w:sz w:val="24"/>
          <w:szCs w:val="24"/>
        </w:rPr>
        <w:t xml:space="preserve">Obtención de tablas </w:t>
      </w:r>
      <w:proofErr w:type="spellStart"/>
      <w:r w:rsidRPr="00266BD9">
        <w:rPr>
          <w:rFonts w:eastAsia="Cambria"/>
          <w:sz w:val="24"/>
          <w:szCs w:val="24"/>
        </w:rPr>
        <w:t>univariadas</w:t>
      </w:r>
      <w:proofErr w:type="spellEnd"/>
      <w:r w:rsidRPr="00266BD9">
        <w:rPr>
          <w:rFonts w:eastAsia="Cambria"/>
          <w:sz w:val="24"/>
          <w:szCs w:val="24"/>
        </w:rPr>
        <w:t xml:space="preserve"> </w:t>
      </w:r>
      <w:r w:rsidR="00F72EDA" w:rsidRPr="00266BD9">
        <w:rPr>
          <w:rFonts w:eastAsia="Cambria"/>
          <w:sz w:val="24"/>
          <w:szCs w:val="24"/>
        </w:rPr>
        <w:t xml:space="preserve">y </w:t>
      </w:r>
      <w:proofErr w:type="spellStart"/>
      <w:r w:rsidR="00F72EDA" w:rsidRPr="00266BD9">
        <w:rPr>
          <w:rFonts w:eastAsia="Cambria"/>
          <w:sz w:val="24"/>
          <w:szCs w:val="24"/>
        </w:rPr>
        <w:t>bivariadas</w:t>
      </w:r>
      <w:proofErr w:type="spellEnd"/>
      <w:r w:rsidR="00F72EDA" w:rsidRPr="00266BD9">
        <w:rPr>
          <w:rFonts w:eastAsia="Cambria"/>
          <w:sz w:val="24"/>
          <w:szCs w:val="24"/>
        </w:rPr>
        <w:t xml:space="preserve"> </w:t>
      </w:r>
      <w:r w:rsidRPr="00266BD9">
        <w:rPr>
          <w:rFonts w:eastAsia="Cambria"/>
          <w:sz w:val="24"/>
          <w:szCs w:val="24"/>
        </w:rPr>
        <w:t>de resultados</w:t>
      </w:r>
      <w:r w:rsidR="00266BD9" w:rsidRPr="00266BD9">
        <w:rPr>
          <w:rFonts w:eastAsia="Cambria"/>
          <w:sz w:val="24"/>
          <w:szCs w:val="24"/>
        </w:rPr>
        <w:t xml:space="preserve">; g) </w:t>
      </w:r>
      <w:r w:rsidRPr="00266BD9">
        <w:rPr>
          <w:rFonts w:eastAsia="Cambria"/>
          <w:sz w:val="24"/>
          <w:szCs w:val="24"/>
        </w:rPr>
        <w:t>Obtención de estadísticos paramétricos y no paramétricos para determinar posibles diferencias de medias entre variables categóricas de interés</w:t>
      </w:r>
      <w:r w:rsidR="005C25D6" w:rsidRPr="00266BD9">
        <w:rPr>
          <w:rFonts w:eastAsia="Cambria"/>
          <w:sz w:val="24"/>
          <w:szCs w:val="24"/>
        </w:rPr>
        <w:t>.</w:t>
      </w:r>
    </w:p>
    <w:p w14:paraId="6D0466BB" w14:textId="7E7D3E14" w:rsidR="00C637C2" w:rsidRPr="002140F0" w:rsidRDefault="00177CB2" w:rsidP="002140F0">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3. Resultados</w:t>
      </w:r>
    </w:p>
    <w:p w14:paraId="3F94D988" w14:textId="57DF4A7D" w:rsidR="00AF1E0C" w:rsidRPr="00D2457C" w:rsidRDefault="00D863BA" w:rsidP="001709E0">
      <w:pPr>
        <w:pBdr>
          <w:top w:val="nil"/>
          <w:left w:val="nil"/>
          <w:bottom w:val="nil"/>
          <w:right w:val="nil"/>
          <w:between w:val="nil"/>
        </w:pBdr>
        <w:spacing w:line="240" w:lineRule="auto"/>
        <w:ind w:left="0" w:hanging="2"/>
        <w:rPr>
          <w:rFonts w:eastAsia="Cambria"/>
          <w:color w:val="000000"/>
          <w:sz w:val="24"/>
          <w:szCs w:val="24"/>
        </w:rPr>
      </w:pPr>
      <w:r w:rsidRPr="009F6536">
        <w:rPr>
          <w:rFonts w:eastAsia="Cambria"/>
          <w:color w:val="000000"/>
          <w:sz w:val="24"/>
          <w:szCs w:val="24"/>
        </w:rPr>
        <w:t>En la siguiente tabla se presentan los resultados para la dimensión “Servicios Estudiantiles”, según la puntuación media por cada ítem y según el porcentaje sumatorio obtenido para las categorías de “</w:t>
      </w:r>
      <w:r w:rsidR="00997987">
        <w:rPr>
          <w:rFonts w:eastAsia="Cambria"/>
          <w:color w:val="000000"/>
          <w:sz w:val="24"/>
          <w:szCs w:val="24"/>
        </w:rPr>
        <w:t>Satisfecho</w:t>
      </w:r>
      <w:r w:rsidRPr="009F6536">
        <w:rPr>
          <w:rFonts w:eastAsia="Cambria"/>
          <w:color w:val="000000"/>
          <w:sz w:val="24"/>
          <w:szCs w:val="24"/>
        </w:rPr>
        <w:t>” (</w:t>
      </w:r>
      <w:r w:rsidR="00997987">
        <w:rPr>
          <w:rFonts w:eastAsia="Cambria"/>
          <w:color w:val="000000"/>
          <w:sz w:val="24"/>
          <w:szCs w:val="24"/>
        </w:rPr>
        <w:t xml:space="preserve">Satisfecho </w:t>
      </w:r>
      <w:r w:rsidRPr="009F6536">
        <w:rPr>
          <w:rFonts w:eastAsia="Cambria"/>
          <w:color w:val="000000"/>
          <w:sz w:val="24"/>
          <w:szCs w:val="24"/>
        </w:rPr>
        <w:t xml:space="preserve">+ </w:t>
      </w:r>
      <w:r w:rsidR="00997987">
        <w:rPr>
          <w:rFonts w:eastAsia="Cambria"/>
          <w:color w:val="000000"/>
          <w:sz w:val="24"/>
          <w:szCs w:val="24"/>
        </w:rPr>
        <w:t>Muy satisfecho</w:t>
      </w:r>
      <w:r w:rsidRPr="009F6536">
        <w:rPr>
          <w:rFonts w:eastAsia="Cambria"/>
          <w:color w:val="000000"/>
          <w:sz w:val="24"/>
          <w:szCs w:val="24"/>
        </w:rPr>
        <w:t>), respectivamente:</w:t>
      </w:r>
    </w:p>
    <w:p w14:paraId="5BEBB95A" w14:textId="7868409F" w:rsidR="00D863BA" w:rsidRPr="00D2457C" w:rsidRDefault="00D863BA" w:rsidP="00D863BA">
      <w:pPr>
        <w:pStyle w:val="IndiceTablas"/>
        <w:ind w:hanging="2"/>
        <w:rPr>
          <w:rFonts w:ascii="Times New Roman" w:eastAsia="Cambria" w:hAnsi="Times New Roman" w:cs="Times New Roman"/>
          <w:sz w:val="16"/>
          <w:szCs w:val="16"/>
        </w:rPr>
      </w:pPr>
      <w:bookmarkStart w:id="11" w:name="_heading=h.1hmsyys" w:colFirst="0" w:colLast="0"/>
      <w:bookmarkStart w:id="12" w:name="_Toc111716083"/>
      <w:bookmarkEnd w:id="11"/>
      <w:r w:rsidRPr="00D2457C">
        <w:rPr>
          <w:rFonts w:ascii="Times New Roman" w:eastAsia="Cambria" w:hAnsi="Times New Roman" w:cs="Times New Roman"/>
          <w:sz w:val="16"/>
          <w:szCs w:val="16"/>
        </w:rPr>
        <w:t xml:space="preserve">Tabla </w:t>
      </w:r>
      <w:r w:rsidR="00997987">
        <w:rPr>
          <w:rFonts w:ascii="Times New Roman" w:eastAsia="Cambria" w:hAnsi="Times New Roman" w:cs="Times New Roman"/>
          <w:sz w:val="16"/>
          <w:szCs w:val="16"/>
        </w:rPr>
        <w:t>3</w:t>
      </w:r>
      <w:r w:rsidRPr="00D2457C">
        <w:rPr>
          <w:rFonts w:ascii="Times New Roman" w:eastAsia="Cambria" w:hAnsi="Times New Roman" w:cs="Times New Roman"/>
          <w:sz w:val="16"/>
          <w:szCs w:val="16"/>
        </w:rPr>
        <w:t xml:space="preserve">. Grado de </w:t>
      </w:r>
      <w:r w:rsidR="00997987">
        <w:rPr>
          <w:rFonts w:ascii="Times New Roman" w:eastAsia="Cambria" w:hAnsi="Times New Roman" w:cs="Times New Roman"/>
          <w:sz w:val="16"/>
          <w:szCs w:val="16"/>
        </w:rPr>
        <w:t>satisfacción</w:t>
      </w:r>
      <w:r w:rsidRPr="00D2457C">
        <w:rPr>
          <w:rFonts w:ascii="Times New Roman" w:eastAsia="Cambria" w:hAnsi="Times New Roman" w:cs="Times New Roman"/>
          <w:sz w:val="16"/>
          <w:szCs w:val="16"/>
        </w:rPr>
        <w:t xml:space="preserve"> para la dimensión “Servicios Estudiantiles”</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27"/>
        <w:gridCol w:w="968"/>
        <w:gridCol w:w="1034"/>
      </w:tblGrid>
      <w:tr w:rsidR="005C25D6" w:rsidRPr="00D2457C" w14:paraId="41F0A34C" w14:textId="77777777" w:rsidTr="00AF1E0C">
        <w:trPr>
          <w:trHeight w:val="20"/>
        </w:trPr>
        <w:tc>
          <w:tcPr>
            <w:tcW w:w="3972" w:type="pct"/>
            <w:shd w:val="clear" w:color="auto" w:fill="002060"/>
            <w:vAlign w:val="center"/>
          </w:tcPr>
          <w:p w14:paraId="7D32A47B" w14:textId="77777777" w:rsidR="005C25D6" w:rsidRPr="00D2457C" w:rsidRDefault="005C25D6" w:rsidP="006834F1">
            <w:pPr>
              <w:pBdr>
                <w:top w:val="nil"/>
                <w:left w:val="nil"/>
                <w:bottom w:val="nil"/>
                <w:right w:val="nil"/>
                <w:between w:val="nil"/>
              </w:pBdr>
              <w:spacing w:line="240" w:lineRule="auto"/>
              <w:ind w:left="0" w:hanging="2"/>
              <w:jc w:val="center"/>
              <w:rPr>
                <w:rFonts w:eastAsia="Cambria"/>
                <w:b/>
                <w:color w:val="FFFFFF"/>
                <w:sz w:val="16"/>
                <w:szCs w:val="16"/>
              </w:rPr>
            </w:pPr>
            <w:r w:rsidRPr="00D2457C">
              <w:rPr>
                <w:rFonts w:eastAsia="Cambria"/>
                <w:b/>
                <w:color w:val="FFFFFF"/>
                <w:sz w:val="16"/>
                <w:szCs w:val="16"/>
              </w:rPr>
              <w:t>Servicios Estudiantiles</w:t>
            </w:r>
          </w:p>
        </w:tc>
        <w:tc>
          <w:tcPr>
            <w:tcW w:w="514" w:type="pct"/>
            <w:shd w:val="clear" w:color="auto" w:fill="002060"/>
            <w:vAlign w:val="center"/>
          </w:tcPr>
          <w:p w14:paraId="2D56FE1C" w14:textId="77777777" w:rsidR="005C25D6" w:rsidRPr="00D2457C" w:rsidRDefault="005C25D6" w:rsidP="006834F1">
            <w:pPr>
              <w:pBdr>
                <w:top w:val="nil"/>
                <w:left w:val="nil"/>
                <w:bottom w:val="nil"/>
                <w:right w:val="nil"/>
                <w:between w:val="nil"/>
              </w:pBdr>
              <w:spacing w:line="240" w:lineRule="auto"/>
              <w:ind w:left="0" w:hanging="2"/>
              <w:jc w:val="center"/>
              <w:rPr>
                <w:rFonts w:eastAsia="Cambria"/>
                <w:b/>
                <w:color w:val="FFFFFF"/>
                <w:sz w:val="16"/>
                <w:szCs w:val="16"/>
              </w:rPr>
            </w:pPr>
            <w:r w:rsidRPr="00D2457C">
              <w:rPr>
                <w:rFonts w:eastAsia="Cambria"/>
                <w:b/>
                <w:color w:val="FFFFFF"/>
                <w:sz w:val="16"/>
                <w:szCs w:val="16"/>
              </w:rPr>
              <w:t>Media</w:t>
            </w:r>
          </w:p>
        </w:tc>
        <w:tc>
          <w:tcPr>
            <w:tcW w:w="514" w:type="pct"/>
            <w:shd w:val="clear" w:color="auto" w:fill="002060"/>
            <w:vAlign w:val="center"/>
          </w:tcPr>
          <w:p w14:paraId="47DAE850" w14:textId="27B8501D" w:rsidR="005C25D6" w:rsidRPr="00D2457C" w:rsidRDefault="006834F1" w:rsidP="00997987">
            <w:pPr>
              <w:pBdr>
                <w:top w:val="nil"/>
                <w:left w:val="nil"/>
                <w:bottom w:val="nil"/>
                <w:right w:val="nil"/>
                <w:between w:val="nil"/>
              </w:pBdr>
              <w:spacing w:line="240" w:lineRule="auto"/>
              <w:ind w:left="0" w:hanging="2"/>
              <w:jc w:val="center"/>
              <w:rPr>
                <w:rFonts w:eastAsia="Cambria"/>
                <w:b/>
                <w:color w:val="FFFFFF"/>
                <w:sz w:val="16"/>
                <w:szCs w:val="16"/>
              </w:rPr>
            </w:pPr>
            <w:r w:rsidRPr="00D2457C">
              <w:rPr>
                <w:rFonts w:eastAsia="Cambria"/>
                <w:b/>
                <w:color w:val="FFFFFF"/>
                <w:sz w:val="16"/>
                <w:szCs w:val="16"/>
              </w:rPr>
              <w:t xml:space="preserve">% </w:t>
            </w:r>
            <w:r w:rsidR="00997987">
              <w:rPr>
                <w:rFonts w:eastAsia="Cambria"/>
                <w:b/>
                <w:color w:val="FFFFFF"/>
                <w:sz w:val="16"/>
                <w:szCs w:val="16"/>
              </w:rPr>
              <w:t>Satisfacción</w:t>
            </w:r>
          </w:p>
        </w:tc>
      </w:tr>
      <w:tr w:rsidR="005C25D6" w:rsidRPr="00D2457C" w14:paraId="27B96582" w14:textId="77777777" w:rsidTr="009E2D10">
        <w:trPr>
          <w:trHeight w:val="56"/>
        </w:trPr>
        <w:tc>
          <w:tcPr>
            <w:tcW w:w="3972" w:type="pct"/>
          </w:tcPr>
          <w:p w14:paraId="47B582D6"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Cuando necesité algún certificado desde la Oficina de Certificación (Dirección de Registro Académico) la atención recibida fue satisfactoria.</w:t>
            </w:r>
          </w:p>
        </w:tc>
        <w:tc>
          <w:tcPr>
            <w:tcW w:w="514" w:type="pct"/>
          </w:tcPr>
          <w:p w14:paraId="6FE24D2C"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4,04</w:t>
            </w:r>
          </w:p>
        </w:tc>
        <w:tc>
          <w:tcPr>
            <w:tcW w:w="514" w:type="pct"/>
          </w:tcPr>
          <w:p w14:paraId="57B780C7"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73,0%</w:t>
            </w:r>
          </w:p>
        </w:tc>
      </w:tr>
      <w:tr w:rsidR="005C25D6" w:rsidRPr="00D2457C" w14:paraId="6D34FDE3" w14:textId="77777777" w:rsidTr="00AF1E0C">
        <w:trPr>
          <w:trHeight w:val="20"/>
        </w:trPr>
        <w:tc>
          <w:tcPr>
            <w:tcW w:w="3972" w:type="pct"/>
          </w:tcPr>
          <w:p w14:paraId="0E77F523"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Mi experiencia ha sido positiva cuando he necesitado alguna atención en el Servicio de Salud Estudiantil.</w:t>
            </w:r>
          </w:p>
        </w:tc>
        <w:tc>
          <w:tcPr>
            <w:tcW w:w="514" w:type="pct"/>
          </w:tcPr>
          <w:p w14:paraId="501161EE"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3,74</w:t>
            </w:r>
          </w:p>
        </w:tc>
        <w:tc>
          <w:tcPr>
            <w:tcW w:w="514" w:type="pct"/>
          </w:tcPr>
          <w:p w14:paraId="45E6D41B"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63,7%</w:t>
            </w:r>
          </w:p>
        </w:tc>
      </w:tr>
      <w:tr w:rsidR="005C25D6" w:rsidRPr="00D2457C" w14:paraId="07C15459" w14:textId="77777777" w:rsidTr="00AF1E0C">
        <w:trPr>
          <w:trHeight w:val="20"/>
        </w:trPr>
        <w:tc>
          <w:tcPr>
            <w:tcW w:w="3972" w:type="pct"/>
          </w:tcPr>
          <w:p w14:paraId="24FCCD00"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Cuando he realizado algún trámite en Bienestar Estudiantil he recibido una atención satisfactoria.</w:t>
            </w:r>
          </w:p>
        </w:tc>
        <w:tc>
          <w:tcPr>
            <w:tcW w:w="514" w:type="pct"/>
          </w:tcPr>
          <w:p w14:paraId="758DEEAD"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4,14</w:t>
            </w:r>
          </w:p>
        </w:tc>
        <w:tc>
          <w:tcPr>
            <w:tcW w:w="514" w:type="pct"/>
          </w:tcPr>
          <w:p w14:paraId="610A496C"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77,4%</w:t>
            </w:r>
          </w:p>
        </w:tc>
      </w:tr>
      <w:tr w:rsidR="005C25D6" w:rsidRPr="00D2457C" w14:paraId="7A9FB5AA" w14:textId="77777777" w:rsidTr="00AF1E0C">
        <w:trPr>
          <w:trHeight w:val="20"/>
        </w:trPr>
        <w:tc>
          <w:tcPr>
            <w:tcW w:w="3972" w:type="pct"/>
          </w:tcPr>
          <w:p w14:paraId="1ECD9767"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Mi experiencia ha sido positiva cuando he requerido apoyo administrativo por parte de la carrera (secretario/a, director/a).</w:t>
            </w:r>
          </w:p>
        </w:tc>
        <w:tc>
          <w:tcPr>
            <w:tcW w:w="514" w:type="pct"/>
          </w:tcPr>
          <w:p w14:paraId="4290A968"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4,36</w:t>
            </w:r>
          </w:p>
        </w:tc>
        <w:tc>
          <w:tcPr>
            <w:tcW w:w="514" w:type="pct"/>
          </w:tcPr>
          <w:p w14:paraId="42BFD299"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80,7%</w:t>
            </w:r>
          </w:p>
        </w:tc>
      </w:tr>
      <w:tr w:rsidR="005C25D6" w:rsidRPr="00D2457C" w14:paraId="65313F3F" w14:textId="77777777" w:rsidTr="00AF1E0C">
        <w:trPr>
          <w:trHeight w:val="20"/>
        </w:trPr>
        <w:tc>
          <w:tcPr>
            <w:tcW w:w="3972" w:type="pct"/>
          </w:tcPr>
          <w:p w14:paraId="5C09253B"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oferta programática de actividades deportivas de la universidad es atractiva.</w:t>
            </w:r>
          </w:p>
        </w:tc>
        <w:tc>
          <w:tcPr>
            <w:tcW w:w="514" w:type="pct"/>
          </w:tcPr>
          <w:p w14:paraId="4964619A"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3,75</w:t>
            </w:r>
          </w:p>
        </w:tc>
        <w:tc>
          <w:tcPr>
            <w:tcW w:w="514" w:type="pct"/>
          </w:tcPr>
          <w:p w14:paraId="2B01217F"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61,3%</w:t>
            </w:r>
          </w:p>
        </w:tc>
      </w:tr>
      <w:tr w:rsidR="005C25D6" w:rsidRPr="00D2457C" w14:paraId="5FC1F5E7" w14:textId="77777777" w:rsidTr="00AF1E0C">
        <w:trPr>
          <w:trHeight w:val="20"/>
        </w:trPr>
        <w:tc>
          <w:tcPr>
            <w:tcW w:w="3972" w:type="pct"/>
          </w:tcPr>
          <w:p w14:paraId="2D544062"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oferta programática de actividades culturales de la universidad es atractiva.</w:t>
            </w:r>
          </w:p>
        </w:tc>
        <w:tc>
          <w:tcPr>
            <w:tcW w:w="514" w:type="pct"/>
          </w:tcPr>
          <w:p w14:paraId="14F1C4B1"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3,68</w:t>
            </w:r>
          </w:p>
        </w:tc>
        <w:tc>
          <w:tcPr>
            <w:tcW w:w="514" w:type="pct"/>
          </w:tcPr>
          <w:p w14:paraId="1A1372B9"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61,2%</w:t>
            </w:r>
          </w:p>
        </w:tc>
      </w:tr>
      <w:tr w:rsidR="005C25D6" w:rsidRPr="00D2457C" w14:paraId="0C6B4F25" w14:textId="77777777" w:rsidTr="00AF1E0C">
        <w:trPr>
          <w:trHeight w:val="20"/>
        </w:trPr>
        <w:tc>
          <w:tcPr>
            <w:tcW w:w="3972" w:type="pct"/>
          </w:tcPr>
          <w:p w14:paraId="2F0385F2"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promueve la creación de agrupaciones estudiantiles.</w:t>
            </w:r>
          </w:p>
        </w:tc>
        <w:tc>
          <w:tcPr>
            <w:tcW w:w="514" w:type="pct"/>
          </w:tcPr>
          <w:p w14:paraId="02DC63F4"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3,99</w:t>
            </w:r>
          </w:p>
        </w:tc>
        <w:tc>
          <w:tcPr>
            <w:tcW w:w="514" w:type="pct"/>
          </w:tcPr>
          <w:p w14:paraId="5BF34B13"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71,9%</w:t>
            </w:r>
          </w:p>
        </w:tc>
      </w:tr>
      <w:tr w:rsidR="005C25D6" w:rsidRPr="00D2457C" w14:paraId="0A7FE4A7" w14:textId="77777777" w:rsidTr="00AF1E0C">
        <w:trPr>
          <w:trHeight w:val="20"/>
        </w:trPr>
        <w:tc>
          <w:tcPr>
            <w:tcW w:w="3972" w:type="pct"/>
          </w:tcPr>
          <w:p w14:paraId="0BC806AD"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Considero que la cantidad de libros en formato impreso y recursos en línea (e-books y revistas electrónicas) de la Biblioteca Central es adecuada para mi carrera.</w:t>
            </w:r>
          </w:p>
        </w:tc>
        <w:tc>
          <w:tcPr>
            <w:tcW w:w="514" w:type="pct"/>
          </w:tcPr>
          <w:p w14:paraId="1AF1911A"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3,73</w:t>
            </w:r>
          </w:p>
        </w:tc>
        <w:tc>
          <w:tcPr>
            <w:tcW w:w="514" w:type="pct"/>
          </w:tcPr>
          <w:p w14:paraId="4058555B"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63,3%</w:t>
            </w:r>
          </w:p>
        </w:tc>
      </w:tr>
      <w:tr w:rsidR="005C25D6" w:rsidRPr="00D2457C" w14:paraId="5E5DA811" w14:textId="77777777" w:rsidTr="00AF1E0C">
        <w:trPr>
          <w:trHeight w:val="20"/>
        </w:trPr>
        <w:tc>
          <w:tcPr>
            <w:tcW w:w="3972" w:type="pct"/>
          </w:tcPr>
          <w:p w14:paraId="677382FA"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En general, la infraestructura de las salas de clases es adecuada.</w:t>
            </w:r>
          </w:p>
        </w:tc>
        <w:tc>
          <w:tcPr>
            <w:tcW w:w="514" w:type="pct"/>
          </w:tcPr>
          <w:p w14:paraId="771FD736"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3,24</w:t>
            </w:r>
          </w:p>
        </w:tc>
        <w:tc>
          <w:tcPr>
            <w:tcW w:w="514" w:type="pct"/>
          </w:tcPr>
          <w:p w14:paraId="1B903C1D"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46,5%</w:t>
            </w:r>
          </w:p>
        </w:tc>
      </w:tr>
      <w:tr w:rsidR="005C25D6" w:rsidRPr="00D2457C" w14:paraId="1FACE65A" w14:textId="77777777" w:rsidTr="00AF1E0C">
        <w:trPr>
          <w:trHeight w:val="20"/>
        </w:trPr>
        <w:tc>
          <w:tcPr>
            <w:tcW w:w="3972" w:type="pct"/>
          </w:tcPr>
          <w:p w14:paraId="4A058CBC"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Los espacios físicos de la universidad facilitan mi concentración para estudiar o trabajar. (sala nocturna, biblioteca, entre otros.).</w:t>
            </w:r>
          </w:p>
        </w:tc>
        <w:tc>
          <w:tcPr>
            <w:tcW w:w="514" w:type="pct"/>
          </w:tcPr>
          <w:p w14:paraId="3C127930"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4,05</w:t>
            </w:r>
          </w:p>
        </w:tc>
        <w:tc>
          <w:tcPr>
            <w:tcW w:w="514" w:type="pct"/>
          </w:tcPr>
          <w:p w14:paraId="2BBFF4D0"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76,2%</w:t>
            </w:r>
          </w:p>
        </w:tc>
      </w:tr>
      <w:tr w:rsidR="005C25D6" w:rsidRPr="00D2457C" w14:paraId="0276EBE7" w14:textId="77777777" w:rsidTr="00AF1E0C">
        <w:trPr>
          <w:trHeight w:val="20"/>
        </w:trPr>
        <w:tc>
          <w:tcPr>
            <w:tcW w:w="3972" w:type="pct"/>
          </w:tcPr>
          <w:p w14:paraId="470DC5F7"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En general, Intranet cubre los requerimientos académicos y administrativos que necesito (inscripción y evaluación de asignaturas, visualizar calificaciones, solicitud de certificados, información administrativa).</w:t>
            </w:r>
          </w:p>
        </w:tc>
        <w:tc>
          <w:tcPr>
            <w:tcW w:w="514" w:type="pct"/>
          </w:tcPr>
          <w:p w14:paraId="50745E0D"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3,90</w:t>
            </w:r>
          </w:p>
        </w:tc>
        <w:tc>
          <w:tcPr>
            <w:tcW w:w="514" w:type="pct"/>
          </w:tcPr>
          <w:p w14:paraId="1B48E7A0"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73,0%</w:t>
            </w:r>
          </w:p>
        </w:tc>
      </w:tr>
      <w:tr w:rsidR="005C25D6" w:rsidRPr="00D2457C" w14:paraId="772DF0C0" w14:textId="77777777" w:rsidTr="00AF1E0C">
        <w:trPr>
          <w:trHeight w:val="20"/>
        </w:trPr>
        <w:tc>
          <w:tcPr>
            <w:tcW w:w="3972" w:type="pct"/>
          </w:tcPr>
          <w:p w14:paraId="2744BAD0"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Campus virtual es una plataforma útil para el proceso de enseñanza- aprendizaje de los estudiantes.</w:t>
            </w:r>
          </w:p>
        </w:tc>
        <w:tc>
          <w:tcPr>
            <w:tcW w:w="514" w:type="pct"/>
          </w:tcPr>
          <w:p w14:paraId="559432FB"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4,18</w:t>
            </w:r>
          </w:p>
        </w:tc>
        <w:tc>
          <w:tcPr>
            <w:tcW w:w="514" w:type="pct"/>
          </w:tcPr>
          <w:p w14:paraId="31749A0E"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79,3%</w:t>
            </w:r>
          </w:p>
        </w:tc>
      </w:tr>
      <w:tr w:rsidR="005C25D6" w:rsidRPr="00D2457C" w14:paraId="523B5550" w14:textId="77777777" w:rsidTr="00AF1E0C">
        <w:trPr>
          <w:trHeight w:val="20"/>
        </w:trPr>
        <w:tc>
          <w:tcPr>
            <w:tcW w:w="3972" w:type="pct"/>
          </w:tcPr>
          <w:p w14:paraId="3879EDDC"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Estoy satisfecho(a) con los servicios de apoyos académicos entregados por la universidad (PAAU, PIAA, PACE, etc.).</w:t>
            </w:r>
          </w:p>
        </w:tc>
        <w:tc>
          <w:tcPr>
            <w:tcW w:w="514" w:type="pct"/>
          </w:tcPr>
          <w:p w14:paraId="77860121"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4,14</w:t>
            </w:r>
          </w:p>
        </w:tc>
        <w:tc>
          <w:tcPr>
            <w:tcW w:w="514" w:type="pct"/>
          </w:tcPr>
          <w:p w14:paraId="6AE63D5B"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76,1%</w:t>
            </w:r>
          </w:p>
        </w:tc>
      </w:tr>
      <w:tr w:rsidR="005C25D6" w:rsidRPr="00D2457C" w14:paraId="6F136716" w14:textId="77777777" w:rsidTr="00AF1E0C">
        <w:trPr>
          <w:trHeight w:val="20"/>
        </w:trPr>
        <w:tc>
          <w:tcPr>
            <w:tcW w:w="3972" w:type="pct"/>
          </w:tcPr>
          <w:p w14:paraId="4944C90F"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En general, los espacios para actividades prácticas cumplen con las condiciones necesarias (laboratorios, salas de simulación, etc.).</w:t>
            </w:r>
          </w:p>
        </w:tc>
        <w:tc>
          <w:tcPr>
            <w:tcW w:w="514" w:type="pct"/>
          </w:tcPr>
          <w:p w14:paraId="75E43534"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3,92</w:t>
            </w:r>
          </w:p>
        </w:tc>
        <w:tc>
          <w:tcPr>
            <w:tcW w:w="514" w:type="pct"/>
          </w:tcPr>
          <w:p w14:paraId="4EDA09B2"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71,6%</w:t>
            </w:r>
          </w:p>
        </w:tc>
      </w:tr>
      <w:tr w:rsidR="005C25D6" w:rsidRPr="00D2457C" w14:paraId="61CC6A47" w14:textId="77777777" w:rsidTr="00AF1E0C">
        <w:trPr>
          <w:trHeight w:val="20"/>
        </w:trPr>
        <w:tc>
          <w:tcPr>
            <w:tcW w:w="3972" w:type="pct"/>
          </w:tcPr>
          <w:p w14:paraId="56669B78" w14:textId="77777777" w:rsidR="005C25D6" w:rsidRPr="00D2457C" w:rsidRDefault="005C25D6" w:rsidP="002E08F1">
            <w:pPr>
              <w:pStyle w:val="Prrafodelista"/>
              <w:numPr>
                <w:ilvl w:val="0"/>
                <w:numId w:val="17"/>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Los espacios comunes de la universidad se caracterizan por estar limpios y ordenados.</w:t>
            </w:r>
          </w:p>
        </w:tc>
        <w:tc>
          <w:tcPr>
            <w:tcW w:w="514" w:type="pct"/>
          </w:tcPr>
          <w:p w14:paraId="48462175"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4,16</w:t>
            </w:r>
          </w:p>
        </w:tc>
        <w:tc>
          <w:tcPr>
            <w:tcW w:w="514" w:type="pct"/>
          </w:tcPr>
          <w:p w14:paraId="457E5E72" w14:textId="77777777" w:rsidR="005C25D6" w:rsidRPr="00D2457C" w:rsidRDefault="005C25D6" w:rsidP="002E08F1">
            <w:pPr>
              <w:pBdr>
                <w:top w:val="nil"/>
                <w:left w:val="nil"/>
                <w:bottom w:val="nil"/>
                <w:right w:val="nil"/>
                <w:between w:val="nil"/>
              </w:pBdr>
              <w:spacing w:line="240" w:lineRule="auto"/>
              <w:ind w:left="0" w:hanging="2"/>
              <w:jc w:val="center"/>
              <w:rPr>
                <w:rFonts w:eastAsia="Cambria"/>
                <w:color w:val="000000"/>
                <w:sz w:val="16"/>
                <w:szCs w:val="16"/>
              </w:rPr>
            </w:pPr>
            <w:r w:rsidRPr="00D2457C">
              <w:rPr>
                <w:rFonts w:eastAsia="Cambria"/>
                <w:color w:val="000000"/>
                <w:sz w:val="16"/>
                <w:szCs w:val="16"/>
              </w:rPr>
              <w:t>80,4%</w:t>
            </w:r>
          </w:p>
        </w:tc>
      </w:tr>
      <w:tr w:rsidR="00F72EDA" w:rsidRPr="00D2457C" w14:paraId="6F2FA81B" w14:textId="77777777" w:rsidTr="00AF1E0C">
        <w:trPr>
          <w:trHeight w:val="20"/>
        </w:trPr>
        <w:tc>
          <w:tcPr>
            <w:tcW w:w="3972" w:type="pct"/>
            <w:shd w:val="clear" w:color="auto" w:fill="0070C0"/>
            <w:vAlign w:val="bottom"/>
          </w:tcPr>
          <w:p w14:paraId="3221821F" w14:textId="2D781943" w:rsidR="00F72EDA" w:rsidRPr="00D2457C" w:rsidRDefault="00F72EDA" w:rsidP="006834F1">
            <w:pPr>
              <w:pBdr>
                <w:top w:val="nil"/>
                <w:left w:val="nil"/>
                <w:bottom w:val="nil"/>
                <w:right w:val="nil"/>
                <w:between w:val="nil"/>
              </w:pBdr>
              <w:suppressAutoHyphens w:val="0"/>
              <w:spacing w:line="240" w:lineRule="auto"/>
              <w:ind w:leftChars="0" w:left="0" w:firstLineChars="0" w:firstLine="0"/>
              <w:jc w:val="right"/>
              <w:textDirection w:val="lrTb"/>
              <w:textAlignment w:val="auto"/>
              <w:outlineLvl w:val="9"/>
              <w:rPr>
                <w:rFonts w:eastAsia="Cambria"/>
                <w:b/>
                <w:bCs/>
                <w:color w:val="FFFFFF" w:themeColor="background1"/>
                <w:sz w:val="16"/>
                <w:szCs w:val="16"/>
              </w:rPr>
            </w:pPr>
            <w:r w:rsidRPr="00D2457C">
              <w:rPr>
                <w:rFonts w:eastAsia="Cambria"/>
                <w:b/>
                <w:bCs/>
                <w:color w:val="FFFFFF" w:themeColor="background1"/>
                <w:sz w:val="16"/>
                <w:szCs w:val="16"/>
              </w:rPr>
              <w:t>Media de la dimensión</w:t>
            </w:r>
          </w:p>
        </w:tc>
        <w:tc>
          <w:tcPr>
            <w:tcW w:w="1028" w:type="pct"/>
            <w:gridSpan w:val="2"/>
            <w:shd w:val="clear" w:color="auto" w:fill="0070C0"/>
            <w:vAlign w:val="center"/>
          </w:tcPr>
          <w:p w14:paraId="1EBA6133" w14:textId="4475F6A7" w:rsidR="00F72EDA" w:rsidRPr="00D2457C" w:rsidRDefault="00F72EDA" w:rsidP="006834F1">
            <w:pPr>
              <w:pBdr>
                <w:top w:val="nil"/>
                <w:left w:val="nil"/>
                <w:bottom w:val="nil"/>
                <w:right w:val="nil"/>
                <w:between w:val="nil"/>
              </w:pBdr>
              <w:spacing w:line="240" w:lineRule="auto"/>
              <w:ind w:left="0" w:hanging="2"/>
              <w:jc w:val="center"/>
              <w:rPr>
                <w:rFonts w:eastAsia="Cambria"/>
                <w:b/>
                <w:bCs/>
                <w:color w:val="FFFFFF" w:themeColor="background1"/>
                <w:sz w:val="16"/>
                <w:szCs w:val="16"/>
              </w:rPr>
            </w:pPr>
            <w:r w:rsidRPr="00D2457C">
              <w:rPr>
                <w:rFonts w:eastAsia="Cambria"/>
                <w:b/>
                <w:bCs/>
                <w:color w:val="FFFFFF" w:themeColor="background1"/>
                <w:sz w:val="16"/>
                <w:szCs w:val="16"/>
              </w:rPr>
              <w:t>3,92</w:t>
            </w:r>
          </w:p>
        </w:tc>
      </w:tr>
    </w:tbl>
    <w:p w14:paraId="18342B00" w14:textId="120E46C4" w:rsidR="00F72EDA" w:rsidRPr="00AF1E0C" w:rsidRDefault="00D863BA" w:rsidP="00AF1E0C">
      <w:pPr>
        <w:pBdr>
          <w:top w:val="nil"/>
          <w:left w:val="nil"/>
          <w:bottom w:val="nil"/>
          <w:right w:val="nil"/>
          <w:between w:val="nil"/>
        </w:pBdr>
        <w:spacing w:after="0" w:line="240" w:lineRule="auto"/>
        <w:ind w:leftChars="0" w:left="0" w:firstLineChars="0" w:firstLine="0"/>
        <w:jc w:val="center"/>
        <w:rPr>
          <w:rFonts w:eastAsia="Cambria"/>
          <w:color w:val="000000"/>
          <w:sz w:val="16"/>
          <w:szCs w:val="16"/>
        </w:rPr>
      </w:pPr>
      <w:r w:rsidRPr="00D2457C">
        <w:rPr>
          <w:rFonts w:eastAsia="Cambria"/>
          <w:color w:val="000000"/>
          <w:sz w:val="16"/>
          <w:szCs w:val="16"/>
        </w:rPr>
        <w:t>Fuente: Encuesta de Satisfacción Estudiantil sobre Experiencia Universitaria (2022)</w:t>
      </w:r>
    </w:p>
    <w:p w14:paraId="0BDCAFB3" w14:textId="77777777" w:rsidR="00D863BA" w:rsidRPr="00D2457C" w:rsidRDefault="00D863BA" w:rsidP="00D2457C">
      <w:pPr>
        <w:pBdr>
          <w:top w:val="nil"/>
          <w:left w:val="nil"/>
          <w:bottom w:val="nil"/>
          <w:right w:val="nil"/>
          <w:between w:val="nil"/>
        </w:pBdr>
        <w:spacing w:after="0" w:line="240" w:lineRule="auto"/>
        <w:ind w:left="0" w:hanging="2"/>
        <w:rPr>
          <w:rFonts w:eastAsia="Cambria"/>
          <w:color w:val="000000"/>
          <w:sz w:val="24"/>
          <w:szCs w:val="24"/>
        </w:rPr>
      </w:pPr>
      <w:r w:rsidRPr="00D2457C">
        <w:rPr>
          <w:rFonts w:eastAsia="Cambria"/>
          <w:color w:val="000000"/>
          <w:sz w:val="24"/>
          <w:szCs w:val="24"/>
        </w:rPr>
        <w:t>Por otra parte, en la siguiente tabla se presentan los resultados obtenidos para la dimensión “Convivencia”:</w:t>
      </w:r>
    </w:p>
    <w:p w14:paraId="2C4D25B8" w14:textId="0EAC7F49" w:rsidR="00D863BA" w:rsidRPr="006834F1" w:rsidRDefault="00D863BA" w:rsidP="00D863BA">
      <w:pPr>
        <w:pStyle w:val="IndiceTablas"/>
        <w:ind w:hanging="2"/>
        <w:rPr>
          <w:rFonts w:ascii="Times New Roman" w:eastAsia="Cambria" w:hAnsi="Times New Roman" w:cs="Times New Roman"/>
          <w:sz w:val="16"/>
          <w:szCs w:val="16"/>
        </w:rPr>
      </w:pPr>
      <w:bookmarkStart w:id="13" w:name="_heading=h.2grqrue" w:colFirst="0" w:colLast="0"/>
      <w:bookmarkStart w:id="14" w:name="_Toc111716084"/>
      <w:bookmarkEnd w:id="13"/>
      <w:r w:rsidRPr="006834F1">
        <w:rPr>
          <w:rFonts w:ascii="Times New Roman" w:eastAsia="Cambria" w:hAnsi="Times New Roman" w:cs="Times New Roman"/>
          <w:sz w:val="16"/>
          <w:szCs w:val="16"/>
        </w:rPr>
        <w:t xml:space="preserve">Tabla </w:t>
      </w:r>
      <w:r w:rsidR="00997987">
        <w:rPr>
          <w:rFonts w:ascii="Times New Roman" w:eastAsia="Cambria" w:hAnsi="Times New Roman" w:cs="Times New Roman"/>
          <w:sz w:val="16"/>
          <w:szCs w:val="16"/>
        </w:rPr>
        <w:t>4</w:t>
      </w:r>
      <w:r w:rsidRPr="006834F1">
        <w:rPr>
          <w:rFonts w:ascii="Times New Roman" w:eastAsia="Cambria" w:hAnsi="Times New Roman" w:cs="Times New Roman"/>
          <w:sz w:val="16"/>
          <w:szCs w:val="16"/>
        </w:rPr>
        <w:t xml:space="preserve">. Grado de </w:t>
      </w:r>
      <w:r w:rsidR="00997987">
        <w:rPr>
          <w:rFonts w:ascii="Times New Roman" w:eastAsia="Cambria" w:hAnsi="Times New Roman" w:cs="Times New Roman"/>
          <w:sz w:val="16"/>
          <w:szCs w:val="16"/>
        </w:rPr>
        <w:t>satisfacción</w:t>
      </w:r>
      <w:r w:rsidRPr="006834F1">
        <w:rPr>
          <w:rFonts w:ascii="Times New Roman" w:eastAsia="Cambria" w:hAnsi="Times New Roman" w:cs="Times New Roman"/>
          <w:sz w:val="16"/>
          <w:szCs w:val="16"/>
        </w:rPr>
        <w:t xml:space="preserve"> para la dimensión “Convivencia”</w:t>
      </w:r>
      <w:bookmarkEnd w:id="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25"/>
        <w:gridCol w:w="970"/>
        <w:gridCol w:w="1034"/>
      </w:tblGrid>
      <w:tr w:rsidR="00997987" w:rsidRPr="006834F1" w14:paraId="7B9D2E73" w14:textId="77777777" w:rsidTr="000A75FA">
        <w:tc>
          <w:tcPr>
            <w:tcW w:w="3972" w:type="pct"/>
            <w:shd w:val="clear" w:color="auto" w:fill="002060"/>
            <w:vAlign w:val="center"/>
          </w:tcPr>
          <w:p w14:paraId="26ACC675" w14:textId="77777777" w:rsidR="00997987" w:rsidRPr="006834F1" w:rsidRDefault="00997987" w:rsidP="00997987">
            <w:pPr>
              <w:pBdr>
                <w:top w:val="nil"/>
                <w:left w:val="nil"/>
                <w:bottom w:val="nil"/>
                <w:right w:val="nil"/>
                <w:between w:val="nil"/>
              </w:pBdr>
              <w:ind w:left="0" w:hanging="2"/>
              <w:jc w:val="center"/>
              <w:rPr>
                <w:rFonts w:eastAsia="Cambria"/>
                <w:b/>
                <w:color w:val="FFFFFF"/>
                <w:sz w:val="16"/>
                <w:szCs w:val="16"/>
              </w:rPr>
            </w:pPr>
            <w:r w:rsidRPr="006834F1">
              <w:rPr>
                <w:rFonts w:eastAsia="Cambria"/>
                <w:b/>
                <w:color w:val="FFFFFF"/>
                <w:sz w:val="16"/>
                <w:szCs w:val="16"/>
              </w:rPr>
              <w:t>Convivencia</w:t>
            </w:r>
          </w:p>
        </w:tc>
        <w:tc>
          <w:tcPr>
            <w:tcW w:w="516" w:type="pct"/>
            <w:shd w:val="clear" w:color="auto" w:fill="002060"/>
            <w:vAlign w:val="center"/>
          </w:tcPr>
          <w:p w14:paraId="1A85942C" w14:textId="77777777" w:rsidR="00997987" w:rsidRPr="006834F1" w:rsidRDefault="00997987" w:rsidP="00997987">
            <w:pPr>
              <w:pBdr>
                <w:top w:val="nil"/>
                <w:left w:val="nil"/>
                <w:bottom w:val="nil"/>
                <w:right w:val="nil"/>
                <w:between w:val="nil"/>
              </w:pBdr>
              <w:ind w:left="0" w:hanging="2"/>
              <w:jc w:val="center"/>
              <w:rPr>
                <w:rFonts w:eastAsia="Cambria"/>
                <w:b/>
                <w:color w:val="FFFFFF"/>
                <w:sz w:val="16"/>
                <w:szCs w:val="16"/>
              </w:rPr>
            </w:pPr>
            <w:r w:rsidRPr="006834F1">
              <w:rPr>
                <w:rFonts w:eastAsia="Cambria"/>
                <w:b/>
                <w:color w:val="FFFFFF"/>
                <w:sz w:val="16"/>
                <w:szCs w:val="16"/>
              </w:rPr>
              <w:t>Media</w:t>
            </w:r>
          </w:p>
        </w:tc>
        <w:tc>
          <w:tcPr>
            <w:tcW w:w="512" w:type="pct"/>
            <w:shd w:val="clear" w:color="auto" w:fill="002060"/>
            <w:vAlign w:val="center"/>
          </w:tcPr>
          <w:p w14:paraId="2F41E72E" w14:textId="7030CA67" w:rsidR="00997987" w:rsidRPr="006834F1" w:rsidRDefault="00997987" w:rsidP="00997987">
            <w:pPr>
              <w:pBdr>
                <w:top w:val="nil"/>
                <w:left w:val="nil"/>
                <w:bottom w:val="nil"/>
                <w:right w:val="nil"/>
                <w:between w:val="nil"/>
              </w:pBdr>
              <w:ind w:left="0" w:hanging="2"/>
              <w:jc w:val="center"/>
              <w:rPr>
                <w:rFonts w:eastAsia="Cambria"/>
                <w:b/>
                <w:color w:val="FFFFFF"/>
                <w:sz w:val="16"/>
                <w:szCs w:val="16"/>
              </w:rPr>
            </w:pPr>
            <w:r w:rsidRPr="00D2457C">
              <w:rPr>
                <w:rFonts w:eastAsia="Cambria"/>
                <w:b/>
                <w:color w:val="FFFFFF"/>
                <w:sz w:val="16"/>
                <w:szCs w:val="16"/>
              </w:rPr>
              <w:t xml:space="preserve">% </w:t>
            </w:r>
            <w:r>
              <w:rPr>
                <w:rFonts w:eastAsia="Cambria"/>
                <w:b/>
                <w:color w:val="FFFFFF"/>
                <w:sz w:val="16"/>
                <w:szCs w:val="16"/>
              </w:rPr>
              <w:t>Satisfacción</w:t>
            </w:r>
          </w:p>
        </w:tc>
      </w:tr>
      <w:tr w:rsidR="000A75FA" w:rsidRPr="006834F1" w14:paraId="1CF09719" w14:textId="77777777" w:rsidTr="007A3A43">
        <w:trPr>
          <w:trHeight w:val="237"/>
        </w:trPr>
        <w:tc>
          <w:tcPr>
            <w:tcW w:w="3972" w:type="pct"/>
            <w:vAlign w:val="center"/>
          </w:tcPr>
          <w:p w14:paraId="580BF799"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promueve un ambiente favorable para la convivencia, bienestar y calidad de vida de los/as estudiantes en los espacios de la universidad.</w:t>
            </w:r>
          </w:p>
        </w:tc>
        <w:tc>
          <w:tcPr>
            <w:tcW w:w="516" w:type="pct"/>
            <w:vAlign w:val="center"/>
          </w:tcPr>
          <w:p w14:paraId="08C79F7E"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4,13</w:t>
            </w:r>
          </w:p>
        </w:tc>
        <w:tc>
          <w:tcPr>
            <w:tcW w:w="512" w:type="pct"/>
            <w:vAlign w:val="center"/>
          </w:tcPr>
          <w:p w14:paraId="6D3E607D"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81,1%</w:t>
            </w:r>
          </w:p>
        </w:tc>
      </w:tr>
      <w:tr w:rsidR="000A75FA" w:rsidRPr="006834F1" w14:paraId="22E10270" w14:textId="77777777" w:rsidTr="007A3A43">
        <w:trPr>
          <w:trHeight w:val="56"/>
        </w:trPr>
        <w:tc>
          <w:tcPr>
            <w:tcW w:w="3972" w:type="pct"/>
          </w:tcPr>
          <w:p w14:paraId="54E16B27" w14:textId="77777777" w:rsidR="000A75FA" w:rsidRPr="00D2457C" w:rsidRDefault="000A75FA" w:rsidP="007A3A43">
            <w:pPr>
              <w:pStyle w:val="Prrafodelista"/>
              <w:numPr>
                <w:ilvl w:val="0"/>
                <w:numId w:val="22"/>
              </w:numPr>
              <w:pBdr>
                <w:top w:val="nil"/>
                <w:left w:val="nil"/>
                <w:bottom w:val="nil"/>
                <w:right w:val="nil"/>
                <w:between w:val="nil"/>
              </w:pBdr>
              <w:suppressAutoHyphens w:val="0"/>
              <w:spacing w:line="240" w:lineRule="auto"/>
              <w:ind w:leftChars="0" w:firstLineChars="0"/>
              <w:jc w:val="left"/>
              <w:textDirection w:val="lrTb"/>
              <w:textAlignment w:val="auto"/>
              <w:outlineLvl w:val="9"/>
              <w:rPr>
                <w:rFonts w:eastAsia="Cambria"/>
                <w:color w:val="000000"/>
                <w:sz w:val="16"/>
                <w:szCs w:val="16"/>
              </w:rPr>
            </w:pPr>
            <w:r w:rsidRPr="00D2457C">
              <w:rPr>
                <w:rFonts w:eastAsia="Cambria"/>
                <w:color w:val="000000"/>
                <w:sz w:val="16"/>
                <w:szCs w:val="16"/>
              </w:rPr>
              <w:lastRenderedPageBreak/>
              <w:t>Existen normas de convivencia claras para generar un buen ambiente en el aula.</w:t>
            </w:r>
          </w:p>
        </w:tc>
        <w:tc>
          <w:tcPr>
            <w:tcW w:w="516" w:type="pct"/>
            <w:vAlign w:val="center"/>
          </w:tcPr>
          <w:p w14:paraId="205367F7"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4,13</w:t>
            </w:r>
          </w:p>
        </w:tc>
        <w:tc>
          <w:tcPr>
            <w:tcW w:w="512" w:type="pct"/>
            <w:vAlign w:val="center"/>
          </w:tcPr>
          <w:p w14:paraId="3AC8377D"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77,5%</w:t>
            </w:r>
          </w:p>
        </w:tc>
      </w:tr>
      <w:tr w:rsidR="000A75FA" w:rsidRPr="006834F1" w14:paraId="1940EE58" w14:textId="77777777" w:rsidTr="00266BD9">
        <w:trPr>
          <w:trHeight w:val="56"/>
        </w:trPr>
        <w:tc>
          <w:tcPr>
            <w:tcW w:w="3972" w:type="pct"/>
            <w:vAlign w:val="center"/>
          </w:tcPr>
          <w:p w14:paraId="2D274839"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promueve la importancia que tiene el trato amable y respetuoso por parte de docentes, funcionarios/as, estudiantes.</w:t>
            </w:r>
          </w:p>
        </w:tc>
        <w:tc>
          <w:tcPr>
            <w:tcW w:w="516" w:type="pct"/>
            <w:vAlign w:val="center"/>
          </w:tcPr>
          <w:p w14:paraId="483AC580"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3,90</w:t>
            </w:r>
          </w:p>
        </w:tc>
        <w:tc>
          <w:tcPr>
            <w:tcW w:w="512" w:type="pct"/>
            <w:vAlign w:val="center"/>
          </w:tcPr>
          <w:p w14:paraId="11B79B4A"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68,7%</w:t>
            </w:r>
          </w:p>
        </w:tc>
      </w:tr>
      <w:tr w:rsidR="000A75FA" w:rsidRPr="006834F1" w14:paraId="79C077E2" w14:textId="77777777" w:rsidTr="00366947">
        <w:trPr>
          <w:trHeight w:val="48"/>
        </w:trPr>
        <w:tc>
          <w:tcPr>
            <w:tcW w:w="3972" w:type="pct"/>
            <w:vAlign w:val="center"/>
          </w:tcPr>
          <w:p w14:paraId="6B045792"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*Me he sentido excluido de actividades porque otros/as compañeros/as no me han dejado participar en ellas.</w:t>
            </w:r>
          </w:p>
        </w:tc>
        <w:tc>
          <w:tcPr>
            <w:tcW w:w="516" w:type="pct"/>
            <w:vAlign w:val="center"/>
          </w:tcPr>
          <w:p w14:paraId="11A915A2" w14:textId="74DC8748" w:rsidR="000A75FA" w:rsidRPr="006834F1" w:rsidRDefault="000A75FA" w:rsidP="000A75FA">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4,39 (1,76)</w:t>
            </w:r>
          </w:p>
        </w:tc>
        <w:tc>
          <w:tcPr>
            <w:tcW w:w="512" w:type="pct"/>
            <w:vAlign w:val="center"/>
          </w:tcPr>
          <w:p w14:paraId="1EAF9470"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8,4%</w:t>
            </w:r>
          </w:p>
        </w:tc>
      </w:tr>
      <w:tr w:rsidR="000A75FA" w:rsidRPr="006834F1" w14:paraId="6AB590F4" w14:textId="77777777" w:rsidTr="006834F1">
        <w:trPr>
          <w:trHeight w:val="48"/>
        </w:trPr>
        <w:tc>
          <w:tcPr>
            <w:tcW w:w="3972" w:type="pct"/>
            <w:vAlign w:val="center"/>
          </w:tcPr>
          <w:p w14:paraId="67C41196"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*Me he sentido discriminado por mis compañeros/as.</w:t>
            </w:r>
          </w:p>
        </w:tc>
        <w:tc>
          <w:tcPr>
            <w:tcW w:w="516" w:type="pct"/>
            <w:vAlign w:val="center"/>
          </w:tcPr>
          <w:p w14:paraId="405C653D" w14:textId="4075AB3E" w:rsidR="000A75FA" w:rsidRPr="006834F1" w:rsidRDefault="000A75FA" w:rsidP="000A75FA">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4,46 (1,54)</w:t>
            </w:r>
          </w:p>
        </w:tc>
        <w:tc>
          <w:tcPr>
            <w:tcW w:w="512" w:type="pct"/>
            <w:vAlign w:val="center"/>
          </w:tcPr>
          <w:p w14:paraId="33A4B25F"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7,1%</w:t>
            </w:r>
          </w:p>
        </w:tc>
      </w:tr>
      <w:tr w:rsidR="000A75FA" w:rsidRPr="006834F1" w14:paraId="4012B912" w14:textId="77777777" w:rsidTr="00366947">
        <w:trPr>
          <w:trHeight w:val="48"/>
        </w:trPr>
        <w:tc>
          <w:tcPr>
            <w:tcW w:w="3972" w:type="pct"/>
            <w:vAlign w:val="center"/>
          </w:tcPr>
          <w:p w14:paraId="5286BFB9"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*Me he sentido discriminado por los/as docentes de la universidad.</w:t>
            </w:r>
          </w:p>
        </w:tc>
        <w:tc>
          <w:tcPr>
            <w:tcW w:w="516" w:type="pct"/>
            <w:vAlign w:val="center"/>
          </w:tcPr>
          <w:p w14:paraId="12BDE633" w14:textId="4DAFA67B" w:rsidR="000A75FA" w:rsidRPr="006834F1" w:rsidRDefault="000A75FA" w:rsidP="000A75FA">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4,29 (1,71)</w:t>
            </w:r>
          </w:p>
        </w:tc>
        <w:tc>
          <w:tcPr>
            <w:tcW w:w="512" w:type="pct"/>
            <w:vAlign w:val="center"/>
          </w:tcPr>
          <w:p w14:paraId="1A34EDF3"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10,7%</w:t>
            </w:r>
          </w:p>
        </w:tc>
      </w:tr>
      <w:tr w:rsidR="000A75FA" w:rsidRPr="006834F1" w14:paraId="52688595" w14:textId="77777777" w:rsidTr="000A75FA">
        <w:tc>
          <w:tcPr>
            <w:tcW w:w="3972" w:type="pct"/>
            <w:vAlign w:val="center"/>
          </w:tcPr>
          <w:p w14:paraId="2952B731"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*Me he sentido discriminado por los/as funcionarios/as de la universidad.</w:t>
            </w:r>
          </w:p>
        </w:tc>
        <w:tc>
          <w:tcPr>
            <w:tcW w:w="516" w:type="pct"/>
            <w:vAlign w:val="center"/>
          </w:tcPr>
          <w:p w14:paraId="7A472EEA" w14:textId="20FBA079" w:rsidR="000A75FA" w:rsidRPr="006834F1" w:rsidRDefault="000A75FA" w:rsidP="000A75FA">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4,58 (1,42)</w:t>
            </w:r>
          </w:p>
        </w:tc>
        <w:tc>
          <w:tcPr>
            <w:tcW w:w="512" w:type="pct"/>
            <w:vAlign w:val="center"/>
          </w:tcPr>
          <w:p w14:paraId="17DFCBB5"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6,5%</w:t>
            </w:r>
          </w:p>
        </w:tc>
      </w:tr>
      <w:tr w:rsidR="000A75FA" w:rsidRPr="006834F1" w14:paraId="1F44ABFF" w14:textId="77777777" w:rsidTr="000A75FA">
        <w:tc>
          <w:tcPr>
            <w:tcW w:w="3972" w:type="pct"/>
            <w:vAlign w:val="center"/>
          </w:tcPr>
          <w:p w14:paraId="0ED985DD"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En el aula se promueve la resolución pacífica de conflictos.</w:t>
            </w:r>
          </w:p>
        </w:tc>
        <w:tc>
          <w:tcPr>
            <w:tcW w:w="516" w:type="pct"/>
            <w:vAlign w:val="center"/>
          </w:tcPr>
          <w:p w14:paraId="45AC6389"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4,00</w:t>
            </w:r>
          </w:p>
        </w:tc>
        <w:tc>
          <w:tcPr>
            <w:tcW w:w="512" w:type="pct"/>
            <w:vAlign w:val="center"/>
          </w:tcPr>
          <w:p w14:paraId="0173491A"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70,2%</w:t>
            </w:r>
          </w:p>
        </w:tc>
      </w:tr>
      <w:tr w:rsidR="000A75FA" w:rsidRPr="006834F1" w14:paraId="6E954B11" w14:textId="77777777" w:rsidTr="006834F1">
        <w:trPr>
          <w:trHeight w:val="48"/>
        </w:trPr>
        <w:tc>
          <w:tcPr>
            <w:tcW w:w="3972" w:type="pct"/>
            <w:vAlign w:val="center"/>
          </w:tcPr>
          <w:p w14:paraId="28870824"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Existe respeto hacia el trabajo del docente y de los propios compañeros de aula.</w:t>
            </w:r>
          </w:p>
        </w:tc>
        <w:tc>
          <w:tcPr>
            <w:tcW w:w="516" w:type="pct"/>
            <w:vAlign w:val="center"/>
          </w:tcPr>
          <w:p w14:paraId="1DA4BD11"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4,33</w:t>
            </w:r>
          </w:p>
        </w:tc>
        <w:tc>
          <w:tcPr>
            <w:tcW w:w="512" w:type="pct"/>
            <w:vAlign w:val="center"/>
          </w:tcPr>
          <w:p w14:paraId="53F5FE88"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86,8%</w:t>
            </w:r>
          </w:p>
        </w:tc>
      </w:tr>
      <w:tr w:rsidR="000A75FA" w:rsidRPr="006834F1" w14:paraId="20506AA0" w14:textId="77777777" w:rsidTr="006834F1">
        <w:trPr>
          <w:trHeight w:val="74"/>
        </w:trPr>
        <w:tc>
          <w:tcPr>
            <w:tcW w:w="3972" w:type="pct"/>
            <w:vAlign w:val="center"/>
          </w:tcPr>
          <w:p w14:paraId="706DBA11"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En general los docentes tienen un trato de empatía y amabilidad con los estudiantes.</w:t>
            </w:r>
          </w:p>
        </w:tc>
        <w:tc>
          <w:tcPr>
            <w:tcW w:w="516" w:type="pct"/>
            <w:vAlign w:val="center"/>
          </w:tcPr>
          <w:p w14:paraId="4C054C5E"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3,79</w:t>
            </w:r>
          </w:p>
        </w:tc>
        <w:tc>
          <w:tcPr>
            <w:tcW w:w="512" w:type="pct"/>
            <w:vAlign w:val="center"/>
          </w:tcPr>
          <w:p w14:paraId="024F7D88"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68,3%</w:t>
            </w:r>
          </w:p>
        </w:tc>
      </w:tr>
      <w:tr w:rsidR="000A75FA" w:rsidRPr="006834F1" w14:paraId="42C023B4" w14:textId="77777777" w:rsidTr="000A75FA">
        <w:tc>
          <w:tcPr>
            <w:tcW w:w="3972" w:type="pct"/>
            <w:vAlign w:val="center"/>
          </w:tcPr>
          <w:p w14:paraId="48173F69" w14:textId="77777777" w:rsidR="000A75FA" w:rsidRPr="00D2457C" w:rsidRDefault="000A75FA" w:rsidP="00D2457C">
            <w:pPr>
              <w:pStyle w:val="Prrafodelista"/>
              <w:numPr>
                <w:ilvl w:val="0"/>
                <w:numId w:val="22"/>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Me siento parte de la comunidad educativa en la Universidad de La Frontera.</w:t>
            </w:r>
          </w:p>
        </w:tc>
        <w:tc>
          <w:tcPr>
            <w:tcW w:w="516" w:type="pct"/>
            <w:vAlign w:val="center"/>
          </w:tcPr>
          <w:p w14:paraId="781CE5B7"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4,01</w:t>
            </w:r>
          </w:p>
        </w:tc>
        <w:tc>
          <w:tcPr>
            <w:tcW w:w="512" w:type="pct"/>
            <w:vAlign w:val="center"/>
          </w:tcPr>
          <w:p w14:paraId="07A59465" w14:textId="77777777" w:rsidR="000A75FA" w:rsidRPr="006834F1" w:rsidRDefault="000A75FA" w:rsidP="005902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74,1%</w:t>
            </w:r>
          </w:p>
        </w:tc>
      </w:tr>
      <w:tr w:rsidR="000A75FA" w:rsidRPr="006834F1" w14:paraId="15F71B60" w14:textId="77777777" w:rsidTr="000A75FA">
        <w:tc>
          <w:tcPr>
            <w:tcW w:w="3972" w:type="pct"/>
            <w:shd w:val="clear" w:color="auto" w:fill="0070C0"/>
            <w:vAlign w:val="bottom"/>
          </w:tcPr>
          <w:p w14:paraId="4AB14DFE" w14:textId="178445A6" w:rsidR="000A75FA" w:rsidRPr="006834F1" w:rsidRDefault="000A75FA" w:rsidP="000A75FA">
            <w:pPr>
              <w:pBdr>
                <w:top w:val="nil"/>
                <w:left w:val="nil"/>
                <w:bottom w:val="nil"/>
                <w:right w:val="nil"/>
                <w:between w:val="nil"/>
              </w:pBdr>
              <w:suppressAutoHyphens w:val="0"/>
              <w:spacing w:line="240" w:lineRule="auto"/>
              <w:ind w:leftChars="0" w:left="0" w:firstLineChars="0" w:hanging="2"/>
              <w:jc w:val="right"/>
              <w:textDirection w:val="lrTb"/>
              <w:textAlignment w:val="auto"/>
              <w:outlineLvl w:val="9"/>
              <w:rPr>
                <w:rFonts w:eastAsia="Cambria"/>
                <w:color w:val="000000"/>
                <w:sz w:val="16"/>
                <w:szCs w:val="16"/>
              </w:rPr>
            </w:pPr>
            <w:r w:rsidRPr="006834F1">
              <w:rPr>
                <w:rFonts w:eastAsia="Cambria"/>
                <w:b/>
                <w:bCs/>
                <w:color w:val="FFFFFF" w:themeColor="background1"/>
                <w:sz w:val="16"/>
                <w:szCs w:val="16"/>
              </w:rPr>
              <w:t>Media de la dimensión</w:t>
            </w:r>
          </w:p>
        </w:tc>
        <w:tc>
          <w:tcPr>
            <w:tcW w:w="1028" w:type="pct"/>
            <w:gridSpan w:val="2"/>
            <w:shd w:val="clear" w:color="auto" w:fill="0070C0"/>
            <w:vAlign w:val="center"/>
          </w:tcPr>
          <w:p w14:paraId="0BD8C480" w14:textId="5B59B027" w:rsidR="000A75FA" w:rsidRPr="006834F1" w:rsidRDefault="000A75FA" w:rsidP="000A75FA">
            <w:pPr>
              <w:pBdr>
                <w:top w:val="nil"/>
                <w:left w:val="nil"/>
                <w:bottom w:val="nil"/>
                <w:right w:val="nil"/>
                <w:between w:val="nil"/>
              </w:pBdr>
              <w:ind w:left="0" w:hanging="2"/>
              <w:jc w:val="center"/>
              <w:rPr>
                <w:rFonts w:eastAsia="Cambria"/>
                <w:color w:val="000000"/>
                <w:sz w:val="16"/>
                <w:szCs w:val="16"/>
              </w:rPr>
            </w:pPr>
            <w:r w:rsidRPr="006834F1">
              <w:rPr>
                <w:rFonts w:eastAsia="Cambria"/>
                <w:b/>
                <w:bCs/>
                <w:color w:val="FFFFFF" w:themeColor="background1"/>
                <w:sz w:val="16"/>
                <w:szCs w:val="16"/>
              </w:rPr>
              <w:t>4,23</w:t>
            </w:r>
          </w:p>
        </w:tc>
      </w:tr>
    </w:tbl>
    <w:p w14:paraId="0BFA6E80" w14:textId="77777777" w:rsidR="00D863BA" w:rsidRPr="006834F1" w:rsidRDefault="00D863BA" w:rsidP="000A75FA">
      <w:pPr>
        <w:pBdr>
          <w:top w:val="nil"/>
          <w:left w:val="nil"/>
          <w:bottom w:val="nil"/>
          <w:right w:val="nil"/>
          <w:between w:val="nil"/>
        </w:pBdr>
        <w:spacing w:after="0" w:line="240" w:lineRule="auto"/>
        <w:ind w:leftChars="0" w:left="0" w:firstLineChars="0" w:firstLine="0"/>
        <w:jc w:val="center"/>
        <w:rPr>
          <w:rFonts w:eastAsia="Cambria"/>
          <w:color w:val="000000"/>
          <w:sz w:val="16"/>
          <w:szCs w:val="16"/>
        </w:rPr>
      </w:pPr>
      <w:bookmarkStart w:id="15" w:name="_heading=h.vx1227" w:colFirst="0" w:colLast="0"/>
      <w:bookmarkEnd w:id="15"/>
      <w:r w:rsidRPr="006834F1">
        <w:rPr>
          <w:rFonts w:eastAsia="Cambria"/>
          <w:color w:val="000000"/>
          <w:sz w:val="16"/>
          <w:szCs w:val="16"/>
        </w:rPr>
        <w:t>Fuente: Encuesta de Satisfacción Estudiantil sobre Experiencia Universitaria (2022)</w:t>
      </w:r>
    </w:p>
    <w:p w14:paraId="0BF27B4B" w14:textId="1E9E1D6A" w:rsidR="00D863BA" w:rsidRDefault="00D863BA" w:rsidP="004113A5">
      <w:pPr>
        <w:pBdr>
          <w:top w:val="nil"/>
          <w:left w:val="nil"/>
          <w:bottom w:val="nil"/>
          <w:right w:val="nil"/>
          <w:between w:val="nil"/>
        </w:pBdr>
        <w:spacing w:after="0" w:line="240" w:lineRule="auto"/>
        <w:ind w:left="0" w:hanging="2"/>
        <w:jc w:val="center"/>
        <w:rPr>
          <w:rFonts w:eastAsia="Cambria"/>
          <w:b/>
          <w:color w:val="000000"/>
          <w:sz w:val="16"/>
          <w:szCs w:val="16"/>
        </w:rPr>
      </w:pPr>
      <w:r w:rsidRPr="006834F1">
        <w:rPr>
          <w:rFonts w:eastAsia="Cambria"/>
          <w:b/>
          <w:color w:val="000000"/>
          <w:sz w:val="16"/>
          <w:szCs w:val="16"/>
        </w:rPr>
        <w:t>*Dado que se trata de ítems negativos, la media de la escala fue transformada a positivo para evitar el sesgo en el cálculo de la media de la dimensión.</w:t>
      </w:r>
    </w:p>
    <w:p w14:paraId="32DB34F0" w14:textId="77777777" w:rsidR="004113A5" w:rsidRPr="004113A5" w:rsidRDefault="004113A5" w:rsidP="004113A5">
      <w:pPr>
        <w:pBdr>
          <w:top w:val="nil"/>
          <w:left w:val="nil"/>
          <w:bottom w:val="nil"/>
          <w:right w:val="nil"/>
          <w:between w:val="nil"/>
        </w:pBdr>
        <w:spacing w:after="0" w:line="240" w:lineRule="auto"/>
        <w:ind w:left="0" w:hanging="2"/>
        <w:jc w:val="center"/>
        <w:rPr>
          <w:rFonts w:eastAsia="Cambria"/>
          <w:b/>
          <w:color w:val="000000"/>
          <w:sz w:val="16"/>
          <w:szCs w:val="16"/>
        </w:rPr>
      </w:pPr>
    </w:p>
    <w:p w14:paraId="70709647" w14:textId="5962A1FE" w:rsidR="00D863BA" w:rsidRPr="006834F1" w:rsidRDefault="00D863BA" w:rsidP="006834F1">
      <w:pPr>
        <w:spacing w:line="240" w:lineRule="auto"/>
        <w:ind w:left="0" w:hanging="2"/>
        <w:rPr>
          <w:rFonts w:eastAsia="Cambria"/>
          <w:sz w:val="24"/>
          <w:szCs w:val="24"/>
        </w:rPr>
      </w:pPr>
      <w:r w:rsidRPr="006834F1">
        <w:rPr>
          <w:rFonts w:eastAsia="Cambria"/>
          <w:sz w:val="24"/>
          <w:szCs w:val="24"/>
        </w:rPr>
        <w:t>Como se puede observar, la media general de los ítems que componen esta dimensión, alcanza un valor de 4,23 de un máximo de 5 puntos. Con estos resultados se evidencia que los estudiantes consideran que la institución presenta, en general, un buen clima de convivencia, lo cual se refleja en la puntuación promedio de cada ítem (igual o superior a 3,7)</w:t>
      </w:r>
      <w:r w:rsidR="001A25FB">
        <w:rPr>
          <w:rFonts w:eastAsia="Cambria"/>
          <w:sz w:val="24"/>
          <w:szCs w:val="24"/>
        </w:rPr>
        <w:t>.</w:t>
      </w:r>
    </w:p>
    <w:p w14:paraId="53FE0847" w14:textId="3FAB6466" w:rsidR="00D863BA" w:rsidRPr="006834F1" w:rsidRDefault="00D863BA" w:rsidP="006834F1">
      <w:pPr>
        <w:pBdr>
          <w:top w:val="nil"/>
          <w:left w:val="nil"/>
          <w:bottom w:val="nil"/>
          <w:right w:val="nil"/>
          <w:between w:val="nil"/>
        </w:pBdr>
        <w:spacing w:line="240" w:lineRule="auto"/>
        <w:ind w:left="0" w:hanging="2"/>
        <w:rPr>
          <w:rFonts w:eastAsia="Cambria"/>
          <w:color w:val="000000"/>
          <w:sz w:val="24"/>
          <w:szCs w:val="24"/>
        </w:rPr>
      </w:pPr>
      <w:r w:rsidRPr="006834F1">
        <w:rPr>
          <w:rFonts w:eastAsia="Cambria"/>
          <w:color w:val="000000"/>
          <w:sz w:val="24"/>
          <w:szCs w:val="24"/>
        </w:rPr>
        <w:t>Por último, en la siguiente tabla se presentan los resultados obtenidos para la dimensión “Responsabilidad Social Universitaria y Estudiantil</w:t>
      </w:r>
      <w:r w:rsidR="00997987">
        <w:rPr>
          <w:rFonts w:eastAsia="Cambria"/>
          <w:color w:val="000000"/>
          <w:sz w:val="24"/>
          <w:szCs w:val="24"/>
        </w:rPr>
        <w:t>:</w:t>
      </w:r>
    </w:p>
    <w:p w14:paraId="53907897" w14:textId="55B91925" w:rsidR="00D863BA" w:rsidRPr="006834F1" w:rsidRDefault="00D863BA" w:rsidP="00D863BA">
      <w:pPr>
        <w:pStyle w:val="IndiceTablas"/>
        <w:ind w:hanging="2"/>
        <w:rPr>
          <w:rFonts w:ascii="Times New Roman" w:eastAsia="Cambria" w:hAnsi="Times New Roman" w:cs="Times New Roman"/>
          <w:sz w:val="16"/>
          <w:szCs w:val="16"/>
        </w:rPr>
      </w:pPr>
      <w:bookmarkStart w:id="16" w:name="_heading=h.1v1yuxt" w:colFirst="0" w:colLast="0"/>
      <w:bookmarkStart w:id="17" w:name="_Toc111716085"/>
      <w:bookmarkEnd w:id="16"/>
      <w:r w:rsidRPr="006834F1">
        <w:rPr>
          <w:rFonts w:ascii="Times New Roman" w:eastAsia="Cambria" w:hAnsi="Times New Roman" w:cs="Times New Roman"/>
          <w:sz w:val="16"/>
          <w:szCs w:val="16"/>
        </w:rPr>
        <w:t xml:space="preserve">Tabla </w:t>
      </w:r>
      <w:r w:rsidR="00997987">
        <w:rPr>
          <w:rFonts w:ascii="Times New Roman" w:eastAsia="Cambria" w:hAnsi="Times New Roman" w:cs="Times New Roman"/>
          <w:sz w:val="16"/>
          <w:szCs w:val="16"/>
        </w:rPr>
        <w:t>5</w:t>
      </w:r>
      <w:r w:rsidRPr="006834F1">
        <w:rPr>
          <w:rFonts w:ascii="Times New Roman" w:eastAsia="Cambria" w:hAnsi="Times New Roman" w:cs="Times New Roman"/>
          <w:sz w:val="16"/>
          <w:szCs w:val="16"/>
        </w:rPr>
        <w:t xml:space="preserve">. Grado de </w:t>
      </w:r>
      <w:r w:rsidR="00997987">
        <w:rPr>
          <w:rFonts w:ascii="Times New Roman" w:eastAsia="Cambria" w:hAnsi="Times New Roman" w:cs="Times New Roman"/>
          <w:sz w:val="16"/>
          <w:szCs w:val="16"/>
        </w:rPr>
        <w:t>satisfacción</w:t>
      </w:r>
      <w:r w:rsidRPr="006834F1">
        <w:rPr>
          <w:rFonts w:ascii="Times New Roman" w:eastAsia="Cambria" w:hAnsi="Times New Roman" w:cs="Times New Roman"/>
          <w:sz w:val="16"/>
          <w:szCs w:val="16"/>
        </w:rPr>
        <w:t xml:space="preserve"> para la dimensión “Responsabilidad Social Universitaria y Estudiantil”</w:t>
      </w:r>
      <w:bookmarkEnd w:id="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25"/>
        <w:gridCol w:w="970"/>
        <w:gridCol w:w="1034"/>
      </w:tblGrid>
      <w:tr w:rsidR="00997987" w:rsidRPr="006834F1" w14:paraId="35A3673E" w14:textId="77777777" w:rsidTr="007A3A43">
        <w:trPr>
          <w:trHeight w:val="20"/>
        </w:trPr>
        <w:tc>
          <w:tcPr>
            <w:tcW w:w="3972" w:type="pct"/>
            <w:shd w:val="clear" w:color="auto" w:fill="002060"/>
            <w:vAlign w:val="center"/>
          </w:tcPr>
          <w:p w14:paraId="686F08CD" w14:textId="77777777" w:rsidR="00997987" w:rsidRPr="006834F1" w:rsidRDefault="00997987" w:rsidP="00997987">
            <w:pPr>
              <w:pBdr>
                <w:top w:val="nil"/>
                <w:left w:val="nil"/>
                <w:bottom w:val="nil"/>
                <w:right w:val="nil"/>
                <w:between w:val="nil"/>
              </w:pBdr>
              <w:ind w:left="0" w:hanging="2"/>
              <w:jc w:val="center"/>
              <w:rPr>
                <w:rFonts w:eastAsia="Cambria"/>
                <w:b/>
                <w:color w:val="FFFFFF"/>
                <w:sz w:val="16"/>
                <w:szCs w:val="16"/>
              </w:rPr>
            </w:pPr>
            <w:r w:rsidRPr="006834F1">
              <w:rPr>
                <w:rFonts w:eastAsia="Cambria"/>
                <w:b/>
                <w:color w:val="FFFFFF"/>
                <w:sz w:val="16"/>
                <w:szCs w:val="16"/>
              </w:rPr>
              <w:t>Responsabilidad Social Universitaria y Estudiantil</w:t>
            </w:r>
          </w:p>
        </w:tc>
        <w:tc>
          <w:tcPr>
            <w:tcW w:w="516" w:type="pct"/>
            <w:shd w:val="clear" w:color="auto" w:fill="002060"/>
            <w:vAlign w:val="center"/>
          </w:tcPr>
          <w:p w14:paraId="66570B10" w14:textId="77777777" w:rsidR="00997987" w:rsidRPr="006834F1" w:rsidRDefault="00997987" w:rsidP="00997987">
            <w:pPr>
              <w:pBdr>
                <w:top w:val="nil"/>
                <w:left w:val="nil"/>
                <w:bottom w:val="nil"/>
                <w:right w:val="nil"/>
                <w:between w:val="nil"/>
              </w:pBdr>
              <w:ind w:left="0" w:hanging="2"/>
              <w:jc w:val="center"/>
              <w:rPr>
                <w:rFonts w:eastAsia="Cambria"/>
                <w:b/>
                <w:color w:val="FFFFFF"/>
                <w:sz w:val="16"/>
                <w:szCs w:val="16"/>
              </w:rPr>
            </w:pPr>
            <w:r w:rsidRPr="006834F1">
              <w:rPr>
                <w:rFonts w:eastAsia="Cambria"/>
                <w:b/>
                <w:color w:val="FFFFFF"/>
                <w:sz w:val="16"/>
                <w:szCs w:val="16"/>
              </w:rPr>
              <w:t>Media</w:t>
            </w:r>
          </w:p>
        </w:tc>
        <w:tc>
          <w:tcPr>
            <w:tcW w:w="512" w:type="pct"/>
            <w:shd w:val="clear" w:color="auto" w:fill="002060"/>
            <w:vAlign w:val="center"/>
          </w:tcPr>
          <w:p w14:paraId="07D92351" w14:textId="6899771A" w:rsidR="00997987" w:rsidRPr="006834F1" w:rsidRDefault="00997987" w:rsidP="00997987">
            <w:pPr>
              <w:pBdr>
                <w:top w:val="nil"/>
                <w:left w:val="nil"/>
                <w:bottom w:val="nil"/>
                <w:right w:val="nil"/>
                <w:between w:val="nil"/>
              </w:pBdr>
              <w:ind w:left="0" w:hanging="2"/>
              <w:jc w:val="center"/>
              <w:rPr>
                <w:rFonts w:eastAsia="Cambria"/>
                <w:b/>
                <w:color w:val="FFFFFF"/>
                <w:sz w:val="16"/>
                <w:szCs w:val="16"/>
              </w:rPr>
            </w:pPr>
            <w:r w:rsidRPr="00D2457C">
              <w:rPr>
                <w:rFonts w:eastAsia="Cambria"/>
                <w:b/>
                <w:color w:val="FFFFFF"/>
                <w:sz w:val="16"/>
                <w:szCs w:val="16"/>
              </w:rPr>
              <w:t xml:space="preserve">% </w:t>
            </w:r>
            <w:r>
              <w:rPr>
                <w:rFonts w:eastAsia="Cambria"/>
                <w:b/>
                <w:color w:val="FFFFFF"/>
                <w:sz w:val="16"/>
                <w:szCs w:val="16"/>
              </w:rPr>
              <w:t>Satisfacción</w:t>
            </w:r>
          </w:p>
        </w:tc>
      </w:tr>
      <w:tr w:rsidR="00997987" w:rsidRPr="006834F1" w14:paraId="025F0395" w14:textId="77777777" w:rsidTr="007A3A43">
        <w:trPr>
          <w:trHeight w:val="20"/>
        </w:trPr>
        <w:tc>
          <w:tcPr>
            <w:tcW w:w="3972" w:type="pct"/>
            <w:vAlign w:val="center"/>
          </w:tcPr>
          <w:p w14:paraId="58BC7A28"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es una institución que respeta la diversidad de personas y los derechos humanos.</w:t>
            </w:r>
          </w:p>
        </w:tc>
        <w:tc>
          <w:tcPr>
            <w:tcW w:w="516" w:type="pct"/>
            <w:vAlign w:val="center"/>
          </w:tcPr>
          <w:p w14:paraId="1744B6D7"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4,31</w:t>
            </w:r>
          </w:p>
        </w:tc>
        <w:tc>
          <w:tcPr>
            <w:tcW w:w="512" w:type="pct"/>
            <w:vAlign w:val="center"/>
          </w:tcPr>
          <w:p w14:paraId="42270709"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84,9%</w:t>
            </w:r>
          </w:p>
        </w:tc>
      </w:tr>
      <w:tr w:rsidR="00997987" w:rsidRPr="006834F1" w14:paraId="59114F08" w14:textId="77777777" w:rsidTr="007A3A43">
        <w:trPr>
          <w:trHeight w:val="180"/>
        </w:trPr>
        <w:tc>
          <w:tcPr>
            <w:tcW w:w="3972" w:type="pct"/>
            <w:vAlign w:val="center"/>
          </w:tcPr>
          <w:p w14:paraId="12192CB2"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cuenta con la infraestructura adecuada para personas en situación de discapacidad. (existencia de rampas, ascensores, señalética adecuada para dificultad visual, etc.).</w:t>
            </w:r>
          </w:p>
        </w:tc>
        <w:tc>
          <w:tcPr>
            <w:tcW w:w="516" w:type="pct"/>
            <w:vAlign w:val="center"/>
          </w:tcPr>
          <w:p w14:paraId="6F80DE05"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3,43</w:t>
            </w:r>
          </w:p>
        </w:tc>
        <w:tc>
          <w:tcPr>
            <w:tcW w:w="512" w:type="pct"/>
            <w:vAlign w:val="center"/>
          </w:tcPr>
          <w:p w14:paraId="3DD24B0C"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54,7%</w:t>
            </w:r>
          </w:p>
        </w:tc>
      </w:tr>
      <w:tr w:rsidR="00997987" w:rsidRPr="006834F1" w14:paraId="70A06B03" w14:textId="77777777" w:rsidTr="007A3A43">
        <w:trPr>
          <w:trHeight w:val="20"/>
        </w:trPr>
        <w:tc>
          <w:tcPr>
            <w:tcW w:w="3972" w:type="pct"/>
            <w:vAlign w:val="center"/>
          </w:tcPr>
          <w:p w14:paraId="0811C299"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Las carreras facilitan las condiciones para que estudiantes embarazadas continúen estudiando y finalicen con éxito su proceso formativo.</w:t>
            </w:r>
          </w:p>
        </w:tc>
        <w:tc>
          <w:tcPr>
            <w:tcW w:w="516" w:type="pct"/>
            <w:vAlign w:val="center"/>
          </w:tcPr>
          <w:p w14:paraId="6F48D4AE"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3,97</w:t>
            </w:r>
          </w:p>
        </w:tc>
        <w:tc>
          <w:tcPr>
            <w:tcW w:w="512" w:type="pct"/>
            <w:vAlign w:val="center"/>
          </w:tcPr>
          <w:p w14:paraId="58141A09"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68,8%</w:t>
            </w:r>
          </w:p>
        </w:tc>
      </w:tr>
      <w:tr w:rsidR="00997987" w:rsidRPr="006834F1" w14:paraId="31BF6A19" w14:textId="77777777" w:rsidTr="007A3A43">
        <w:trPr>
          <w:trHeight w:val="20"/>
        </w:trPr>
        <w:tc>
          <w:tcPr>
            <w:tcW w:w="3972" w:type="pct"/>
            <w:vAlign w:val="center"/>
          </w:tcPr>
          <w:p w14:paraId="55364B8C"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apoya a los estudiantes de escasos recursos mediante becas de alimentación, becas totales o parciales.</w:t>
            </w:r>
          </w:p>
        </w:tc>
        <w:tc>
          <w:tcPr>
            <w:tcW w:w="516" w:type="pct"/>
            <w:vAlign w:val="center"/>
          </w:tcPr>
          <w:p w14:paraId="70732E78"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3,86</w:t>
            </w:r>
          </w:p>
        </w:tc>
        <w:tc>
          <w:tcPr>
            <w:tcW w:w="512" w:type="pct"/>
            <w:vAlign w:val="center"/>
          </w:tcPr>
          <w:p w14:paraId="0DCAA6B6"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67,3%</w:t>
            </w:r>
          </w:p>
        </w:tc>
      </w:tr>
      <w:tr w:rsidR="00997987" w:rsidRPr="006834F1" w14:paraId="59CF8890" w14:textId="77777777" w:rsidTr="007A3A43">
        <w:trPr>
          <w:trHeight w:val="20"/>
        </w:trPr>
        <w:tc>
          <w:tcPr>
            <w:tcW w:w="3972" w:type="pct"/>
            <w:vAlign w:val="center"/>
          </w:tcPr>
          <w:p w14:paraId="17562078"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cuenta con una oferta alimenticia adecuada para sus estudiantes.</w:t>
            </w:r>
          </w:p>
        </w:tc>
        <w:tc>
          <w:tcPr>
            <w:tcW w:w="516" w:type="pct"/>
            <w:vAlign w:val="center"/>
          </w:tcPr>
          <w:p w14:paraId="4CBE8814"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3,29</w:t>
            </w:r>
          </w:p>
        </w:tc>
        <w:tc>
          <w:tcPr>
            <w:tcW w:w="512" w:type="pct"/>
            <w:vAlign w:val="center"/>
          </w:tcPr>
          <w:p w14:paraId="44775137"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48,0%</w:t>
            </w:r>
          </w:p>
        </w:tc>
      </w:tr>
      <w:tr w:rsidR="00997987" w:rsidRPr="006834F1" w14:paraId="79617D02" w14:textId="77777777" w:rsidTr="007A3A43">
        <w:trPr>
          <w:trHeight w:val="20"/>
        </w:trPr>
        <w:tc>
          <w:tcPr>
            <w:tcW w:w="3972" w:type="pct"/>
            <w:vAlign w:val="center"/>
          </w:tcPr>
          <w:p w14:paraId="09B6F4BA"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dispone de programas de salud física y mental para estudiantes que lo necesiten.</w:t>
            </w:r>
          </w:p>
        </w:tc>
        <w:tc>
          <w:tcPr>
            <w:tcW w:w="516" w:type="pct"/>
            <w:vAlign w:val="center"/>
          </w:tcPr>
          <w:p w14:paraId="3CCF3FE3"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3,74</w:t>
            </w:r>
          </w:p>
        </w:tc>
        <w:tc>
          <w:tcPr>
            <w:tcW w:w="512" w:type="pct"/>
            <w:vAlign w:val="center"/>
          </w:tcPr>
          <w:p w14:paraId="75D2B516"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65,0%</w:t>
            </w:r>
          </w:p>
        </w:tc>
      </w:tr>
      <w:tr w:rsidR="00997987" w:rsidRPr="006834F1" w14:paraId="628B181B" w14:textId="77777777" w:rsidTr="007A3A43">
        <w:trPr>
          <w:trHeight w:val="20"/>
        </w:trPr>
        <w:tc>
          <w:tcPr>
            <w:tcW w:w="3972" w:type="pct"/>
            <w:vAlign w:val="center"/>
          </w:tcPr>
          <w:p w14:paraId="2C05C0F2"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se preocupa de contar con asignaturas que desarrollen la competencia de responsabilidad social.</w:t>
            </w:r>
          </w:p>
        </w:tc>
        <w:tc>
          <w:tcPr>
            <w:tcW w:w="516" w:type="pct"/>
            <w:vAlign w:val="center"/>
          </w:tcPr>
          <w:p w14:paraId="52A7A869"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3,82</w:t>
            </w:r>
          </w:p>
        </w:tc>
        <w:tc>
          <w:tcPr>
            <w:tcW w:w="512" w:type="pct"/>
            <w:vAlign w:val="center"/>
          </w:tcPr>
          <w:p w14:paraId="04F49AFE"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68,7%</w:t>
            </w:r>
          </w:p>
        </w:tc>
      </w:tr>
      <w:tr w:rsidR="00997987" w:rsidRPr="006834F1" w14:paraId="6FD3ABC6" w14:textId="77777777" w:rsidTr="007A3A43">
        <w:trPr>
          <w:trHeight w:val="20"/>
        </w:trPr>
        <w:tc>
          <w:tcPr>
            <w:tcW w:w="3972" w:type="pct"/>
            <w:vAlign w:val="center"/>
          </w:tcPr>
          <w:p w14:paraId="0D28A96A"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Participo en actividades de extensión vinculadas a la responsabilidad social (programas relacionados con el apoyo y ayuda a la comunidad).</w:t>
            </w:r>
          </w:p>
        </w:tc>
        <w:tc>
          <w:tcPr>
            <w:tcW w:w="516" w:type="pct"/>
            <w:vAlign w:val="center"/>
          </w:tcPr>
          <w:p w14:paraId="2524D30C"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2,80</w:t>
            </w:r>
          </w:p>
        </w:tc>
        <w:tc>
          <w:tcPr>
            <w:tcW w:w="512" w:type="pct"/>
            <w:vAlign w:val="center"/>
          </w:tcPr>
          <w:p w14:paraId="10C12FD4"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36,5%</w:t>
            </w:r>
          </w:p>
        </w:tc>
      </w:tr>
      <w:tr w:rsidR="00997987" w:rsidRPr="006834F1" w14:paraId="22C74C88" w14:textId="77777777" w:rsidTr="007A3A43">
        <w:trPr>
          <w:trHeight w:val="20"/>
        </w:trPr>
        <w:tc>
          <w:tcPr>
            <w:tcW w:w="3972" w:type="pct"/>
            <w:vAlign w:val="center"/>
          </w:tcPr>
          <w:p w14:paraId="2671C61D"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La universidad promueve la formación de estudiantes con consciencia social.</w:t>
            </w:r>
          </w:p>
        </w:tc>
        <w:tc>
          <w:tcPr>
            <w:tcW w:w="516" w:type="pct"/>
            <w:vAlign w:val="center"/>
          </w:tcPr>
          <w:p w14:paraId="64156DE5"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3,98</w:t>
            </w:r>
          </w:p>
        </w:tc>
        <w:tc>
          <w:tcPr>
            <w:tcW w:w="512" w:type="pct"/>
            <w:vAlign w:val="center"/>
          </w:tcPr>
          <w:p w14:paraId="2525C5D5"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75,8%</w:t>
            </w:r>
          </w:p>
        </w:tc>
      </w:tr>
      <w:tr w:rsidR="00997987" w:rsidRPr="006834F1" w14:paraId="0FAF589B" w14:textId="77777777" w:rsidTr="007A3A43">
        <w:trPr>
          <w:trHeight w:val="20"/>
        </w:trPr>
        <w:tc>
          <w:tcPr>
            <w:tcW w:w="3972" w:type="pct"/>
            <w:vAlign w:val="center"/>
          </w:tcPr>
          <w:p w14:paraId="52CFD49F" w14:textId="77777777" w:rsidR="00997987" w:rsidRPr="00D2457C" w:rsidRDefault="00997987" w:rsidP="00997987">
            <w:pPr>
              <w:pStyle w:val="Prrafodelista"/>
              <w:numPr>
                <w:ilvl w:val="0"/>
                <w:numId w:val="23"/>
              </w:numPr>
              <w:pBdr>
                <w:top w:val="nil"/>
                <w:left w:val="nil"/>
                <w:bottom w:val="nil"/>
                <w:right w:val="nil"/>
                <w:between w:val="nil"/>
              </w:pBdr>
              <w:suppressAutoHyphens w:val="0"/>
              <w:spacing w:line="240" w:lineRule="auto"/>
              <w:ind w:leftChars="0" w:firstLineChars="0"/>
              <w:textDirection w:val="lrTb"/>
              <w:textAlignment w:val="auto"/>
              <w:outlineLvl w:val="9"/>
              <w:rPr>
                <w:rFonts w:eastAsia="Cambria"/>
                <w:color w:val="000000"/>
                <w:sz w:val="16"/>
                <w:szCs w:val="16"/>
              </w:rPr>
            </w:pPr>
            <w:r w:rsidRPr="00D2457C">
              <w:rPr>
                <w:rFonts w:eastAsia="Cambria"/>
                <w:color w:val="000000"/>
                <w:sz w:val="16"/>
                <w:szCs w:val="16"/>
              </w:rPr>
              <w:t>Me siento representado/a y con apropiación del sello institucional de responsabilidad social en mi quehacer como estudiante.</w:t>
            </w:r>
          </w:p>
        </w:tc>
        <w:tc>
          <w:tcPr>
            <w:tcW w:w="516" w:type="pct"/>
            <w:vAlign w:val="center"/>
          </w:tcPr>
          <w:p w14:paraId="0C4E962B"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3,89</w:t>
            </w:r>
          </w:p>
        </w:tc>
        <w:tc>
          <w:tcPr>
            <w:tcW w:w="512" w:type="pct"/>
            <w:vAlign w:val="center"/>
          </w:tcPr>
          <w:p w14:paraId="3DE3B0BC" w14:textId="77777777" w:rsidR="00997987" w:rsidRPr="006834F1" w:rsidRDefault="00997987" w:rsidP="00997987">
            <w:pPr>
              <w:pBdr>
                <w:top w:val="nil"/>
                <w:left w:val="nil"/>
                <w:bottom w:val="nil"/>
                <w:right w:val="nil"/>
                <w:between w:val="nil"/>
              </w:pBdr>
              <w:ind w:left="0" w:hanging="2"/>
              <w:jc w:val="center"/>
              <w:rPr>
                <w:rFonts w:eastAsia="Cambria"/>
                <w:color w:val="000000"/>
                <w:sz w:val="16"/>
                <w:szCs w:val="16"/>
              </w:rPr>
            </w:pPr>
            <w:r w:rsidRPr="006834F1">
              <w:rPr>
                <w:rFonts w:eastAsia="Cambria"/>
                <w:color w:val="000000"/>
                <w:sz w:val="16"/>
                <w:szCs w:val="16"/>
              </w:rPr>
              <w:t>71,8%</w:t>
            </w:r>
          </w:p>
        </w:tc>
      </w:tr>
      <w:tr w:rsidR="00997987" w:rsidRPr="006834F1" w14:paraId="79065C59" w14:textId="77777777" w:rsidTr="007A3A43">
        <w:trPr>
          <w:trHeight w:val="20"/>
        </w:trPr>
        <w:tc>
          <w:tcPr>
            <w:tcW w:w="3972" w:type="pct"/>
            <w:shd w:val="clear" w:color="auto" w:fill="0070C0"/>
            <w:vAlign w:val="center"/>
          </w:tcPr>
          <w:p w14:paraId="1791E60B" w14:textId="160F065E" w:rsidR="00997987" w:rsidRPr="006834F1" w:rsidRDefault="00997987" w:rsidP="00997987">
            <w:pPr>
              <w:pBdr>
                <w:top w:val="nil"/>
                <w:left w:val="nil"/>
                <w:bottom w:val="nil"/>
                <w:right w:val="nil"/>
                <w:between w:val="nil"/>
              </w:pBdr>
              <w:suppressAutoHyphens w:val="0"/>
              <w:spacing w:line="240" w:lineRule="auto"/>
              <w:ind w:leftChars="0" w:left="0" w:firstLineChars="0" w:firstLine="0"/>
              <w:jc w:val="right"/>
              <w:textDirection w:val="lrTb"/>
              <w:textAlignment w:val="auto"/>
              <w:outlineLvl w:val="9"/>
              <w:rPr>
                <w:rFonts w:eastAsia="Cambria"/>
                <w:b/>
                <w:bCs/>
                <w:color w:val="FFFFFF" w:themeColor="background1"/>
                <w:sz w:val="16"/>
                <w:szCs w:val="16"/>
              </w:rPr>
            </w:pPr>
            <w:r w:rsidRPr="006834F1">
              <w:rPr>
                <w:rFonts w:eastAsia="Cambria"/>
                <w:b/>
                <w:bCs/>
                <w:color w:val="FFFFFF" w:themeColor="background1"/>
                <w:sz w:val="16"/>
                <w:szCs w:val="16"/>
              </w:rPr>
              <w:t>Media de la dimensión</w:t>
            </w:r>
          </w:p>
        </w:tc>
        <w:tc>
          <w:tcPr>
            <w:tcW w:w="1028" w:type="pct"/>
            <w:gridSpan w:val="2"/>
            <w:shd w:val="clear" w:color="auto" w:fill="0070C0"/>
            <w:vAlign w:val="center"/>
          </w:tcPr>
          <w:p w14:paraId="647F0C43" w14:textId="126E32E6" w:rsidR="00997987" w:rsidRPr="006834F1" w:rsidRDefault="00997987" w:rsidP="00997987">
            <w:pPr>
              <w:pBdr>
                <w:top w:val="nil"/>
                <w:left w:val="nil"/>
                <w:bottom w:val="nil"/>
                <w:right w:val="nil"/>
                <w:between w:val="nil"/>
              </w:pBdr>
              <w:ind w:left="0" w:hanging="2"/>
              <w:jc w:val="center"/>
              <w:rPr>
                <w:rFonts w:eastAsia="Cambria"/>
                <w:b/>
                <w:bCs/>
                <w:color w:val="FFFFFF" w:themeColor="background1"/>
                <w:sz w:val="16"/>
                <w:szCs w:val="16"/>
              </w:rPr>
            </w:pPr>
            <w:r w:rsidRPr="006834F1">
              <w:rPr>
                <w:rFonts w:eastAsia="Cambria"/>
                <w:b/>
                <w:bCs/>
                <w:color w:val="FFFFFF" w:themeColor="background1"/>
                <w:sz w:val="16"/>
                <w:szCs w:val="16"/>
              </w:rPr>
              <w:t>3,69</w:t>
            </w:r>
          </w:p>
        </w:tc>
      </w:tr>
    </w:tbl>
    <w:p w14:paraId="544FE1CC" w14:textId="77777777" w:rsidR="00D863BA" w:rsidRPr="006834F1" w:rsidRDefault="00D863BA" w:rsidP="006834F1">
      <w:pPr>
        <w:pBdr>
          <w:top w:val="nil"/>
          <w:left w:val="nil"/>
          <w:bottom w:val="nil"/>
          <w:right w:val="nil"/>
          <w:between w:val="nil"/>
        </w:pBdr>
        <w:spacing w:after="0" w:line="240" w:lineRule="auto"/>
        <w:ind w:leftChars="0" w:left="0" w:firstLineChars="0" w:firstLine="0"/>
        <w:jc w:val="center"/>
        <w:rPr>
          <w:rFonts w:eastAsia="Cambria"/>
          <w:color w:val="000000"/>
          <w:sz w:val="16"/>
          <w:szCs w:val="16"/>
        </w:rPr>
      </w:pPr>
      <w:r w:rsidRPr="006834F1">
        <w:rPr>
          <w:rFonts w:eastAsia="Cambria"/>
          <w:color w:val="000000"/>
          <w:sz w:val="16"/>
          <w:szCs w:val="16"/>
        </w:rPr>
        <w:t>Fuente: Encuesta de Satisfacción Estudiantil sobre Experiencia Universitaria (2022)</w:t>
      </w:r>
    </w:p>
    <w:p w14:paraId="17963577" w14:textId="77777777" w:rsidR="00D863BA" w:rsidRPr="006834F1" w:rsidRDefault="00D863BA" w:rsidP="00D863BA">
      <w:pPr>
        <w:pBdr>
          <w:top w:val="nil"/>
          <w:left w:val="nil"/>
          <w:bottom w:val="nil"/>
          <w:right w:val="nil"/>
          <w:between w:val="nil"/>
        </w:pBdr>
        <w:spacing w:after="0" w:line="240" w:lineRule="auto"/>
        <w:ind w:left="0" w:hanging="2"/>
        <w:rPr>
          <w:color w:val="000000"/>
          <w:sz w:val="16"/>
          <w:szCs w:val="16"/>
        </w:rPr>
      </w:pPr>
    </w:p>
    <w:p w14:paraId="001A81F7" w14:textId="7EA3CEE4" w:rsidR="004113A5" w:rsidRPr="004113A5" w:rsidRDefault="00D863BA" w:rsidP="004113A5">
      <w:pPr>
        <w:pBdr>
          <w:top w:val="nil"/>
          <w:left w:val="nil"/>
          <w:bottom w:val="nil"/>
          <w:right w:val="nil"/>
          <w:between w:val="nil"/>
        </w:pBdr>
        <w:spacing w:line="240" w:lineRule="auto"/>
        <w:ind w:left="0" w:hanging="2"/>
        <w:rPr>
          <w:rFonts w:eastAsia="Cambria"/>
          <w:color w:val="000000"/>
          <w:sz w:val="24"/>
          <w:szCs w:val="24"/>
        </w:rPr>
      </w:pPr>
      <w:r w:rsidRPr="004113A5">
        <w:rPr>
          <w:rFonts w:eastAsia="Cambria"/>
          <w:color w:val="000000"/>
          <w:sz w:val="24"/>
          <w:szCs w:val="24"/>
        </w:rPr>
        <w:t>Como se evidencia, la evaluación que hacen los estudiantes en esta dimensión, si bien es positiva con una puntuación media de 3,69 (de un máximo de 5), es algo menor en comparación al resto de las dimensiones. En este sentido, se observan algunos ítems que presentan un menor porcentaje sumatorio, así como una media bajo 3,5 puntos</w:t>
      </w:r>
      <w:r w:rsidR="001A25FB">
        <w:rPr>
          <w:rFonts w:eastAsia="Cambria"/>
          <w:color w:val="000000"/>
          <w:sz w:val="24"/>
          <w:szCs w:val="24"/>
        </w:rPr>
        <w:t xml:space="preserve"> (ítems 2, 5 y 8)</w:t>
      </w:r>
      <w:r w:rsidRPr="004113A5">
        <w:rPr>
          <w:rFonts w:eastAsia="Cambria"/>
          <w:color w:val="000000"/>
          <w:sz w:val="24"/>
          <w:szCs w:val="24"/>
        </w:rPr>
        <w:t>.</w:t>
      </w:r>
    </w:p>
    <w:p w14:paraId="41F2A329" w14:textId="3CC4268F" w:rsidR="00D863BA" w:rsidRPr="004113A5" w:rsidRDefault="004113A5" w:rsidP="004113A5">
      <w:pPr>
        <w:pBdr>
          <w:top w:val="nil"/>
          <w:left w:val="nil"/>
          <w:bottom w:val="nil"/>
          <w:right w:val="nil"/>
          <w:between w:val="nil"/>
        </w:pBdr>
        <w:spacing w:line="240" w:lineRule="auto"/>
        <w:ind w:leftChars="0" w:firstLineChars="0" w:firstLine="0"/>
        <w:rPr>
          <w:rFonts w:eastAsia="Cambria"/>
          <w:color w:val="000000"/>
          <w:sz w:val="24"/>
          <w:szCs w:val="24"/>
        </w:rPr>
      </w:pPr>
      <w:r w:rsidRPr="004113A5">
        <w:rPr>
          <w:rFonts w:eastAsia="Cambria"/>
          <w:color w:val="000000"/>
          <w:sz w:val="24"/>
          <w:szCs w:val="24"/>
        </w:rPr>
        <w:t>Por otro lado, e</w:t>
      </w:r>
      <w:r w:rsidR="00D863BA" w:rsidRPr="004113A5">
        <w:rPr>
          <w:rFonts w:eastAsia="Cambria"/>
          <w:color w:val="000000"/>
          <w:sz w:val="24"/>
          <w:szCs w:val="24"/>
        </w:rPr>
        <w:t xml:space="preserve">n el siguiente gráfico se presenta el puntaje medio de </w:t>
      </w:r>
      <w:r w:rsidR="001A25FB">
        <w:rPr>
          <w:rFonts w:eastAsia="Cambria"/>
          <w:color w:val="000000"/>
          <w:sz w:val="24"/>
          <w:szCs w:val="24"/>
        </w:rPr>
        <w:t>satisfacción</w:t>
      </w:r>
      <w:r w:rsidR="00D863BA" w:rsidRPr="004113A5">
        <w:rPr>
          <w:rFonts w:eastAsia="Cambria"/>
          <w:color w:val="000000"/>
          <w:sz w:val="24"/>
          <w:szCs w:val="24"/>
        </w:rPr>
        <w:t xml:space="preserve"> </w:t>
      </w:r>
      <w:r w:rsidR="001A25FB">
        <w:rPr>
          <w:rFonts w:eastAsia="Cambria"/>
          <w:color w:val="000000"/>
          <w:sz w:val="24"/>
          <w:szCs w:val="24"/>
        </w:rPr>
        <w:t xml:space="preserve">estudiantil </w:t>
      </w:r>
      <w:r w:rsidR="00D863BA" w:rsidRPr="004113A5">
        <w:rPr>
          <w:rFonts w:eastAsia="Cambria"/>
          <w:color w:val="000000"/>
          <w:sz w:val="24"/>
          <w:szCs w:val="24"/>
        </w:rPr>
        <w:t>según cada una de las principales dimensiones que componen el cuestionario:</w:t>
      </w:r>
    </w:p>
    <w:p w14:paraId="146A34B0" w14:textId="2B6E5F46" w:rsidR="00D863BA" w:rsidRPr="004113A5" w:rsidRDefault="004113A5" w:rsidP="00D863BA">
      <w:pPr>
        <w:pStyle w:val="IndiceFiguras"/>
        <w:ind w:hanging="2"/>
        <w:rPr>
          <w:rFonts w:ascii="Times New Roman" w:hAnsi="Times New Roman" w:cs="Times New Roman"/>
          <w:sz w:val="16"/>
          <w:szCs w:val="18"/>
        </w:rPr>
      </w:pPr>
      <w:bookmarkStart w:id="18" w:name="_Toc111716143"/>
      <w:r w:rsidRPr="004113A5">
        <w:rPr>
          <w:rFonts w:ascii="Times New Roman" w:hAnsi="Times New Roman" w:cs="Times New Roman"/>
          <w:sz w:val="16"/>
          <w:szCs w:val="18"/>
        </w:rPr>
        <w:lastRenderedPageBreak/>
        <w:t>Figura 1</w:t>
      </w:r>
      <w:r w:rsidR="00D863BA" w:rsidRPr="004113A5">
        <w:rPr>
          <w:rFonts w:ascii="Times New Roman" w:hAnsi="Times New Roman" w:cs="Times New Roman"/>
          <w:sz w:val="16"/>
          <w:szCs w:val="18"/>
        </w:rPr>
        <w:t xml:space="preserve">. Puntaje medio de </w:t>
      </w:r>
      <w:r w:rsidR="00997987">
        <w:rPr>
          <w:rFonts w:ascii="Times New Roman" w:hAnsi="Times New Roman" w:cs="Times New Roman"/>
          <w:sz w:val="16"/>
          <w:szCs w:val="18"/>
        </w:rPr>
        <w:t>satisfacción</w:t>
      </w:r>
      <w:r w:rsidR="00D863BA" w:rsidRPr="004113A5">
        <w:rPr>
          <w:rFonts w:ascii="Times New Roman" w:hAnsi="Times New Roman" w:cs="Times New Roman"/>
          <w:sz w:val="16"/>
          <w:szCs w:val="18"/>
        </w:rPr>
        <w:t xml:space="preserve"> según dimensión</w:t>
      </w:r>
      <w:bookmarkEnd w:id="18"/>
    </w:p>
    <w:p w14:paraId="497400C7" w14:textId="77777777" w:rsidR="00D863BA" w:rsidRDefault="00D863BA" w:rsidP="004113A5">
      <w:pPr>
        <w:pBdr>
          <w:top w:val="nil"/>
          <w:left w:val="nil"/>
          <w:bottom w:val="nil"/>
          <w:right w:val="nil"/>
          <w:between w:val="nil"/>
        </w:pBdr>
        <w:spacing w:after="0" w:line="240" w:lineRule="auto"/>
        <w:ind w:left="0" w:hanging="2"/>
        <w:jc w:val="center"/>
        <w:rPr>
          <w:color w:val="000000"/>
        </w:rPr>
      </w:pPr>
      <w:r>
        <w:rPr>
          <w:noProof/>
          <w:color w:val="000000"/>
        </w:rPr>
        <w:drawing>
          <wp:inline distT="0" distB="0" distL="0" distR="0" wp14:anchorId="0F56325E" wp14:editId="46988CA3">
            <wp:extent cx="5612400" cy="1800000"/>
            <wp:effectExtent l="0" t="0" r="7620" b="10160"/>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4EBF05" w14:textId="77777777" w:rsidR="00D863BA" w:rsidRPr="004113A5" w:rsidRDefault="00D863BA" w:rsidP="00D863BA">
      <w:pPr>
        <w:pBdr>
          <w:top w:val="nil"/>
          <w:left w:val="nil"/>
          <w:bottom w:val="nil"/>
          <w:right w:val="nil"/>
          <w:between w:val="nil"/>
        </w:pBdr>
        <w:spacing w:after="0" w:line="240" w:lineRule="auto"/>
        <w:ind w:left="0" w:hanging="2"/>
        <w:jc w:val="center"/>
        <w:rPr>
          <w:rFonts w:eastAsia="Cambria"/>
          <w:color w:val="000000"/>
          <w:sz w:val="16"/>
          <w:szCs w:val="16"/>
        </w:rPr>
      </w:pPr>
      <w:r w:rsidRPr="004113A5">
        <w:rPr>
          <w:rFonts w:eastAsia="Cambria"/>
          <w:color w:val="000000"/>
          <w:sz w:val="16"/>
          <w:szCs w:val="16"/>
        </w:rPr>
        <w:t>Fuente: Encuesta de Satisfacción Estudiantil sobre Experiencia Universitaria (2022)</w:t>
      </w:r>
    </w:p>
    <w:p w14:paraId="2202C56F" w14:textId="77777777" w:rsidR="00D863BA" w:rsidRDefault="00D863BA" w:rsidP="00D863BA">
      <w:pPr>
        <w:pBdr>
          <w:top w:val="nil"/>
          <w:left w:val="nil"/>
          <w:bottom w:val="nil"/>
          <w:right w:val="nil"/>
          <w:between w:val="nil"/>
        </w:pBdr>
        <w:spacing w:after="0" w:line="240" w:lineRule="auto"/>
        <w:ind w:left="0" w:hanging="2"/>
        <w:rPr>
          <w:color w:val="000000"/>
        </w:rPr>
      </w:pPr>
    </w:p>
    <w:p w14:paraId="1FF8B38F" w14:textId="77777777" w:rsidR="00D2457C" w:rsidRDefault="00D863BA" w:rsidP="00D2457C">
      <w:pPr>
        <w:pBdr>
          <w:top w:val="nil"/>
          <w:left w:val="nil"/>
          <w:bottom w:val="nil"/>
          <w:right w:val="nil"/>
          <w:between w:val="nil"/>
        </w:pBdr>
        <w:spacing w:line="240" w:lineRule="auto"/>
        <w:ind w:left="0" w:hanging="2"/>
        <w:rPr>
          <w:rFonts w:eastAsia="Cambria"/>
          <w:color w:val="000000"/>
          <w:sz w:val="24"/>
          <w:szCs w:val="24"/>
        </w:rPr>
      </w:pPr>
      <w:r w:rsidRPr="00B65E21">
        <w:rPr>
          <w:rFonts w:eastAsia="Cambria"/>
          <w:color w:val="000000"/>
          <w:sz w:val="24"/>
          <w:szCs w:val="24"/>
        </w:rPr>
        <w:t>Como se puede observar en el gráfico, la dimensión que presenta la puntuación más alta corresponde a Convivencia con 4,23 puntos, seguido por Servicios estudiantiles y Responsabilidad social universitaria y estudiantil, con una puntuación media de 3,92 y 3,69, respectivamente. Junto a ello, si observamos la media global de 3,96, se evidencia una evaluación favorable entre los estudiantes en relación a su experiencia universitaria en la institución.</w:t>
      </w:r>
      <w:r w:rsidR="00D2457C">
        <w:rPr>
          <w:rFonts w:eastAsia="Cambria"/>
          <w:color w:val="000000"/>
          <w:sz w:val="24"/>
          <w:szCs w:val="24"/>
        </w:rPr>
        <w:t xml:space="preserve"> </w:t>
      </w:r>
    </w:p>
    <w:p w14:paraId="3D9C8910" w14:textId="3A7119D4" w:rsidR="00D2457C" w:rsidRPr="00D07820" w:rsidRDefault="00D07820" w:rsidP="00D2457C">
      <w:pPr>
        <w:pBdr>
          <w:top w:val="nil"/>
          <w:left w:val="nil"/>
          <w:bottom w:val="nil"/>
          <w:right w:val="nil"/>
          <w:between w:val="nil"/>
        </w:pBdr>
        <w:spacing w:line="240" w:lineRule="auto"/>
        <w:ind w:left="0" w:hanging="2"/>
        <w:rPr>
          <w:rFonts w:eastAsia="Cambria"/>
          <w:color w:val="000000"/>
          <w:sz w:val="24"/>
          <w:szCs w:val="24"/>
        </w:rPr>
      </w:pPr>
      <w:r w:rsidRPr="00D07820">
        <w:rPr>
          <w:rFonts w:eastAsia="Cambria"/>
          <w:color w:val="000000"/>
          <w:sz w:val="24"/>
          <w:szCs w:val="24"/>
        </w:rPr>
        <w:t xml:space="preserve">Por otro lado, en el siguiente gráfico se presenta la media de evaluación para cada una de las dimensiones y el instrumento, según año de ingreso a la universidad. Como se puede observar, </w:t>
      </w:r>
      <w:r w:rsidR="00D2457C">
        <w:rPr>
          <w:rFonts w:eastAsia="Cambria"/>
          <w:color w:val="000000"/>
          <w:sz w:val="24"/>
          <w:szCs w:val="24"/>
        </w:rPr>
        <w:t>existen</w:t>
      </w:r>
      <w:r w:rsidRPr="00D07820">
        <w:rPr>
          <w:rFonts w:eastAsia="Cambria"/>
          <w:color w:val="000000"/>
          <w:sz w:val="24"/>
          <w:szCs w:val="24"/>
        </w:rPr>
        <w:t xml:space="preserve"> diferencias en la puntuación promedio para la variable mencionada</w:t>
      </w:r>
      <w:r w:rsidR="00D2457C">
        <w:rPr>
          <w:rFonts w:eastAsia="Cambria"/>
          <w:color w:val="000000"/>
          <w:sz w:val="24"/>
          <w:szCs w:val="24"/>
        </w:rPr>
        <w:t>:</w:t>
      </w:r>
    </w:p>
    <w:p w14:paraId="033C3031" w14:textId="1CF07D8F" w:rsidR="00D07820" w:rsidRPr="00D07820" w:rsidRDefault="00D07820" w:rsidP="00D07820">
      <w:pPr>
        <w:pStyle w:val="IndiceFiguras"/>
        <w:ind w:hanging="2"/>
        <w:rPr>
          <w:rFonts w:ascii="Times New Roman" w:hAnsi="Times New Roman" w:cs="Times New Roman"/>
          <w:sz w:val="16"/>
          <w:szCs w:val="16"/>
        </w:rPr>
      </w:pPr>
      <w:bookmarkStart w:id="19" w:name="_Toc111716149"/>
      <w:r w:rsidRPr="00D07820">
        <w:rPr>
          <w:rFonts w:ascii="Times New Roman" w:hAnsi="Times New Roman" w:cs="Times New Roman"/>
          <w:sz w:val="16"/>
          <w:szCs w:val="16"/>
        </w:rPr>
        <w:t xml:space="preserve">Gráfico 14. Puntaje medio de </w:t>
      </w:r>
      <w:r w:rsidR="00997987">
        <w:rPr>
          <w:rFonts w:ascii="Times New Roman" w:hAnsi="Times New Roman" w:cs="Times New Roman"/>
          <w:sz w:val="16"/>
          <w:szCs w:val="16"/>
        </w:rPr>
        <w:t>satisfacción</w:t>
      </w:r>
      <w:r w:rsidRPr="00D07820">
        <w:rPr>
          <w:rFonts w:ascii="Times New Roman" w:hAnsi="Times New Roman" w:cs="Times New Roman"/>
          <w:sz w:val="16"/>
          <w:szCs w:val="16"/>
        </w:rPr>
        <w:t xml:space="preserve"> según dimensión y año de ingreso a la universidad</w:t>
      </w:r>
      <w:bookmarkEnd w:id="19"/>
    </w:p>
    <w:p w14:paraId="37117A61" w14:textId="77777777" w:rsidR="00D07820" w:rsidRPr="00D07820" w:rsidRDefault="00D07820" w:rsidP="00D07820">
      <w:pPr>
        <w:pBdr>
          <w:top w:val="nil"/>
          <w:left w:val="nil"/>
          <w:bottom w:val="nil"/>
          <w:right w:val="nil"/>
          <w:between w:val="nil"/>
        </w:pBdr>
        <w:spacing w:after="0" w:line="240" w:lineRule="auto"/>
        <w:ind w:left="0" w:hanging="2"/>
        <w:jc w:val="center"/>
        <w:rPr>
          <w:color w:val="000000"/>
          <w:sz w:val="16"/>
          <w:szCs w:val="16"/>
        </w:rPr>
      </w:pPr>
      <w:r w:rsidRPr="00D07820">
        <w:rPr>
          <w:noProof/>
          <w:color w:val="000000"/>
          <w:sz w:val="16"/>
          <w:szCs w:val="16"/>
        </w:rPr>
        <w:drawing>
          <wp:inline distT="0" distB="0" distL="0" distR="0" wp14:anchorId="0E7E069C" wp14:editId="0BE411F8">
            <wp:extent cx="5612130" cy="1800000"/>
            <wp:effectExtent l="0" t="0" r="7620" b="10160"/>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90A605" w14:textId="77777777" w:rsidR="00D07820" w:rsidRPr="00D07820" w:rsidRDefault="00D07820" w:rsidP="00D07820">
      <w:pPr>
        <w:pBdr>
          <w:top w:val="nil"/>
          <w:left w:val="nil"/>
          <w:bottom w:val="nil"/>
          <w:right w:val="nil"/>
          <w:between w:val="nil"/>
        </w:pBdr>
        <w:spacing w:after="0" w:line="240" w:lineRule="auto"/>
        <w:ind w:left="0" w:hanging="2"/>
        <w:jc w:val="center"/>
        <w:rPr>
          <w:rFonts w:eastAsia="Cambria"/>
          <w:color w:val="000000"/>
          <w:sz w:val="16"/>
          <w:szCs w:val="16"/>
        </w:rPr>
      </w:pPr>
      <w:r w:rsidRPr="00D07820">
        <w:rPr>
          <w:rFonts w:eastAsia="Cambria"/>
          <w:color w:val="000000"/>
          <w:sz w:val="16"/>
          <w:szCs w:val="16"/>
        </w:rPr>
        <w:t>Fuente: Encuesta de Satisfacción Estudiantil sobre Experiencia Universitaria (2022)</w:t>
      </w:r>
    </w:p>
    <w:p w14:paraId="2C3DE2F0" w14:textId="77777777" w:rsidR="00D07820" w:rsidRDefault="00D07820" w:rsidP="00D07820">
      <w:pPr>
        <w:pBdr>
          <w:top w:val="nil"/>
          <w:left w:val="nil"/>
          <w:bottom w:val="nil"/>
          <w:right w:val="nil"/>
          <w:between w:val="nil"/>
        </w:pBdr>
        <w:spacing w:after="0" w:line="240" w:lineRule="auto"/>
        <w:ind w:left="0" w:hanging="2"/>
        <w:rPr>
          <w:color w:val="000000"/>
        </w:rPr>
      </w:pPr>
    </w:p>
    <w:p w14:paraId="417A68AB" w14:textId="73F0265A" w:rsidR="00D07820" w:rsidRPr="009F6536" w:rsidRDefault="00D07820" w:rsidP="009F6536">
      <w:pPr>
        <w:pBdr>
          <w:top w:val="nil"/>
          <w:left w:val="nil"/>
          <w:bottom w:val="nil"/>
          <w:right w:val="nil"/>
          <w:between w:val="nil"/>
        </w:pBdr>
        <w:spacing w:line="240" w:lineRule="auto"/>
        <w:ind w:left="0" w:hanging="2"/>
        <w:rPr>
          <w:rFonts w:eastAsia="Cambria"/>
          <w:color w:val="000000"/>
          <w:sz w:val="24"/>
          <w:szCs w:val="24"/>
        </w:rPr>
      </w:pPr>
      <w:r w:rsidRPr="009F6536">
        <w:rPr>
          <w:rFonts w:eastAsia="Cambria"/>
          <w:color w:val="000000"/>
          <w:sz w:val="24"/>
          <w:szCs w:val="24"/>
        </w:rPr>
        <w:t xml:space="preserve">De esta manera, se evidencia que la puntuación media en cada una de las dimensiones aumenta según el año de ingreso de los estudiantes. Quienes ingresaron a la institución entre los años 2008 a 2017 y quienes ingresaron en el año 2018 presentan un nivel medio de evaluación inferior en relación a los estudiantes que ingresaron entre los años 2019 a 2022. </w:t>
      </w:r>
    </w:p>
    <w:p w14:paraId="2C133F75" w14:textId="04A97F3A" w:rsidR="00371817" w:rsidRPr="00B65E21" w:rsidRDefault="00D07820" w:rsidP="00E30D25">
      <w:pPr>
        <w:pBdr>
          <w:top w:val="nil"/>
          <w:left w:val="nil"/>
          <w:bottom w:val="nil"/>
          <w:right w:val="nil"/>
          <w:between w:val="nil"/>
        </w:pBdr>
        <w:spacing w:line="240" w:lineRule="auto"/>
        <w:ind w:left="0" w:hanging="2"/>
        <w:rPr>
          <w:rFonts w:eastAsia="Cambria"/>
          <w:color w:val="000000"/>
          <w:sz w:val="24"/>
          <w:szCs w:val="24"/>
        </w:rPr>
      </w:pPr>
      <w:r w:rsidRPr="009F6536">
        <w:rPr>
          <w:rFonts w:eastAsia="Cambria"/>
          <w:color w:val="000000"/>
          <w:sz w:val="24"/>
          <w:szCs w:val="24"/>
        </w:rPr>
        <w:t>En este sentido, se destaca que los/as estudiantes de ingreso 2021 y 2022 presentan una puntuación media más alta en su experiencia universitaria en relación al resto de los grupos mencionados. Por lo tanto, se debe observar si estas diferencias son o no estadísticamente significativas.</w:t>
      </w:r>
      <w:r w:rsidR="00E30D25">
        <w:rPr>
          <w:rFonts w:eastAsia="Cambria"/>
          <w:color w:val="000000"/>
          <w:sz w:val="24"/>
          <w:szCs w:val="24"/>
        </w:rPr>
        <w:t xml:space="preserve"> En consecuencia, para l</w:t>
      </w:r>
      <w:r w:rsidR="00371817" w:rsidRPr="00B65E21">
        <w:rPr>
          <w:rFonts w:eastAsia="Cambria"/>
          <w:color w:val="000000"/>
          <w:sz w:val="24"/>
          <w:szCs w:val="24"/>
        </w:rPr>
        <w:t xml:space="preserve">os resultados </w:t>
      </w:r>
      <w:r w:rsidR="00E30D25">
        <w:rPr>
          <w:rFonts w:eastAsia="Cambria"/>
          <w:color w:val="000000"/>
          <w:sz w:val="24"/>
          <w:szCs w:val="24"/>
        </w:rPr>
        <w:t>que se presentan a continuación</w:t>
      </w:r>
      <w:r w:rsidR="00371817" w:rsidRPr="00B65E21">
        <w:rPr>
          <w:rFonts w:eastAsia="Cambria"/>
          <w:color w:val="000000"/>
          <w:sz w:val="24"/>
          <w:szCs w:val="24"/>
        </w:rPr>
        <w:t xml:space="preserve"> </w:t>
      </w:r>
      <w:r w:rsidR="00E30D25">
        <w:rPr>
          <w:rFonts w:eastAsia="Cambria"/>
          <w:color w:val="000000"/>
          <w:sz w:val="24"/>
          <w:szCs w:val="24"/>
        </w:rPr>
        <w:t>se emplearon</w:t>
      </w:r>
      <w:r w:rsidR="00371817" w:rsidRPr="00B65E21">
        <w:rPr>
          <w:rFonts w:eastAsia="Cambria"/>
          <w:color w:val="000000"/>
          <w:sz w:val="24"/>
          <w:szCs w:val="24"/>
        </w:rPr>
        <w:t xml:space="preserve"> pruebas</w:t>
      </w:r>
      <w:r w:rsidR="00E30D25">
        <w:rPr>
          <w:rFonts w:eastAsia="Cambria"/>
          <w:color w:val="000000"/>
          <w:sz w:val="24"/>
          <w:szCs w:val="24"/>
        </w:rPr>
        <w:t xml:space="preserve"> estadísticas</w:t>
      </w:r>
      <w:r w:rsidR="00371817" w:rsidRPr="00B65E21">
        <w:rPr>
          <w:rFonts w:eastAsia="Cambria"/>
          <w:color w:val="000000"/>
          <w:sz w:val="24"/>
          <w:szCs w:val="24"/>
        </w:rPr>
        <w:t xml:space="preserve"> paramétricas (ANOVA para varios grupos independientes) y no paramétricas (Kruskal-Wallis para varios grupos independientes), considerando </w:t>
      </w:r>
      <w:r w:rsidR="00E30D25">
        <w:rPr>
          <w:rFonts w:eastAsia="Cambria"/>
          <w:color w:val="000000"/>
          <w:sz w:val="24"/>
          <w:szCs w:val="24"/>
        </w:rPr>
        <w:t>las</w:t>
      </w:r>
      <w:r w:rsidR="00371817" w:rsidRPr="00B65E21">
        <w:rPr>
          <w:rFonts w:eastAsia="Cambria"/>
          <w:color w:val="000000"/>
          <w:sz w:val="24"/>
          <w:szCs w:val="24"/>
        </w:rPr>
        <w:t xml:space="preserve"> puntuaciones medias/rangos</w:t>
      </w:r>
      <w:r w:rsidR="00E30D25">
        <w:rPr>
          <w:rFonts w:eastAsia="Cambria"/>
          <w:color w:val="000000"/>
          <w:sz w:val="24"/>
          <w:szCs w:val="24"/>
        </w:rPr>
        <w:t xml:space="preserve"> del instrumento y sus dimensiones</w:t>
      </w:r>
      <w:r w:rsidR="00371817" w:rsidRPr="00B65E21">
        <w:rPr>
          <w:rFonts w:eastAsia="Cambria"/>
          <w:color w:val="000000"/>
          <w:sz w:val="24"/>
          <w:szCs w:val="24"/>
        </w:rPr>
        <w:t>:</w:t>
      </w:r>
    </w:p>
    <w:p w14:paraId="797623C6" w14:textId="77777777" w:rsidR="00371817" w:rsidRDefault="00371817" w:rsidP="00371817">
      <w:pPr>
        <w:pBdr>
          <w:top w:val="nil"/>
          <w:left w:val="nil"/>
          <w:bottom w:val="nil"/>
          <w:right w:val="nil"/>
          <w:between w:val="nil"/>
        </w:pBdr>
        <w:spacing w:after="0" w:line="240" w:lineRule="auto"/>
        <w:ind w:left="0" w:hanging="2"/>
        <w:rPr>
          <w:color w:val="000000"/>
        </w:rPr>
      </w:pPr>
    </w:p>
    <w:p w14:paraId="44474C94" w14:textId="3BA51C06" w:rsidR="00371817" w:rsidRPr="009F6536" w:rsidRDefault="00371817" w:rsidP="00371817">
      <w:pPr>
        <w:pStyle w:val="IndiceTablas"/>
        <w:ind w:hanging="2"/>
        <w:rPr>
          <w:rFonts w:ascii="Times New Roman" w:eastAsia="Cambria" w:hAnsi="Times New Roman" w:cs="Times New Roman"/>
          <w:sz w:val="16"/>
          <w:szCs w:val="16"/>
        </w:rPr>
      </w:pPr>
      <w:bookmarkStart w:id="20" w:name="_heading=h.1egqt2p" w:colFirst="0" w:colLast="0"/>
      <w:bookmarkStart w:id="21" w:name="_Toc111716091"/>
      <w:bookmarkEnd w:id="20"/>
      <w:r w:rsidRPr="009F6536">
        <w:rPr>
          <w:rFonts w:ascii="Times New Roman" w:eastAsia="Cambria" w:hAnsi="Times New Roman" w:cs="Times New Roman"/>
          <w:sz w:val="16"/>
          <w:szCs w:val="16"/>
        </w:rPr>
        <w:t xml:space="preserve">Tabla </w:t>
      </w:r>
      <w:r w:rsidR="00997987">
        <w:rPr>
          <w:rFonts w:ascii="Times New Roman" w:eastAsia="Cambria" w:hAnsi="Times New Roman" w:cs="Times New Roman"/>
          <w:sz w:val="16"/>
          <w:szCs w:val="16"/>
        </w:rPr>
        <w:t>6</w:t>
      </w:r>
      <w:r w:rsidRPr="009F6536">
        <w:rPr>
          <w:rFonts w:ascii="Times New Roman" w:eastAsia="Cambria" w:hAnsi="Times New Roman" w:cs="Times New Roman"/>
          <w:sz w:val="16"/>
          <w:szCs w:val="16"/>
        </w:rPr>
        <w:t xml:space="preserve">. Comparaciones de medias/rangos según </w:t>
      </w:r>
      <w:r w:rsidRPr="009F6536">
        <w:rPr>
          <w:rFonts w:ascii="Times New Roman" w:eastAsia="Cambria" w:hAnsi="Times New Roman" w:cs="Times New Roman"/>
          <w:color w:val="ED7D31"/>
          <w:sz w:val="16"/>
          <w:szCs w:val="16"/>
          <w:u w:val="single"/>
        </w:rPr>
        <w:t>año de ingreso a la universidad</w:t>
      </w:r>
      <w:bookmarkEnd w:id="21"/>
      <w:r w:rsidRPr="009F6536">
        <w:rPr>
          <w:rFonts w:ascii="Times New Roman" w:eastAsia="Cambria" w:hAnsi="Times New Roman" w:cs="Times New Roman"/>
          <w:color w:val="ED7D31"/>
          <w:sz w:val="16"/>
          <w:szCs w:val="16"/>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81"/>
        <w:gridCol w:w="2973"/>
        <w:gridCol w:w="2975"/>
      </w:tblGrid>
      <w:tr w:rsidR="00371817" w:rsidRPr="009F6536" w14:paraId="40628A42" w14:textId="77777777" w:rsidTr="009F6536">
        <w:trPr>
          <w:trHeight w:val="288"/>
          <w:jc w:val="center"/>
        </w:trPr>
        <w:tc>
          <w:tcPr>
            <w:tcW w:w="1911" w:type="pct"/>
            <w:vMerge w:val="restart"/>
            <w:shd w:val="clear" w:color="auto" w:fill="0070C0"/>
            <w:vAlign w:val="center"/>
          </w:tcPr>
          <w:p w14:paraId="7E51A819"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Variables/Dimensiones</w:t>
            </w:r>
          </w:p>
          <w:p w14:paraId="1DAABB39"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(puntuaciones)</w:t>
            </w:r>
          </w:p>
        </w:tc>
        <w:tc>
          <w:tcPr>
            <w:tcW w:w="1544" w:type="pct"/>
            <w:shd w:val="clear" w:color="auto" w:fill="0070C0"/>
            <w:vAlign w:val="bottom"/>
          </w:tcPr>
          <w:p w14:paraId="39DD422A"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Contraste paramétrico</w:t>
            </w:r>
          </w:p>
          <w:p w14:paraId="78401188"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Prueba t para la igualdad de medias</w:t>
            </w:r>
          </w:p>
        </w:tc>
        <w:tc>
          <w:tcPr>
            <w:tcW w:w="1545" w:type="pct"/>
            <w:shd w:val="clear" w:color="auto" w:fill="0070C0"/>
          </w:tcPr>
          <w:p w14:paraId="4CED8B29"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Contraste no Paramétrico</w:t>
            </w:r>
          </w:p>
          <w:p w14:paraId="50008E5E"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H de Kruskal-Wallis</w:t>
            </w:r>
          </w:p>
        </w:tc>
      </w:tr>
      <w:tr w:rsidR="00371817" w:rsidRPr="009F6536" w14:paraId="40B2B1E5" w14:textId="77777777" w:rsidTr="009F6536">
        <w:trPr>
          <w:trHeight w:val="288"/>
          <w:jc w:val="center"/>
        </w:trPr>
        <w:tc>
          <w:tcPr>
            <w:tcW w:w="1911" w:type="pct"/>
            <w:vMerge/>
            <w:shd w:val="clear" w:color="auto" w:fill="0070C0"/>
            <w:vAlign w:val="center"/>
          </w:tcPr>
          <w:p w14:paraId="1F5EE536" w14:textId="77777777" w:rsidR="00371817" w:rsidRPr="009F6536" w:rsidRDefault="00371817" w:rsidP="00590287">
            <w:pPr>
              <w:widowControl w:val="0"/>
              <w:pBdr>
                <w:top w:val="nil"/>
                <w:left w:val="nil"/>
                <w:bottom w:val="nil"/>
                <w:right w:val="nil"/>
                <w:between w:val="nil"/>
              </w:pBdr>
              <w:spacing w:after="0" w:line="276" w:lineRule="auto"/>
              <w:ind w:left="0" w:hanging="2"/>
              <w:rPr>
                <w:rFonts w:eastAsia="Cambria"/>
                <w:b/>
                <w:color w:val="FFFFFF"/>
                <w:sz w:val="16"/>
                <w:szCs w:val="16"/>
              </w:rPr>
            </w:pPr>
          </w:p>
        </w:tc>
        <w:tc>
          <w:tcPr>
            <w:tcW w:w="1544" w:type="pct"/>
            <w:shd w:val="clear" w:color="auto" w:fill="0070C0"/>
            <w:vAlign w:val="bottom"/>
          </w:tcPr>
          <w:p w14:paraId="168C1D4A"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 xml:space="preserve">Sig. (bilateral) </w:t>
            </w:r>
          </w:p>
          <w:p w14:paraId="184C5D1A"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(Valor-p)</w:t>
            </w:r>
          </w:p>
        </w:tc>
        <w:tc>
          <w:tcPr>
            <w:tcW w:w="1545" w:type="pct"/>
            <w:shd w:val="clear" w:color="auto" w:fill="0070C0"/>
          </w:tcPr>
          <w:p w14:paraId="449C7148" w14:textId="77777777" w:rsidR="00371817" w:rsidRPr="009F6536" w:rsidRDefault="00371817" w:rsidP="00590287">
            <w:pPr>
              <w:spacing w:after="0" w:line="276" w:lineRule="auto"/>
              <w:ind w:left="0" w:hanging="2"/>
              <w:jc w:val="center"/>
              <w:rPr>
                <w:rFonts w:eastAsia="Cambria"/>
                <w:b/>
                <w:color w:val="FFFFFF"/>
                <w:sz w:val="16"/>
                <w:szCs w:val="16"/>
              </w:rPr>
            </w:pPr>
            <w:r w:rsidRPr="009F6536">
              <w:rPr>
                <w:rFonts w:eastAsia="Cambria"/>
                <w:b/>
                <w:color w:val="FFFFFF"/>
                <w:sz w:val="16"/>
                <w:szCs w:val="16"/>
              </w:rPr>
              <w:t>Sig. asintótica(bilateral) (Valor-p)</w:t>
            </w:r>
          </w:p>
        </w:tc>
      </w:tr>
      <w:tr w:rsidR="00371817" w:rsidRPr="009F6536" w14:paraId="2E578050" w14:textId="77777777" w:rsidTr="009F6536">
        <w:trPr>
          <w:trHeight w:val="288"/>
          <w:jc w:val="center"/>
        </w:trPr>
        <w:tc>
          <w:tcPr>
            <w:tcW w:w="1911" w:type="pct"/>
            <w:shd w:val="clear" w:color="auto" w:fill="auto"/>
            <w:vAlign w:val="center"/>
          </w:tcPr>
          <w:p w14:paraId="225F76C2" w14:textId="77777777" w:rsidR="00371817" w:rsidRPr="009F6536" w:rsidRDefault="00371817" w:rsidP="00590287">
            <w:pPr>
              <w:spacing w:after="0" w:line="276" w:lineRule="auto"/>
              <w:ind w:left="0" w:hanging="2"/>
              <w:rPr>
                <w:rFonts w:eastAsia="Cambria"/>
                <w:color w:val="000000"/>
                <w:sz w:val="16"/>
                <w:szCs w:val="16"/>
              </w:rPr>
            </w:pPr>
            <w:r w:rsidRPr="009F6536">
              <w:rPr>
                <w:rFonts w:eastAsia="Cambria"/>
                <w:color w:val="000000"/>
                <w:sz w:val="16"/>
                <w:szCs w:val="16"/>
              </w:rPr>
              <w:t>Servicios estudiantiles</w:t>
            </w:r>
          </w:p>
        </w:tc>
        <w:tc>
          <w:tcPr>
            <w:tcW w:w="1544" w:type="pct"/>
            <w:shd w:val="clear" w:color="auto" w:fill="auto"/>
            <w:vAlign w:val="center"/>
          </w:tcPr>
          <w:p w14:paraId="435BBEC7" w14:textId="77777777" w:rsidR="00371817" w:rsidRPr="009F6536" w:rsidRDefault="00371817" w:rsidP="00590287">
            <w:pPr>
              <w:spacing w:after="0" w:line="276" w:lineRule="auto"/>
              <w:ind w:left="0" w:hanging="2"/>
              <w:jc w:val="center"/>
              <w:rPr>
                <w:rFonts w:eastAsia="Cambria"/>
                <w:color w:val="000000"/>
                <w:sz w:val="16"/>
                <w:szCs w:val="16"/>
              </w:rPr>
            </w:pPr>
            <w:r w:rsidRPr="009F6536">
              <w:rPr>
                <w:rFonts w:eastAsia="Cambria"/>
                <w:color w:val="000000"/>
                <w:sz w:val="16"/>
                <w:szCs w:val="16"/>
              </w:rPr>
              <w:t>0,001*</w:t>
            </w:r>
          </w:p>
        </w:tc>
        <w:tc>
          <w:tcPr>
            <w:tcW w:w="1545" w:type="pct"/>
          </w:tcPr>
          <w:p w14:paraId="31B2AB04" w14:textId="77777777" w:rsidR="00371817" w:rsidRPr="009F6536" w:rsidRDefault="00371817" w:rsidP="00590287">
            <w:pPr>
              <w:spacing w:after="0" w:line="276" w:lineRule="auto"/>
              <w:ind w:left="0" w:hanging="2"/>
              <w:jc w:val="center"/>
              <w:rPr>
                <w:rFonts w:eastAsia="Cambria"/>
                <w:color w:val="000000"/>
                <w:sz w:val="16"/>
                <w:szCs w:val="16"/>
              </w:rPr>
            </w:pPr>
            <w:r w:rsidRPr="009F6536">
              <w:rPr>
                <w:sz w:val="16"/>
                <w:szCs w:val="16"/>
              </w:rPr>
              <w:t>0,000*</w:t>
            </w:r>
          </w:p>
        </w:tc>
      </w:tr>
      <w:tr w:rsidR="00371817" w:rsidRPr="009F6536" w14:paraId="71C7E23D" w14:textId="77777777" w:rsidTr="009F6536">
        <w:trPr>
          <w:trHeight w:val="288"/>
          <w:jc w:val="center"/>
        </w:trPr>
        <w:tc>
          <w:tcPr>
            <w:tcW w:w="1911" w:type="pct"/>
            <w:shd w:val="clear" w:color="auto" w:fill="auto"/>
            <w:vAlign w:val="center"/>
          </w:tcPr>
          <w:p w14:paraId="6DE237F4" w14:textId="77777777" w:rsidR="00371817" w:rsidRPr="009F6536" w:rsidRDefault="00371817" w:rsidP="00590287">
            <w:pPr>
              <w:spacing w:after="0" w:line="276" w:lineRule="auto"/>
              <w:ind w:left="0" w:hanging="2"/>
              <w:rPr>
                <w:rFonts w:eastAsia="Cambria"/>
                <w:color w:val="000000"/>
                <w:sz w:val="16"/>
                <w:szCs w:val="16"/>
              </w:rPr>
            </w:pPr>
            <w:r w:rsidRPr="009F6536">
              <w:rPr>
                <w:rFonts w:eastAsia="Cambria"/>
                <w:color w:val="000000"/>
                <w:sz w:val="16"/>
                <w:szCs w:val="16"/>
              </w:rPr>
              <w:lastRenderedPageBreak/>
              <w:t>Convivencia</w:t>
            </w:r>
          </w:p>
        </w:tc>
        <w:tc>
          <w:tcPr>
            <w:tcW w:w="1544" w:type="pct"/>
            <w:shd w:val="clear" w:color="auto" w:fill="auto"/>
            <w:vAlign w:val="center"/>
          </w:tcPr>
          <w:p w14:paraId="1A898301" w14:textId="77777777" w:rsidR="00371817" w:rsidRPr="009F6536" w:rsidRDefault="00371817" w:rsidP="00590287">
            <w:pPr>
              <w:spacing w:after="0" w:line="276" w:lineRule="auto"/>
              <w:ind w:left="0" w:hanging="2"/>
              <w:jc w:val="center"/>
              <w:rPr>
                <w:rFonts w:eastAsia="Cambria"/>
                <w:color w:val="000000"/>
                <w:sz w:val="16"/>
                <w:szCs w:val="16"/>
              </w:rPr>
            </w:pPr>
            <w:r w:rsidRPr="009F6536">
              <w:rPr>
                <w:rFonts w:eastAsia="Cambria"/>
                <w:color w:val="000000"/>
                <w:sz w:val="16"/>
                <w:szCs w:val="16"/>
              </w:rPr>
              <w:t>0,000*</w:t>
            </w:r>
          </w:p>
        </w:tc>
        <w:tc>
          <w:tcPr>
            <w:tcW w:w="1545" w:type="pct"/>
          </w:tcPr>
          <w:p w14:paraId="28737E7A" w14:textId="77777777" w:rsidR="00371817" w:rsidRPr="009F6536" w:rsidRDefault="00371817" w:rsidP="00590287">
            <w:pPr>
              <w:spacing w:after="0" w:line="276" w:lineRule="auto"/>
              <w:ind w:left="0" w:hanging="2"/>
              <w:jc w:val="center"/>
              <w:rPr>
                <w:rFonts w:eastAsia="Cambria"/>
                <w:color w:val="000000"/>
                <w:sz w:val="16"/>
                <w:szCs w:val="16"/>
              </w:rPr>
            </w:pPr>
            <w:r w:rsidRPr="009F6536">
              <w:rPr>
                <w:sz w:val="16"/>
                <w:szCs w:val="16"/>
              </w:rPr>
              <w:t>0,000*</w:t>
            </w:r>
          </w:p>
        </w:tc>
      </w:tr>
      <w:tr w:rsidR="00371817" w:rsidRPr="009F6536" w14:paraId="6287A9A1" w14:textId="77777777" w:rsidTr="009F6536">
        <w:trPr>
          <w:trHeight w:val="178"/>
          <w:jc w:val="center"/>
        </w:trPr>
        <w:tc>
          <w:tcPr>
            <w:tcW w:w="1911" w:type="pct"/>
            <w:shd w:val="clear" w:color="auto" w:fill="auto"/>
            <w:vAlign w:val="center"/>
          </w:tcPr>
          <w:p w14:paraId="3E0C6CC7" w14:textId="78A54CA5" w:rsidR="00371817" w:rsidRPr="009F6536" w:rsidRDefault="00371817" w:rsidP="009F6536">
            <w:pPr>
              <w:spacing w:after="0" w:line="276" w:lineRule="auto"/>
              <w:ind w:left="0" w:hanging="2"/>
              <w:rPr>
                <w:rFonts w:eastAsia="Cambria"/>
                <w:color w:val="000000"/>
                <w:sz w:val="16"/>
                <w:szCs w:val="16"/>
              </w:rPr>
            </w:pPr>
            <w:r w:rsidRPr="009F6536">
              <w:rPr>
                <w:rFonts w:eastAsia="Cambria"/>
                <w:color w:val="000000"/>
                <w:sz w:val="16"/>
                <w:szCs w:val="16"/>
              </w:rPr>
              <w:t>Responsabilidad Social</w:t>
            </w:r>
            <w:r w:rsidR="009F6536">
              <w:rPr>
                <w:rFonts w:eastAsia="Cambria"/>
                <w:color w:val="000000"/>
                <w:sz w:val="16"/>
                <w:szCs w:val="16"/>
              </w:rPr>
              <w:t xml:space="preserve"> </w:t>
            </w:r>
            <w:r w:rsidRPr="009F6536">
              <w:rPr>
                <w:rFonts w:eastAsia="Cambria"/>
                <w:color w:val="000000"/>
                <w:sz w:val="16"/>
                <w:szCs w:val="16"/>
              </w:rPr>
              <w:t>Estudiantil y Universitaria</w:t>
            </w:r>
          </w:p>
        </w:tc>
        <w:tc>
          <w:tcPr>
            <w:tcW w:w="1544" w:type="pct"/>
            <w:shd w:val="clear" w:color="auto" w:fill="auto"/>
            <w:vAlign w:val="center"/>
          </w:tcPr>
          <w:p w14:paraId="7DB5EC40" w14:textId="77777777" w:rsidR="00371817" w:rsidRPr="009F6536" w:rsidRDefault="00371817" w:rsidP="00590287">
            <w:pPr>
              <w:spacing w:after="0" w:line="276" w:lineRule="auto"/>
              <w:ind w:left="0" w:hanging="2"/>
              <w:jc w:val="center"/>
              <w:rPr>
                <w:rFonts w:eastAsia="Cambria"/>
                <w:color w:val="000000"/>
                <w:sz w:val="16"/>
                <w:szCs w:val="16"/>
              </w:rPr>
            </w:pPr>
            <w:r w:rsidRPr="009F6536">
              <w:rPr>
                <w:rFonts w:eastAsia="Cambria"/>
                <w:color w:val="000000"/>
                <w:sz w:val="16"/>
                <w:szCs w:val="16"/>
              </w:rPr>
              <w:t>0,000*</w:t>
            </w:r>
          </w:p>
        </w:tc>
        <w:tc>
          <w:tcPr>
            <w:tcW w:w="1545" w:type="pct"/>
          </w:tcPr>
          <w:p w14:paraId="47354AE9" w14:textId="77777777" w:rsidR="00371817" w:rsidRPr="009F6536" w:rsidRDefault="00371817" w:rsidP="00590287">
            <w:pPr>
              <w:spacing w:after="0" w:line="276" w:lineRule="auto"/>
              <w:ind w:left="0" w:hanging="2"/>
              <w:jc w:val="center"/>
              <w:rPr>
                <w:rFonts w:eastAsia="Cambria"/>
                <w:color w:val="000000"/>
                <w:sz w:val="16"/>
                <w:szCs w:val="16"/>
              </w:rPr>
            </w:pPr>
            <w:r w:rsidRPr="009F6536">
              <w:rPr>
                <w:sz w:val="16"/>
                <w:szCs w:val="16"/>
              </w:rPr>
              <w:t>0,000*</w:t>
            </w:r>
          </w:p>
        </w:tc>
      </w:tr>
      <w:tr w:rsidR="00371817" w:rsidRPr="009F6536" w14:paraId="68F2736E" w14:textId="77777777" w:rsidTr="009F6536">
        <w:trPr>
          <w:trHeight w:val="288"/>
          <w:jc w:val="center"/>
        </w:trPr>
        <w:tc>
          <w:tcPr>
            <w:tcW w:w="1911" w:type="pct"/>
            <w:shd w:val="clear" w:color="auto" w:fill="auto"/>
            <w:vAlign w:val="center"/>
          </w:tcPr>
          <w:p w14:paraId="09836F4A" w14:textId="77777777" w:rsidR="00371817" w:rsidRPr="009F6536" w:rsidRDefault="00371817" w:rsidP="00590287">
            <w:pPr>
              <w:spacing w:after="0" w:line="276" w:lineRule="auto"/>
              <w:ind w:left="0" w:hanging="2"/>
              <w:rPr>
                <w:rFonts w:eastAsia="Cambria"/>
                <w:color w:val="000000"/>
                <w:sz w:val="16"/>
                <w:szCs w:val="16"/>
              </w:rPr>
            </w:pPr>
            <w:r w:rsidRPr="009F6536">
              <w:rPr>
                <w:rFonts w:eastAsia="Cambria"/>
                <w:color w:val="000000"/>
                <w:sz w:val="16"/>
                <w:szCs w:val="16"/>
              </w:rPr>
              <w:t>Instrumento</w:t>
            </w:r>
          </w:p>
        </w:tc>
        <w:tc>
          <w:tcPr>
            <w:tcW w:w="1544" w:type="pct"/>
            <w:shd w:val="clear" w:color="auto" w:fill="auto"/>
            <w:vAlign w:val="center"/>
          </w:tcPr>
          <w:p w14:paraId="12512FA5" w14:textId="77777777" w:rsidR="00371817" w:rsidRPr="009F6536" w:rsidRDefault="00371817" w:rsidP="00590287">
            <w:pPr>
              <w:spacing w:after="0" w:line="276" w:lineRule="auto"/>
              <w:ind w:left="0" w:hanging="2"/>
              <w:jc w:val="center"/>
              <w:rPr>
                <w:rFonts w:eastAsia="Cambria"/>
                <w:color w:val="000000"/>
                <w:sz w:val="16"/>
                <w:szCs w:val="16"/>
              </w:rPr>
            </w:pPr>
            <w:r w:rsidRPr="009F6536">
              <w:rPr>
                <w:rFonts w:eastAsia="Cambria"/>
                <w:color w:val="000000"/>
                <w:sz w:val="16"/>
                <w:szCs w:val="16"/>
              </w:rPr>
              <w:t>0,000*</w:t>
            </w:r>
          </w:p>
        </w:tc>
        <w:tc>
          <w:tcPr>
            <w:tcW w:w="1545" w:type="pct"/>
          </w:tcPr>
          <w:p w14:paraId="4F9D848A" w14:textId="77777777" w:rsidR="00371817" w:rsidRPr="009F6536" w:rsidRDefault="00371817" w:rsidP="00590287">
            <w:pPr>
              <w:spacing w:after="0" w:line="276" w:lineRule="auto"/>
              <w:ind w:left="0" w:hanging="2"/>
              <w:jc w:val="center"/>
              <w:rPr>
                <w:rFonts w:eastAsia="Cambria"/>
                <w:color w:val="000000"/>
                <w:sz w:val="16"/>
                <w:szCs w:val="16"/>
              </w:rPr>
            </w:pPr>
            <w:r w:rsidRPr="009F6536">
              <w:rPr>
                <w:sz w:val="16"/>
                <w:szCs w:val="16"/>
              </w:rPr>
              <w:t>0,000*</w:t>
            </w:r>
          </w:p>
        </w:tc>
      </w:tr>
    </w:tbl>
    <w:p w14:paraId="38431FDF" w14:textId="77777777" w:rsidR="00371817" w:rsidRPr="009F6536" w:rsidRDefault="00371817" w:rsidP="00371817">
      <w:pPr>
        <w:pBdr>
          <w:top w:val="nil"/>
          <w:left w:val="nil"/>
          <w:bottom w:val="nil"/>
          <w:right w:val="nil"/>
          <w:between w:val="nil"/>
        </w:pBdr>
        <w:spacing w:after="0" w:line="240" w:lineRule="auto"/>
        <w:ind w:left="0" w:hanging="2"/>
        <w:rPr>
          <w:rFonts w:eastAsia="Cambria"/>
          <w:b/>
          <w:color w:val="000000"/>
          <w:sz w:val="16"/>
          <w:szCs w:val="16"/>
        </w:rPr>
      </w:pPr>
      <w:r w:rsidRPr="009F6536">
        <w:rPr>
          <w:rFonts w:eastAsia="Cambria"/>
          <w:b/>
          <w:color w:val="000000"/>
          <w:sz w:val="16"/>
          <w:szCs w:val="16"/>
        </w:rPr>
        <w:t>*Diferencia de puntuación estadísticamente significativa con un valor-p &lt; 0,05</w:t>
      </w:r>
    </w:p>
    <w:p w14:paraId="022A90D9" w14:textId="77777777" w:rsidR="00371817" w:rsidRPr="009F6536" w:rsidRDefault="00371817" w:rsidP="00371817">
      <w:pPr>
        <w:pBdr>
          <w:top w:val="nil"/>
          <w:left w:val="nil"/>
          <w:bottom w:val="nil"/>
          <w:right w:val="nil"/>
          <w:between w:val="nil"/>
        </w:pBdr>
        <w:spacing w:after="0" w:line="240" w:lineRule="auto"/>
        <w:ind w:left="0" w:hanging="2"/>
        <w:jc w:val="center"/>
        <w:rPr>
          <w:rFonts w:eastAsia="Cambria"/>
          <w:color w:val="000000"/>
          <w:sz w:val="16"/>
          <w:szCs w:val="16"/>
        </w:rPr>
      </w:pPr>
      <w:r w:rsidRPr="009F6536">
        <w:rPr>
          <w:rFonts w:eastAsia="Cambria"/>
          <w:color w:val="000000"/>
          <w:sz w:val="16"/>
          <w:szCs w:val="16"/>
        </w:rPr>
        <w:t>Fuente: Encuesta de Satisfacción Estudiantil sobre Experiencia Universitaria (2022)</w:t>
      </w:r>
    </w:p>
    <w:p w14:paraId="36037859" w14:textId="77777777" w:rsidR="00371817" w:rsidRDefault="00371817" w:rsidP="00371817">
      <w:pPr>
        <w:pBdr>
          <w:top w:val="nil"/>
          <w:left w:val="nil"/>
          <w:bottom w:val="nil"/>
          <w:right w:val="nil"/>
          <w:between w:val="nil"/>
        </w:pBdr>
        <w:spacing w:after="0" w:line="240" w:lineRule="auto"/>
        <w:ind w:left="0" w:hanging="2"/>
        <w:rPr>
          <w:color w:val="000000"/>
        </w:rPr>
      </w:pPr>
    </w:p>
    <w:p w14:paraId="0571786C" w14:textId="77777777" w:rsidR="00E30D25" w:rsidRDefault="00371817" w:rsidP="00E30D25">
      <w:pPr>
        <w:pBdr>
          <w:top w:val="nil"/>
          <w:left w:val="nil"/>
          <w:bottom w:val="nil"/>
          <w:right w:val="nil"/>
          <w:between w:val="nil"/>
        </w:pBdr>
        <w:spacing w:after="0" w:line="240" w:lineRule="auto"/>
        <w:ind w:left="0" w:hanging="2"/>
        <w:rPr>
          <w:rFonts w:eastAsia="Cambria"/>
          <w:color w:val="000000"/>
          <w:sz w:val="24"/>
          <w:szCs w:val="24"/>
        </w:rPr>
      </w:pPr>
      <w:r w:rsidRPr="009F6536">
        <w:rPr>
          <w:rFonts w:eastAsia="Cambria"/>
          <w:color w:val="000000"/>
          <w:sz w:val="24"/>
          <w:szCs w:val="24"/>
        </w:rPr>
        <w:t xml:space="preserve">Como se puede observar, se evidencian diferencias en la puntuación según los diferentes grupos de años de ingreso a la universidad señalados. De esta manera, en ambos tipos de estadísticos se obtiene que las diferencias de medias entre los grupos de ingreso son estadísticamente significativas. </w:t>
      </w:r>
      <w:r w:rsidR="00E30D25">
        <w:rPr>
          <w:rFonts w:eastAsia="Cambria"/>
          <w:color w:val="000000"/>
          <w:sz w:val="24"/>
          <w:szCs w:val="24"/>
        </w:rPr>
        <w:t xml:space="preserve"> Por ello, s</w:t>
      </w:r>
      <w:r w:rsidRPr="009F6536">
        <w:rPr>
          <w:rFonts w:eastAsia="Cambria"/>
          <w:color w:val="000000"/>
          <w:sz w:val="24"/>
          <w:szCs w:val="24"/>
        </w:rPr>
        <w:t xml:space="preserve">e puede afirmar, con un nivel de confianza del 95% y un valor-p inferior al 5% establecido, que la diferencia en la puntuación media de evaluación de los/as estudiantes, entre las dimensiones del cuestionario, así como en la escala del instrumento en general, varía o cambia según el año de ingreso. </w:t>
      </w:r>
    </w:p>
    <w:p w14:paraId="53291B0C" w14:textId="77777777" w:rsidR="00E30D25" w:rsidRDefault="00E30D25" w:rsidP="00E30D25">
      <w:pPr>
        <w:pBdr>
          <w:top w:val="nil"/>
          <w:left w:val="nil"/>
          <w:bottom w:val="nil"/>
          <w:right w:val="nil"/>
          <w:between w:val="nil"/>
        </w:pBdr>
        <w:spacing w:after="0" w:line="240" w:lineRule="auto"/>
        <w:ind w:left="0" w:hanging="2"/>
        <w:rPr>
          <w:rFonts w:eastAsia="Cambria"/>
          <w:color w:val="000000"/>
          <w:sz w:val="24"/>
          <w:szCs w:val="24"/>
        </w:rPr>
      </w:pPr>
    </w:p>
    <w:p w14:paraId="790C2B07" w14:textId="3ACB27DF" w:rsidR="00371817" w:rsidRPr="009E2D10" w:rsidRDefault="00371817" w:rsidP="009E2D10">
      <w:pPr>
        <w:pBdr>
          <w:top w:val="nil"/>
          <w:left w:val="nil"/>
          <w:bottom w:val="nil"/>
          <w:right w:val="nil"/>
          <w:between w:val="nil"/>
        </w:pBdr>
        <w:spacing w:after="0" w:line="240" w:lineRule="auto"/>
        <w:ind w:left="0" w:hanging="2"/>
        <w:rPr>
          <w:rFonts w:eastAsia="Cambria"/>
          <w:color w:val="000000"/>
          <w:sz w:val="24"/>
          <w:szCs w:val="24"/>
        </w:rPr>
      </w:pPr>
      <w:r w:rsidRPr="009F6536">
        <w:rPr>
          <w:rFonts w:eastAsia="Cambria"/>
          <w:color w:val="000000"/>
          <w:sz w:val="24"/>
          <w:szCs w:val="24"/>
        </w:rPr>
        <w:t xml:space="preserve">Junto a ello, también se observa que esta puntuación de </w:t>
      </w:r>
      <w:r w:rsidR="00E30D25">
        <w:rPr>
          <w:rFonts w:eastAsia="Cambria"/>
          <w:color w:val="000000"/>
          <w:sz w:val="24"/>
          <w:szCs w:val="24"/>
        </w:rPr>
        <w:t>satisfacción</w:t>
      </w:r>
      <w:r w:rsidRPr="009F6536">
        <w:rPr>
          <w:rFonts w:eastAsia="Cambria"/>
          <w:color w:val="000000"/>
          <w:sz w:val="24"/>
          <w:szCs w:val="24"/>
        </w:rPr>
        <w:t xml:space="preserve"> en relación a la experiencia universitaria en la institución </w:t>
      </w:r>
      <w:r w:rsidRPr="009F6536">
        <w:rPr>
          <w:rFonts w:eastAsia="Cambria"/>
          <w:b/>
          <w:color w:val="000000"/>
          <w:sz w:val="24"/>
          <w:szCs w:val="24"/>
        </w:rPr>
        <w:t>disminuye</w:t>
      </w:r>
      <w:r w:rsidRPr="009F6536">
        <w:rPr>
          <w:rFonts w:eastAsia="Cambria"/>
          <w:color w:val="000000"/>
          <w:sz w:val="24"/>
          <w:szCs w:val="24"/>
        </w:rPr>
        <w:t xml:space="preserve"> en las generaciones más antiguas (2008 a 2017, 2018 y 2019) en comparación a las generaciones de ingreso más recientes (2020, 2021 y 2022). </w:t>
      </w:r>
    </w:p>
    <w:p w14:paraId="62DBAD64" w14:textId="77777777" w:rsidR="00371817" w:rsidRPr="009F6536" w:rsidRDefault="00371817" w:rsidP="009F6536">
      <w:pPr>
        <w:pBdr>
          <w:top w:val="nil"/>
          <w:left w:val="nil"/>
          <w:bottom w:val="nil"/>
          <w:right w:val="nil"/>
          <w:between w:val="nil"/>
        </w:pBdr>
        <w:spacing w:after="0" w:line="240" w:lineRule="auto"/>
        <w:ind w:left="0" w:hanging="2"/>
        <w:rPr>
          <w:rFonts w:eastAsia="Cambria"/>
          <w:color w:val="000000"/>
          <w:sz w:val="24"/>
          <w:szCs w:val="24"/>
        </w:rPr>
      </w:pPr>
      <w:r w:rsidRPr="009F6536">
        <w:rPr>
          <w:rFonts w:eastAsia="Cambria"/>
          <w:color w:val="000000"/>
          <w:sz w:val="24"/>
          <w:szCs w:val="24"/>
        </w:rPr>
        <w:t>Por último, a modo de síntesis, en la siguiente tabla se presenta un análisis correlativo de las puntuaciones medias entre las dimensiones que componen el instrumento:</w:t>
      </w:r>
    </w:p>
    <w:p w14:paraId="7AAB624D" w14:textId="77777777" w:rsidR="00371817" w:rsidRPr="009F6536" w:rsidRDefault="00371817" w:rsidP="009F6536">
      <w:pPr>
        <w:pStyle w:val="Sinespaciado"/>
        <w:rPr>
          <w:rFonts w:ascii="Times New Roman" w:hAnsi="Times New Roman" w:cs="Times New Roman"/>
          <w:sz w:val="24"/>
          <w:szCs w:val="24"/>
        </w:rPr>
      </w:pPr>
    </w:p>
    <w:p w14:paraId="1BE71CAF" w14:textId="16CD19A6" w:rsidR="00371817" w:rsidRPr="009F6536" w:rsidRDefault="00371817" w:rsidP="009F6536">
      <w:pPr>
        <w:pStyle w:val="IndiceTablas"/>
        <w:ind w:hanging="2"/>
        <w:rPr>
          <w:rFonts w:ascii="Times New Roman" w:eastAsia="Cambria" w:hAnsi="Times New Roman" w:cs="Times New Roman"/>
          <w:sz w:val="16"/>
          <w:szCs w:val="16"/>
        </w:rPr>
      </w:pPr>
      <w:bookmarkStart w:id="22" w:name="_heading=h.3ygebqi" w:colFirst="0" w:colLast="0"/>
      <w:bookmarkStart w:id="23" w:name="_Toc111716092"/>
      <w:bookmarkEnd w:id="22"/>
      <w:r w:rsidRPr="009F6536">
        <w:rPr>
          <w:rFonts w:ascii="Times New Roman" w:eastAsia="Cambria" w:hAnsi="Times New Roman" w:cs="Times New Roman"/>
          <w:sz w:val="16"/>
          <w:szCs w:val="16"/>
        </w:rPr>
        <w:t xml:space="preserve">Tabla </w:t>
      </w:r>
      <w:r w:rsidR="00997987">
        <w:rPr>
          <w:rFonts w:ascii="Times New Roman" w:eastAsia="Cambria" w:hAnsi="Times New Roman" w:cs="Times New Roman"/>
          <w:sz w:val="16"/>
          <w:szCs w:val="16"/>
        </w:rPr>
        <w:t>7</w:t>
      </w:r>
      <w:r w:rsidRPr="009F6536">
        <w:rPr>
          <w:rFonts w:ascii="Times New Roman" w:eastAsia="Cambria" w:hAnsi="Times New Roman" w:cs="Times New Roman"/>
          <w:sz w:val="16"/>
          <w:szCs w:val="16"/>
        </w:rPr>
        <w:t>. Correlaciones paramétricas y no paramétricas para las dimensiones del instrumento</w:t>
      </w:r>
      <w:bookmarkEnd w:id="2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4"/>
        <w:gridCol w:w="1086"/>
        <w:gridCol w:w="1541"/>
        <w:gridCol w:w="1541"/>
        <w:gridCol w:w="1816"/>
        <w:gridCol w:w="1541"/>
      </w:tblGrid>
      <w:tr w:rsidR="00371817" w:rsidRPr="009F6536" w14:paraId="6C853BF0" w14:textId="77777777" w:rsidTr="00E43F05">
        <w:trPr>
          <w:cantSplit/>
        </w:trPr>
        <w:tc>
          <w:tcPr>
            <w:tcW w:w="1657" w:type="pct"/>
            <w:gridSpan w:val="2"/>
            <w:shd w:val="clear" w:color="auto" w:fill="auto"/>
            <w:vAlign w:val="center"/>
          </w:tcPr>
          <w:p w14:paraId="0C443108" w14:textId="77777777" w:rsidR="00371817" w:rsidRPr="009F6536" w:rsidRDefault="00371817" w:rsidP="009F6536">
            <w:pPr>
              <w:spacing w:after="0" w:line="240" w:lineRule="auto"/>
              <w:ind w:left="0" w:right="60" w:hanging="2"/>
              <w:jc w:val="center"/>
              <w:rPr>
                <w:rFonts w:eastAsia="Cambria"/>
                <w:b/>
                <w:sz w:val="16"/>
                <w:szCs w:val="16"/>
              </w:rPr>
            </w:pPr>
            <w:r w:rsidRPr="009F6536">
              <w:rPr>
                <w:rFonts w:eastAsia="Cambria"/>
                <w:b/>
                <w:sz w:val="16"/>
                <w:szCs w:val="16"/>
              </w:rPr>
              <w:t xml:space="preserve">Dimensiones </w:t>
            </w:r>
          </w:p>
          <w:p w14:paraId="2F19B003" w14:textId="77777777" w:rsidR="00371817" w:rsidRPr="009F6536" w:rsidRDefault="00371817" w:rsidP="009F6536">
            <w:pPr>
              <w:spacing w:after="0" w:line="240" w:lineRule="auto"/>
              <w:ind w:left="0" w:right="60" w:hanging="2"/>
              <w:jc w:val="center"/>
              <w:rPr>
                <w:rFonts w:eastAsia="Cambria"/>
                <w:b/>
                <w:color w:val="FFFFFF"/>
                <w:sz w:val="16"/>
                <w:szCs w:val="16"/>
              </w:rPr>
            </w:pPr>
            <w:r w:rsidRPr="009F6536">
              <w:rPr>
                <w:rFonts w:eastAsia="Cambria"/>
                <w:b/>
                <w:sz w:val="16"/>
                <w:szCs w:val="16"/>
              </w:rPr>
              <w:t>(puntuaciones medias</w:t>
            </w:r>
            <w:r w:rsidRPr="009F6536">
              <w:rPr>
                <w:rFonts w:eastAsia="Cambria"/>
                <w:b/>
                <w:color w:val="FFFFFF"/>
                <w:sz w:val="16"/>
                <w:szCs w:val="16"/>
              </w:rPr>
              <w:t>)</w:t>
            </w:r>
          </w:p>
        </w:tc>
        <w:tc>
          <w:tcPr>
            <w:tcW w:w="800" w:type="pct"/>
            <w:shd w:val="clear" w:color="auto" w:fill="00B0F0"/>
          </w:tcPr>
          <w:p w14:paraId="07822E19" w14:textId="77777777" w:rsidR="00371817" w:rsidRPr="009F6536" w:rsidRDefault="00371817" w:rsidP="009F6536">
            <w:pPr>
              <w:spacing w:after="0" w:line="240" w:lineRule="auto"/>
              <w:ind w:left="0" w:right="60" w:hanging="2"/>
              <w:jc w:val="center"/>
              <w:rPr>
                <w:rFonts w:eastAsia="Cambria"/>
                <w:b/>
                <w:color w:val="FFFFFF"/>
                <w:sz w:val="16"/>
                <w:szCs w:val="16"/>
              </w:rPr>
            </w:pPr>
            <w:r w:rsidRPr="009F6536">
              <w:rPr>
                <w:rFonts w:eastAsia="Cambria"/>
                <w:b/>
                <w:color w:val="FFFFFF"/>
                <w:sz w:val="16"/>
                <w:szCs w:val="16"/>
              </w:rPr>
              <w:t>Servicios estudiantiles</w:t>
            </w:r>
          </w:p>
        </w:tc>
        <w:tc>
          <w:tcPr>
            <w:tcW w:w="800" w:type="pct"/>
            <w:shd w:val="clear" w:color="auto" w:fill="00B0F0"/>
          </w:tcPr>
          <w:p w14:paraId="282F21BE" w14:textId="77777777" w:rsidR="00371817" w:rsidRPr="009F6536" w:rsidRDefault="00371817" w:rsidP="009F6536">
            <w:pPr>
              <w:spacing w:after="0" w:line="240" w:lineRule="auto"/>
              <w:ind w:left="0" w:right="60" w:hanging="2"/>
              <w:jc w:val="center"/>
              <w:rPr>
                <w:rFonts w:eastAsia="Cambria"/>
                <w:b/>
                <w:color w:val="FFFFFF"/>
                <w:sz w:val="16"/>
                <w:szCs w:val="16"/>
              </w:rPr>
            </w:pPr>
            <w:r w:rsidRPr="009F6536">
              <w:rPr>
                <w:rFonts w:eastAsia="Cambria"/>
                <w:b/>
                <w:color w:val="FFFFFF"/>
                <w:sz w:val="16"/>
                <w:szCs w:val="16"/>
              </w:rPr>
              <w:t>Convivencia</w:t>
            </w:r>
          </w:p>
        </w:tc>
        <w:tc>
          <w:tcPr>
            <w:tcW w:w="943" w:type="pct"/>
            <w:shd w:val="clear" w:color="auto" w:fill="00B0F0"/>
          </w:tcPr>
          <w:p w14:paraId="332E3364" w14:textId="77777777" w:rsidR="00371817" w:rsidRPr="009F6536" w:rsidRDefault="00371817" w:rsidP="009F6536">
            <w:pPr>
              <w:spacing w:after="0" w:line="240" w:lineRule="auto"/>
              <w:ind w:left="0" w:right="60" w:hanging="2"/>
              <w:jc w:val="center"/>
              <w:rPr>
                <w:rFonts w:eastAsia="Cambria"/>
                <w:b/>
                <w:color w:val="FFFFFF"/>
                <w:sz w:val="16"/>
                <w:szCs w:val="16"/>
              </w:rPr>
            </w:pPr>
            <w:r w:rsidRPr="009F6536">
              <w:rPr>
                <w:rFonts w:eastAsia="Cambria"/>
                <w:b/>
                <w:color w:val="FFFFFF"/>
                <w:sz w:val="16"/>
                <w:szCs w:val="16"/>
              </w:rPr>
              <w:t>Responsabilidad Social Universitaria</w:t>
            </w:r>
          </w:p>
        </w:tc>
        <w:tc>
          <w:tcPr>
            <w:tcW w:w="801" w:type="pct"/>
            <w:shd w:val="clear" w:color="auto" w:fill="00B0F0"/>
          </w:tcPr>
          <w:p w14:paraId="0E76541B" w14:textId="77777777" w:rsidR="00371817" w:rsidRPr="009F6536" w:rsidRDefault="00371817" w:rsidP="009F6536">
            <w:pPr>
              <w:spacing w:after="0" w:line="240" w:lineRule="auto"/>
              <w:ind w:left="0" w:right="60" w:hanging="2"/>
              <w:jc w:val="center"/>
              <w:rPr>
                <w:rFonts w:eastAsia="Cambria"/>
                <w:b/>
                <w:color w:val="FFFFFF"/>
                <w:sz w:val="16"/>
                <w:szCs w:val="16"/>
              </w:rPr>
            </w:pPr>
            <w:r w:rsidRPr="009F6536">
              <w:rPr>
                <w:rFonts w:eastAsia="Cambria"/>
                <w:b/>
                <w:color w:val="FFFFFF"/>
                <w:sz w:val="16"/>
                <w:szCs w:val="16"/>
              </w:rPr>
              <w:t>Instrumento</w:t>
            </w:r>
          </w:p>
        </w:tc>
      </w:tr>
      <w:tr w:rsidR="00371817" w:rsidRPr="009F6536" w14:paraId="7A2206ED" w14:textId="77777777" w:rsidTr="00E43F05">
        <w:trPr>
          <w:cantSplit/>
        </w:trPr>
        <w:tc>
          <w:tcPr>
            <w:tcW w:w="1093" w:type="pct"/>
            <w:vMerge w:val="restart"/>
            <w:shd w:val="clear" w:color="auto" w:fill="00B0F0"/>
            <w:vAlign w:val="center"/>
          </w:tcPr>
          <w:p w14:paraId="4E5965DD" w14:textId="77777777" w:rsidR="00371817" w:rsidRPr="009F6536" w:rsidRDefault="00371817" w:rsidP="009F6536">
            <w:pPr>
              <w:spacing w:after="0" w:line="240" w:lineRule="auto"/>
              <w:ind w:left="0" w:right="60" w:hanging="2"/>
              <w:rPr>
                <w:rFonts w:eastAsia="Cambria"/>
                <w:b/>
                <w:color w:val="FFFFFF"/>
                <w:sz w:val="16"/>
                <w:szCs w:val="16"/>
              </w:rPr>
            </w:pPr>
            <w:r w:rsidRPr="009F6536">
              <w:rPr>
                <w:rFonts w:eastAsia="Cambria"/>
                <w:b/>
                <w:color w:val="FFFFFF"/>
                <w:sz w:val="16"/>
                <w:szCs w:val="16"/>
              </w:rPr>
              <w:t>Servicios Estudiantiles</w:t>
            </w:r>
          </w:p>
        </w:tc>
        <w:tc>
          <w:tcPr>
            <w:tcW w:w="564" w:type="pct"/>
            <w:shd w:val="clear" w:color="auto" w:fill="00B0F0"/>
          </w:tcPr>
          <w:p w14:paraId="56A5BCE7"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Pearson</w:t>
            </w:r>
          </w:p>
        </w:tc>
        <w:tc>
          <w:tcPr>
            <w:tcW w:w="800" w:type="pct"/>
            <w:shd w:val="clear" w:color="auto" w:fill="FFFFFF"/>
          </w:tcPr>
          <w:p w14:paraId="2F4CE028"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c>
          <w:tcPr>
            <w:tcW w:w="800" w:type="pct"/>
            <w:shd w:val="clear" w:color="auto" w:fill="FFFFFF"/>
          </w:tcPr>
          <w:p w14:paraId="33402A23"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0,610**</w:t>
            </w:r>
          </w:p>
        </w:tc>
        <w:tc>
          <w:tcPr>
            <w:tcW w:w="943" w:type="pct"/>
            <w:shd w:val="clear" w:color="auto" w:fill="FFFFFF"/>
          </w:tcPr>
          <w:p w14:paraId="3F9D3EC1"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0,649**</w:t>
            </w:r>
          </w:p>
        </w:tc>
        <w:tc>
          <w:tcPr>
            <w:tcW w:w="801" w:type="pct"/>
            <w:shd w:val="clear" w:color="auto" w:fill="FFFFFF"/>
          </w:tcPr>
          <w:p w14:paraId="0E7D5B3E"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0,909**</w:t>
            </w:r>
          </w:p>
        </w:tc>
      </w:tr>
      <w:tr w:rsidR="00371817" w:rsidRPr="009F6536" w14:paraId="5778144D" w14:textId="77777777" w:rsidTr="00E43F05">
        <w:trPr>
          <w:cantSplit/>
        </w:trPr>
        <w:tc>
          <w:tcPr>
            <w:tcW w:w="1093" w:type="pct"/>
            <w:vMerge/>
            <w:shd w:val="clear" w:color="auto" w:fill="00B0F0"/>
            <w:vAlign w:val="center"/>
          </w:tcPr>
          <w:p w14:paraId="0670B527" w14:textId="77777777" w:rsidR="00371817" w:rsidRPr="009F6536" w:rsidRDefault="00371817" w:rsidP="009F6536">
            <w:pPr>
              <w:widowControl w:val="0"/>
              <w:pBdr>
                <w:top w:val="nil"/>
                <w:left w:val="nil"/>
                <w:bottom w:val="nil"/>
                <w:right w:val="nil"/>
                <w:between w:val="nil"/>
              </w:pBdr>
              <w:spacing w:after="0" w:line="240" w:lineRule="auto"/>
              <w:ind w:left="0" w:hanging="2"/>
              <w:rPr>
                <w:rFonts w:eastAsia="Cambria"/>
                <w:sz w:val="16"/>
                <w:szCs w:val="16"/>
              </w:rPr>
            </w:pPr>
          </w:p>
        </w:tc>
        <w:tc>
          <w:tcPr>
            <w:tcW w:w="564" w:type="pct"/>
            <w:shd w:val="clear" w:color="auto" w:fill="00B0F0"/>
          </w:tcPr>
          <w:p w14:paraId="2CE240CE"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Spearman</w:t>
            </w:r>
          </w:p>
        </w:tc>
        <w:tc>
          <w:tcPr>
            <w:tcW w:w="800" w:type="pct"/>
            <w:shd w:val="clear" w:color="auto" w:fill="FFFFFF"/>
          </w:tcPr>
          <w:p w14:paraId="7EDCFC0B"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c>
          <w:tcPr>
            <w:tcW w:w="800" w:type="pct"/>
            <w:shd w:val="clear" w:color="auto" w:fill="FFFFFF"/>
          </w:tcPr>
          <w:p w14:paraId="7EBE30B2"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0,600**</w:t>
            </w:r>
          </w:p>
        </w:tc>
        <w:tc>
          <w:tcPr>
            <w:tcW w:w="943" w:type="pct"/>
            <w:shd w:val="clear" w:color="auto" w:fill="FFFFFF"/>
          </w:tcPr>
          <w:p w14:paraId="615F22DC"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0,646**</w:t>
            </w:r>
          </w:p>
        </w:tc>
        <w:tc>
          <w:tcPr>
            <w:tcW w:w="801" w:type="pct"/>
            <w:shd w:val="clear" w:color="auto" w:fill="FFFFFF"/>
          </w:tcPr>
          <w:p w14:paraId="19C9380D"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0,907**</w:t>
            </w:r>
          </w:p>
        </w:tc>
      </w:tr>
      <w:tr w:rsidR="00371817" w:rsidRPr="009F6536" w14:paraId="2E56DCB0" w14:textId="77777777" w:rsidTr="00E43F05">
        <w:trPr>
          <w:cantSplit/>
        </w:trPr>
        <w:tc>
          <w:tcPr>
            <w:tcW w:w="1093" w:type="pct"/>
            <w:vMerge w:val="restart"/>
            <w:shd w:val="clear" w:color="auto" w:fill="00B0F0"/>
            <w:vAlign w:val="center"/>
          </w:tcPr>
          <w:p w14:paraId="34AFB60D" w14:textId="77777777" w:rsidR="00371817" w:rsidRPr="009F6536" w:rsidRDefault="00371817" w:rsidP="009F6536">
            <w:pPr>
              <w:spacing w:after="0" w:line="240" w:lineRule="auto"/>
              <w:ind w:left="0" w:right="60" w:hanging="2"/>
              <w:rPr>
                <w:rFonts w:eastAsia="Cambria"/>
                <w:b/>
                <w:color w:val="FFFFFF"/>
                <w:sz w:val="16"/>
                <w:szCs w:val="16"/>
              </w:rPr>
            </w:pPr>
            <w:r w:rsidRPr="009F6536">
              <w:rPr>
                <w:rFonts w:eastAsia="Cambria"/>
                <w:b/>
                <w:color w:val="FFFFFF"/>
                <w:sz w:val="16"/>
                <w:szCs w:val="16"/>
              </w:rPr>
              <w:t>Convivencia</w:t>
            </w:r>
          </w:p>
        </w:tc>
        <w:tc>
          <w:tcPr>
            <w:tcW w:w="564" w:type="pct"/>
            <w:shd w:val="clear" w:color="auto" w:fill="00B0F0"/>
          </w:tcPr>
          <w:p w14:paraId="53E7CFA9"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Pearson</w:t>
            </w:r>
          </w:p>
        </w:tc>
        <w:tc>
          <w:tcPr>
            <w:tcW w:w="800" w:type="pct"/>
            <w:shd w:val="clear" w:color="auto" w:fill="FFFFFF"/>
          </w:tcPr>
          <w:p w14:paraId="7F167669"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0,610**</w:t>
            </w:r>
          </w:p>
        </w:tc>
        <w:tc>
          <w:tcPr>
            <w:tcW w:w="800" w:type="pct"/>
            <w:shd w:val="clear" w:color="auto" w:fill="FFFFFF"/>
          </w:tcPr>
          <w:p w14:paraId="1BC98931"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c>
          <w:tcPr>
            <w:tcW w:w="943" w:type="pct"/>
            <w:shd w:val="clear" w:color="auto" w:fill="FFFFFF"/>
          </w:tcPr>
          <w:p w14:paraId="1DA0D7C6"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0,487**</w:t>
            </w:r>
          </w:p>
        </w:tc>
        <w:tc>
          <w:tcPr>
            <w:tcW w:w="801" w:type="pct"/>
            <w:shd w:val="clear" w:color="auto" w:fill="FFFFFF"/>
          </w:tcPr>
          <w:p w14:paraId="3E827888"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0,825**</w:t>
            </w:r>
          </w:p>
        </w:tc>
      </w:tr>
      <w:tr w:rsidR="00371817" w:rsidRPr="009F6536" w14:paraId="210FAF4B" w14:textId="77777777" w:rsidTr="00E43F05">
        <w:trPr>
          <w:cantSplit/>
        </w:trPr>
        <w:tc>
          <w:tcPr>
            <w:tcW w:w="1093" w:type="pct"/>
            <w:vMerge/>
            <w:shd w:val="clear" w:color="auto" w:fill="00B0F0"/>
            <w:vAlign w:val="center"/>
          </w:tcPr>
          <w:p w14:paraId="555D1943" w14:textId="77777777" w:rsidR="00371817" w:rsidRPr="009F6536" w:rsidRDefault="00371817" w:rsidP="009F6536">
            <w:pPr>
              <w:widowControl w:val="0"/>
              <w:pBdr>
                <w:top w:val="nil"/>
                <w:left w:val="nil"/>
                <w:bottom w:val="nil"/>
                <w:right w:val="nil"/>
                <w:between w:val="nil"/>
              </w:pBdr>
              <w:spacing w:after="0" w:line="240" w:lineRule="auto"/>
              <w:ind w:left="0" w:hanging="2"/>
              <w:rPr>
                <w:rFonts w:eastAsia="Cambria"/>
                <w:sz w:val="16"/>
                <w:szCs w:val="16"/>
              </w:rPr>
            </w:pPr>
          </w:p>
        </w:tc>
        <w:tc>
          <w:tcPr>
            <w:tcW w:w="564" w:type="pct"/>
            <w:shd w:val="clear" w:color="auto" w:fill="00B0F0"/>
          </w:tcPr>
          <w:p w14:paraId="6F9F0A8F"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Spearman</w:t>
            </w:r>
          </w:p>
        </w:tc>
        <w:tc>
          <w:tcPr>
            <w:tcW w:w="800" w:type="pct"/>
            <w:shd w:val="clear" w:color="auto" w:fill="FFFFFF"/>
          </w:tcPr>
          <w:p w14:paraId="43650D61"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0,600**</w:t>
            </w:r>
          </w:p>
        </w:tc>
        <w:tc>
          <w:tcPr>
            <w:tcW w:w="800" w:type="pct"/>
            <w:shd w:val="clear" w:color="auto" w:fill="FFFFFF"/>
          </w:tcPr>
          <w:p w14:paraId="16BF1EC7"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c>
          <w:tcPr>
            <w:tcW w:w="943" w:type="pct"/>
            <w:shd w:val="clear" w:color="auto" w:fill="FFFFFF"/>
          </w:tcPr>
          <w:p w14:paraId="3D0C7848"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0,500**</w:t>
            </w:r>
          </w:p>
        </w:tc>
        <w:tc>
          <w:tcPr>
            <w:tcW w:w="801" w:type="pct"/>
            <w:shd w:val="clear" w:color="auto" w:fill="FFFFFF"/>
          </w:tcPr>
          <w:p w14:paraId="226F40A5"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0,806**</w:t>
            </w:r>
          </w:p>
        </w:tc>
      </w:tr>
      <w:tr w:rsidR="00371817" w:rsidRPr="009F6536" w14:paraId="22C48A08" w14:textId="77777777" w:rsidTr="00E43F05">
        <w:trPr>
          <w:cantSplit/>
        </w:trPr>
        <w:tc>
          <w:tcPr>
            <w:tcW w:w="1093" w:type="pct"/>
            <w:vMerge w:val="restart"/>
            <w:shd w:val="clear" w:color="auto" w:fill="00B0F0"/>
            <w:vAlign w:val="center"/>
          </w:tcPr>
          <w:p w14:paraId="71C4904F" w14:textId="77777777" w:rsidR="00371817" w:rsidRPr="009F6536" w:rsidRDefault="00371817" w:rsidP="009F6536">
            <w:pPr>
              <w:spacing w:after="0" w:line="240" w:lineRule="auto"/>
              <w:ind w:left="0" w:right="60" w:hanging="2"/>
              <w:rPr>
                <w:rFonts w:eastAsia="Cambria"/>
                <w:b/>
                <w:color w:val="FFFFFF"/>
                <w:sz w:val="16"/>
                <w:szCs w:val="16"/>
              </w:rPr>
            </w:pPr>
            <w:r w:rsidRPr="009F6536">
              <w:rPr>
                <w:rFonts w:eastAsia="Cambria"/>
                <w:b/>
                <w:color w:val="FFFFFF"/>
                <w:sz w:val="16"/>
                <w:szCs w:val="16"/>
              </w:rPr>
              <w:t xml:space="preserve">Responsabilidad Social Universitaria </w:t>
            </w:r>
          </w:p>
        </w:tc>
        <w:tc>
          <w:tcPr>
            <w:tcW w:w="564" w:type="pct"/>
            <w:shd w:val="clear" w:color="auto" w:fill="00B0F0"/>
          </w:tcPr>
          <w:p w14:paraId="1CE10C28"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Pearson</w:t>
            </w:r>
          </w:p>
        </w:tc>
        <w:tc>
          <w:tcPr>
            <w:tcW w:w="800" w:type="pct"/>
            <w:shd w:val="clear" w:color="auto" w:fill="FFFFFF"/>
          </w:tcPr>
          <w:p w14:paraId="009C0BEA"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0,649**</w:t>
            </w:r>
          </w:p>
        </w:tc>
        <w:tc>
          <w:tcPr>
            <w:tcW w:w="800" w:type="pct"/>
            <w:shd w:val="clear" w:color="auto" w:fill="FFFFFF"/>
          </w:tcPr>
          <w:p w14:paraId="7D81B804"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0,487**</w:t>
            </w:r>
          </w:p>
        </w:tc>
        <w:tc>
          <w:tcPr>
            <w:tcW w:w="943" w:type="pct"/>
            <w:shd w:val="clear" w:color="auto" w:fill="FFFFFF"/>
          </w:tcPr>
          <w:p w14:paraId="747D7181"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c>
          <w:tcPr>
            <w:tcW w:w="801" w:type="pct"/>
            <w:shd w:val="clear" w:color="auto" w:fill="FFFFFF"/>
          </w:tcPr>
          <w:p w14:paraId="0B785794"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0,809**</w:t>
            </w:r>
          </w:p>
        </w:tc>
      </w:tr>
      <w:tr w:rsidR="00371817" w:rsidRPr="009F6536" w14:paraId="56A9CA57" w14:textId="77777777" w:rsidTr="00E43F05">
        <w:trPr>
          <w:cantSplit/>
        </w:trPr>
        <w:tc>
          <w:tcPr>
            <w:tcW w:w="1093" w:type="pct"/>
            <w:vMerge/>
            <w:shd w:val="clear" w:color="auto" w:fill="00B0F0"/>
            <w:vAlign w:val="center"/>
          </w:tcPr>
          <w:p w14:paraId="68F01066" w14:textId="77777777" w:rsidR="00371817" w:rsidRPr="009F6536" w:rsidRDefault="00371817" w:rsidP="009F6536">
            <w:pPr>
              <w:widowControl w:val="0"/>
              <w:pBdr>
                <w:top w:val="nil"/>
                <w:left w:val="nil"/>
                <w:bottom w:val="nil"/>
                <w:right w:val="nil"/>
                <w:between w:val="nil"/>
              </w:pBdr>
              <w:spacing w:after="0" w:line="240" w:lineRule="auto"/>
              <w:ind w:left="0" w:hanging="2"/>
              <w:rPr>
                <w:rFonts w:eastAsia="Cambria"/>
                <w:sz w:val="16"/>
                <w:szCs w:val="16"/>
              </w:rPr>
            </w:pPr>
          </w:p>
        </w:tc>
        <w:tc>
          <w:tcPr>
            <w:tcW w:w="564" w:type="pct"/>
            <w:shd w:val="clear" w:color="auto" w:fill="00B0F0"/>
          </w:tcPr>
          <w:p w14:paraId="5CB1FB6F"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Spearman</w:t>
            </w:r>
          </w:p>
        </w:tc>
        <w:tc>
          <w:tcPr>
            <w:tcW w:w="800" w:type="pct"/>
            <w:shd w:val="clear" w:color="auto" w:fill="FFFFFF"/>
          </w:tcPr>
          <w:p w14:paraId="3307BE1F"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0,646**</w:t>
            </w:r>
          </w:p>
        </w:tc>
        <w:tc>
          <w:tcPr>
            <w:tcW w:w="800" w:type="pct"/>
            <w:shd w:val="clear" w:color="auto" w:fill="FFFFFF"/>
          </w:tcPr>
          <w:p w14:paraId="4B157B36"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0,500**</w:t>
            </w:r>
          </w:p>
        </w:tc>
        <w:tc>
          <w:tcPr>
            <w:tcW w:w="943" w:type="pct"/>
            <w:shd w:val="clear" w:color="auto" w:fill="FFFFFF"/>
          </w:tcPr>
          <w:p w14:paraId="12249931"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c>
          <w:tcPr>
            <w:tcW w:w="801" w:type="pct"/>
            <w:shd w:val="clear" w:color="auto" w:fill="FFFFFF"/>
          </w:tcPr>
          <w:p w14:paraId="2115A6B9"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0,817**</w:t>
            </w:r>
          </w:p>
        </w:tc>
      </w:tr>
      <w:tr w:rsidR="00371817" w:rsidRPr="009F6536" w14:paraId="0010FBE6" w14:textId="77777777" w:rsidTr="00E43F05">
        <w:trPr>
          <w:cantSplit/>
        </w:trPr>
        <w:tc>
          <w:tcPr>
            <w:tcW w:w="1093" w:type="pct"/>
            <w:vMerge w:val="restart"/>
            <w:shd w:val="clear" w:color="auto" w:fill="00B0F0"/>
            <w:vAlign w:val="center"/>
          </w:tcPr>
          <w:p w14:paraId="4AC46237" w14:textId="77777777" w:rsidR="00371817" w:rsidRPr="009F6536" w:rsidRDefault="00371817" w:rsidP="009F6536">
            <w:pPr>
              <w:spacing w:after="0" w:line="240" w:lineRule="auto"/>
              <w:ind w:left="0" w:right="60" w:hanging="2"/>
              <w:rPr>
                <w:rFonts w:eastAsia="Cambria"/>
                <w:b/>
                <w:color w:val="FFFFFF"/>
                <w:sz w:val="16"/>
                <w:szCs w:val="16"/>
              </w:rPr>
            </w:pPr>
            <w:r w:rsidRPr="009F6536">
              <w:rPr>
                <w:rFonts w:eastAsia="Cambria"/>
                <w:b/>
                <w:color w:val="FFFFFF"/>
                <w:sz w:val="16"/>
                <w:szCs w:val="16"/>
              </w:rPr>
              <w:t>Instrumento</w:t>
            </w:r>
          </w:p>
        </w:tc>
        <w:tc>
          <w:tcPr>
            <w:tcW w:w="564" w:type="pct"/>
            <w:shd w:val="clear" w:color="auto" w:fill="00B0F0"/>
          </w:tcPr>
          <w:p w14:paraId="6AF8C66C"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Pearson</w:t>
            </w:r>
          </w:p>
        </w:tc>
        <w:tc>
          <w:tcPr>
            <w:tcW w:w="800" w:type="pct"/>
            <w:shd w:val="clear" w:color="auto" w:fill="FFFFFF"/>
          </w:tcPr>
          <w:p w14:paraId="64E11365"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0,909**</w:t>
            </w:r>
          </w:p>
        </w:tc>
        <w:tc>
          <w:tcPr>
            <w:tcW w:w="800" w:type="pct"/>
            <w:shd w:val="clear" w:color="auto" w:fill="FFFFFF"/>
          </w:tcPr>
          <w:p w14:paraId="29B1F4C4"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0,825**</w:t>
            </w:r>
          </w:p>
        </w:tc>
        <w:tc>
          <w:tcPr>
            <w:tcW w:w="943" w:type="pct"/>
            <w:shd w:val="clear" w:color="auto" w:fill="FFFFFF"/>
          </w:tcPr>
          <w:p w14:paraId="2B07CC56"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0,809**</w:t>
            </w:r>
          </w:p>
        </w:tc>
        <w:tc>
          <w:tcPr>
            <w:tcW w:w="801" w:type="pct"/>
            <w:shd w:val="clear" w:color="auto" w:fill="FFFFFF"/>
          </w:tcPr>
          <w:p w14:paraId="6536BD81"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r>
      <w:tr w:rsidR="00371817" w:rsidRPr="009F6536" w14:paraId="10CECA31" w14:textId="77777777" w:rsidTr="00E43F05">
        <w:trPr>
          <w:cantSplit/>
        </w:trPr>
        <w:tc>
          <w:tcPr>
            <w:tcW w:w="1093" w:type="pct"/>
            <w:vMerge/>
            <w:shd w:val="clear" w:color="auto" w:fill="00B0F0"/>
            <w:vAlign w:val="center"/>
          </w:tcPr>
          <w:p w14:paraId="269C479A" w14:textId="77777777" w:rsidR="00371817" w:rsidRPr="009F6536" w:rsidRDefault="00371817" w:rsidP="009F6536">
            <w:pPr>
              <w:widowControl w:val="0"/>
              <w:pBdr>
                <w:top w:val="nil"/>
                <w:left w:val="nil"/>
                <w:bottom w:val="nil"/>
                <w:right w:val="nil"/>
                <w:between w:val="nil"/>
              </w:pBdr>
              <w:spacing w:after="0" w:line="240" w:lineRule="auto"/>
              <w:ind w:left="0" w:hanging="2"/>
              <w:rPr>
                <w:rFonts w:eastAsia="Cambria"/>
                <w:sz w:val="16"/>
                <w:szCs w:val="16"/>
              </w:rPr>
            </w:pPr>
          </w:p>
        </w:tc>
        <w:tc>
          <w:tcPr>
            <w:tcW w:w="564" w:type="pct"/>
            <w:shd w:val="clear" w:color="auto" w:fill="00B0F0"/>
          </w:tcPr>
          <w:p w14:paraId="54739665" w14:textId="77777777" w:rsidR="00371817" w:rsidRPr="00E43F05" w:rsidRDefault="00371817" w:rsidP="009F6536">
            <w:pPr>
              <w:spacing w:after="0" w:line="240" w:lineRule="auto"/>
              <w:ind w:left="0" w:right="60" w:hanging="2"/>
              <w:jc w:val="right"/>
              <w:rPr>
                <w:rFonts w:eastAsia="Cambria"/>
                <w:b/>
                <w:bCs/>
                <w:color w:val="FFFFFF" w:themeColor="background1"/>
                <w:sz w:val="16"/>
                <w:szCs w:val="16"/>
              </w:rPr>
            </w:pPr>
            <w:r w:rsidRPr="00E43F05">
              <w:rPr>
                <w:rFonts w:eastAsia="Cambria"/>
                <w:b/>
                <w:bCs/>
                <w:color w:val="FFFFFF" w:themeColor="background1"/>
                <w:sz w:val="16"/>
                <w:szCs w:val="16"/>
              </w:rPr>
              <w:t>Spearman</w:t>
            </w:r>
          </w:p>
        </w:tc>
        <w:tc>
          <w:tcPr>
            <w:tcW w:w="800" w:type="pct"/>
            <w:shd w:val="clear" w:color="auto" w:fill="FFFFFF"/>
          </w:tcPr>
          <w:p w14:paraId="715D71B0"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0,907**</w:t>
            </w:r>
          </w:p>
        </w:tc>
        <w:tc>
          <w:tcPr>
            <w:tcW w:w="800" w:type="pct"/>
            <w:shd w:val="clear" w:color="auto" w:fill="FFFFFF"/>
          </w:tcPr>
          <w:p w14:paraId="28DF5457"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0,806**</w:t>
            </w:r>
          </w:p>
        </w:tc>
        <w:tc>
          <w:tcPr>
            <w:tcW w:w="943" w:type="pct"/>
            <w:shd w:val="clear" w:color="auto" w:fill="FFFFFF"/>
          </w:tcPr>
          <w:p w14:paraId="1AB35A8F"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0,817**</w:t>
            </w:r>
          </w:p>
        </w:tc>
        <w:tc>
          <w:tcPr>
            <w:tcW w:w="801" w:type="pct"/>
            <w:shd w:val="clear" w:color="auto" w:fill="FFFFFF"/>
          </w:tcPr>
          <w:p w14:paraId="6DA5E854" w14:textId="77777777" w:rsidR="00371817" w:rsidRPr="009F6536" w:rsidRDefault="00371817" w:rsidP="009F6536">
            <w:pPr>
              <w:spacing w:after="0" w:line="240" w:lineRule="auto"/>
              <w:ind w:left="0" w:right="60" w:hanging="2"/>
              <w:jc w:val="right"/>
              <w:rPr>
                <w:rFonts w:eastAsia="Cambria"/>
                <w:sz w:val="16"/>
                <w:szCs w:val="16"/>
              </w:rPr>
            </w:pPr>
            <w:r w:rsidRPr="009F6536">
              <w:rPr>
                <w:rFonts w:eastAsia="Cambria"/>
                <w:sz w:val="16"/>
                <w:szCs w:val="16"/>
              </w:rPr>
              <w:t>1</w:t>
            </w:r>
          </w:p>
        </w:tc>
      </w:tr>
      <w:tr w:rsidR="00371817" w:rsidRPr="009F6536" w14:paraId="7E9CCD2B" w14:textId="77777777" w:rsidTr="00DC4F98">
        <w:trPr>
          <w:cantSplit/>
        </w:trPr>
        <w:tc>
          <w:tcPr>
            <w:tcW w:w="5000" w:type="pct"/>
            <w:gridSpan w:val="6"/>
            <w:shd w:val="clear" w:color="auto" w:fill="auto"/>
          </w:tcPr>
          <w:p w14:paraId="682F6E06" w14:textId="77777777" w:rsidR="00371817" w:rsidRPr="009F6536" w:rsidRDefault="00371817" w:rsidP="009F6536">
            <w:pPr>
              <w:spacing w:after="0" w:line="240" w:lineRule="auto"/>
              <w:ind w:left="0" w:right="60" w:hanging="2"/>
              <w:rPr>
                <w:rFonts w:eastAsia="Cambria"/>
                <w:b/>
                <w:sz w:val="16"/>
                <w:szCs w:val="16"/>
              </w:rPr>
            </w:pPr>
            <w:r w:rsidRPr="009F6536">
              <w:rPr>
                <w:rFonts w:eastAsia="Cambria"/>
                <w:b/>
                <w:sz w:val="16"/>
                <w:szCs w:val="16"/>
              </w:rPr>
              <w:t>**La correlación es significativa en el nivel 0,01 (bilateral).</w:t>
            </w:r>
          </w:p>
        </w:tc>
      </w:tr>
    </w:tbl>
    <w:p w14:paraId="72F9F816" w14:textId="1BC77327" w:rsidR="00371817" w:rsidRDefault="00371817" w:rsidP="00501B40">
      <w:pPr>
        <w:pBdr>
          <w:top w:val="nil"/>
          <w:left w:val="nil"/>
          <w:bottom w:val="nil"/>
          <w:right w:val="nil"/>
          <w:between w:val="nil"/>
        </w:pBdr>
        <w:spacing w:after="0" w:line="240" w:lineRule="auto"/>
        <w:ind w:left="0" w:hanging="2"/>
        <w:jc w:val="center"/>
        <w:rPr>
          <w:rFonts w:eastAsia="Cambria"/>
          <w:color w:val="000000"/>
          <w:sz w:val="16"/>
          <w:szCs w:val="16"/>
        </w:rPr>
      </w:pPr>
      <w:r w:rsidRPr="009F6536">
        <w:rPr>
          <w:rFonts w:eastAsia="Cambria"/>
          <w:color w:val="000000"/>
          <w:sz w:val="16"/>
          <w:szCs w:val="16"/>
        </w:rPr>
        <w:t>Fuente: Encuesta de Satisfacción Estudiantil sobre Experiencia Universitaria (2022)</w:t>
      </w:r>
    </w:p>
    <w:p w14:paraId="4D9961A1" w14:textId="77777777" w:rsidR="00501B40" w:rsidRPr="00501B40" w:rsidRDefault="00501B40" w:rsidP="00501B40">
      <w:pPr>
        <w:pBdr>
          <w:top w:val="nil"/>
          <w:left w:val="nil"/>
          <w:bottom w:val="nil"/>
          <w:right w:val="nil"/>
          <w:between w:val="nil"/>
        </w:pBdr>
        <w:spacing w:after="0" w:line="240" w:lineRule="auto"/>
        <w:ind w:left="0" w:hanging="2"/>
        <w:jc w:val="center"/>
        <w:rPr>
          <w:rFonts w:eastAsia="Cambria"/>
          <w:color w:val="000000"/>
          <w:sz w:val="16"/>
          <w:szCs w:val="16"/>
        </w:rPr>
      </w:pPr>
    </w:p>
    <w:p w14:paraId="4F9D6D3A" w14:textId="2E6D17B4" w:rsidR="00371817" w:rsidRPr="009F6536" w:rsidRDefault="00371817" w:rsidP="009F6536">
      <w:pPr>
        <w:pBdr>
          <w:top w:val="nil"/>
          <w:left w:val="nil"/>
          <w:bottom w:val="nil"/>
          <w:right w:val="nil"/>
          <w:between w:val="nil"/>
        </w:pBdr>
        <w:spacing w:line="240" w:lineRule="auto"/>
        <w:ind w:left="0" w:hanging="2"/>
        <w:rPr>
          <w:rFonts w:eastAsia="Cambria"/>
          <w:color w:val="000000"/>
          <w:sz w:val="24"/>
          <w:szCs w:val="24"/>
        </w:rPr>
      </w:pPr>
      <w:r w:rsidRPr="009F6536">
        <w:rPr>
          <w:rFonts w:eastAsia="Cambria"/>
          <w:color w:val="000000"/>
          <w:sz w:val="24"/>
          <w:szCs w:val="24"/>
        </w:rPr>
        <w:t>Como se puede observar, se presenta una correlación medio-alta entre los pares de las dimensiones del cuestionario, entre ellas y en relación con la media global del instrumento. El valor en casi todos los pares de variables alcanza un valor sobre 0,5. Esto, considerando tanto el análisis paramétrico (Pearson) como no paramétrico (Spearman). De esta manera, se puede observar que cada una de las correlaciones que se presentan en la tabla son estadísticas significativas con un nivel de confianza del 0,99%, con un valor-p inferior a 0,01</w:t>
      </w:r>
      <w:r w:rsidR="004113A5" w:rsidRPr="009F6536">
        <w:rPr>
          <w:rFonts w:eastAsia="Cambria"/>
          <w:color w:val="000000"/>
          <w:sz w:val="24"/>
          <w:szCs w:val="24"/>
        </w:rPr>
        <w:t>.</w:t>
      </w:r>
    </w:p>
    <w:p w14:paraId="5CE5F39E" w14:textId="77777777" w:rsidR="00C637C2" w:rsidRDefault="00177CB2">
      <w:pPr>
        <w:keepNext/>
        <w:keepLines/>
        <w:pBdr>
          <w:top w:val="nil"/>
          <w:left w:val="nil"/>
          <w:bottom w:val="nil"/>
          <w:right w:val="nil"/>
          <w:between w:val="nil"/>
        </w:pBdr>
        <w:spacing w:line="240" w:lineRule="auto"/>
        <w:ind w:left="0" w:hanging="2"/>
        <w:rPr>
          <w:b/>
          <w:color w:val="000000"/>
          <w:sz w:val="24"/>
          <w:szCs w:val="24"/>
        </w:rPr>
      </w:pPr>
      <w:r>
        <w:rPr>
          <w:b/>
          <w:color w:val="000000"/>
          <w:sz w:val="24"/>
          <w:szCs w:val="24"/>
        </w:rPr>
        <w:t xml:space="preserve">4. Conclusiones </w:t>
      </w:r>
    </w:p>
    <w:p w14:paraId="0634BBA0" w14:textId="1856FA7A" w:rsidR="00371817" w:rsidRPr="004113A5" w:rsidRDefault="00371817" w:rsidP="004113A5">
      <w:pPr>
        <w:spacing w:line="240" w:lineRule="auto"/>
        <w:ind w:leftChars="0" w:left="2" w:hanging="2"/>
        <w:rPr>
          <w:rFonts w:eastAsia="Cambria"/>
          <w:sz w:val="24"/>
          <w:szCs w:val="24"/>
        </w:rPr>
      </w:pPr>
      <w:r w:rsidRPr="004113A5">
        <w:rPr>
          <w:rFonts w:eastAsia="Cambria"/>
          <w:sz w:val="24"/>
          <w:szCs w:val="24"/>
        </w:rPr>
        <w:t>A partir de los resultados presentados, se evidencia, en general, una experiencia positiva favorable de los/as estudiantes de la universidad en relación a su experiencia en la institución. En otras palabras, la puntuación media de cada una de ellas da cuenta de una evaluación positiva que hacen los/as encuestado/as de su experiencia estudiantil en la universidad. La puntuación media del instrumento se encuentra en 4 puntos de un máximo de 5 (específicamente, 3,96 puntos).</w:t>
      </w:r>
    </w:p>
    <w:p w14:paraId="39C326D4" w14:textId="099227D9" w:rsidR="00371817" w:rsidRPr="004113A5" w:rsidRDefault="00371817" w:rsidP="007F5D20">
      <w:pPr>
        <w:spacing w:line="240" w:lineRule="auto"/>
        <w:ind w:leftChars="0" w:left="2" w:hanging="2"/>
        <w:rPr>
          <w:rFonts w:eastAsia="Cambria"/>
          <w:sz w:val="24"/>
          <w:szCs w:val="24"/>
        </w:rPr>
      </w:pPr>
      <w:r w:rsidRPr="004113A5">
        <w:rPr>
          <w:rFonts w:eastAsia="Cambria"/>
          <w:sz w:val="24"/>
          <w:szCs w:val="24"/>
        </w:rPr>
        <w:t xml:space="preserve">En la dimensión de “Servicios estudiantiles” se observa una media cercana a los 4 puntos (3,92), en el que gran parte de las afirmaciones son evaluadas de manera positiva por parte los/as estudiantes, con excepción del ítem referido a la infraestructura de las clases. Junto a ello, en el caso de la dimensión “Convivencia”, se observa una puntuación, incluso, más alta (4,23), en el que los aspectos vinculados a discriminación </w:t>
      </w:r>
      <w:r w:rsidRPr="004113A5">
        <w:rPr>
          <w:rFonts w:eastAsia="Cambria"/>
          <w:b/>
          <w:sz w:val="24"/>
          <w:szCs w:val="24"/>
        </w:rPr>
        <w:t>no</w:t>
      </w:r>
      <w:r w:rsidRPr="004113A5">
        <w:rPr>
          <w:rFonts w:eastAsia="Cambria"/>
          <w:sz w:val="24"/>
          <w:szCs w:val="24"/>
        </w:rPr>
        <w:t xml:space="preserve"> se manifiestan en la institución, mientras que gran parte de los/as encuestados sienten que efectivamente hay un respeto, sobre todo, entre los docentes y compañeros/as del aula de clases. </w:t>
      </w:r>
      <w:r w:rsidR="007F5D20">
        <w:rPr>
          <w:rFonts w:eastAsia="Cambria"/>
          <w:sz w:val="24"/>
          <w:szCs w:val="24"/>
        </w:rPr>
        <w:t xml:space="preserve"> </w:t>
      </w:r>
      <w:r w:rsidRPr="004113A5">
        <w:rPr>
          <w:rFonts w:eastAsia="Cambria"/>
          <w:sz w:val="24"/>
          <w:szCs w:val="24"/>
        </w:rPr>
        <w:t xml:space="preserve">En cuanto a la dimensión “Responsabilidad social universitaria y estudiantil”, se evidencia una puntuación promedio un poco más baja (3,59) en comparación a las dimensiones “Servicios estudiantiles” y “Convivencia”. </w:t>
      </w:r>
    </w:p>
    <w:p w14:paraId="35D9F910" w14:textId="6F78A7ED" w:rsidR="00371817" w:rsidRPr="00B65E21" w:rsidRDefault="00371817" w:rsidP="007F5D20">
      <w:pPr>
        <w:spacing w:line="240" w:lineRule="auto"/>
        <w:ind w:leftChars="0" w:left="0" w:firstLineChars="0" w:firstLine="0"/>
        <w:rPr>
          <w:rFonts w:eastAsia="Cambria"/>
          <w:sz w:val="24"/>
          <w:szCs w:val="24"/>
        </w:rPr>
      </w:pPr>
      <w:r w:rsidRPr="004113A5">
        <w:rPr>
          <w:rFonts w:eastAsia="Cambria"/>
          <w:sz w:val="24"/>
          <w:szCs w:val="24"/>
        </w:rPr>
        <w:lastRenderedPageBreak/>
        <w:t xml:space="preserve">Por otro lado, respecto de los grupos de comparación, se evidencia diferencias en la puntuación media/rangos sobre experiencia estudiantil universitaria, particularmente, en relación al año de ingreso a la universidad. </w:t>
      </w:r>
      <w:r w:rsidR="007F5D20">
        <w:rPr>
          <w:rFonts w:eastAsia="Cambria"/>
          <w:sz w:val="24"/>
          <w:szCs w:val="24"/>
        </w:rPr>
        <w:t>En</w:t>
      </w:r>
      <w:r w:rsidRPr="004113A5">
        <w:rPr>
          <w:rFonts w:eastAsia="Cambria"/>
          <w:sz w:val="24"/>
          <w:szCs w:val="24"/>
        </w:rPr>
        <w:t xml:space="preserve"> esta última variable, las diferencias son estadísticamente significativas según contrastes paramétricos y no paramétricos. </w:t>
      </w:r>
      <w:r w:rsidR="007F5D20">
        <w:rPr>
          <w:rFonts w:eastAsia="Cambria"/>
          <w:sz w:val="24"/>
          <w:szCs w:val="24"/>
        </w:rPr>
        <w:t xml:space="preserve"> S</w:t>
      </w:r>
      <w:r w:rsidRPr="004113A5">
        <w:rPr>
          <w:rFonts w:eastAsia="Cambria"/>
          <w:sz w:val="24"/>
          <w:szCs w:val="24"/>
        </w:rPr>
        <w:t>e observa que el nivel de evaluación estudiantil universitaria, según estos grupos de comparación referidos al año de ingreso a la institución – 2008 a 2017, 2018, 2019, 2020, 2021 y 2022 –, disminuye entre las generaciones antiguas y aumenta en las generaciones nuevas de ingreso</w:t>
      </w:r>
      <w:r w:rsidR="007A3A43">
        <w:rPr>
          <w:rFonts w:eastAsia="Cambria"/>
          <w:sz w:val="24"/>
          <w:szCs w:val="24"/>
        </w:rPr>
        <w:t>, lo cual constituye un insumo fundamental para el análisis de la permanencia estudiantil</w:t>
      </w:r>
      <w:r w:rsidR="007F5D20">
        <w:rPr>
          <w:rFonts w:eastAsia="Cambria"/>
          <w:sz w:val="24"/>
          <w:szCs w:val="24"/>
        </w:rPr>
        <w:t xml:space="preserve"> en contextos vulnerables</w:t>
      </w:r>
      <w:r w:rsidR="007A3A43">
        <w:rPr>
          <w:rFonts w:eastAsia="Cambria"/>
          <w:sz w:val="24"/>
          <w:szCs w:val="24"/>
        </w:rPr>
        <w:t xml:space="preserve"> desde la gestión institucional universitaria (</w:t>
      </w:r>
      <w:r w:rsidR="007F5D20">
        <w:rPr>
          <w:rFonts w:eastAsia="Cambria"/>
          <w:sz w:val="24"/>
          <w:szCs w:val="24"/>
        </w:rPr>
        <w:t>con el establecimiento de mecanismos para que el estudiante pueda</w:t>
      </w:r>
      <w:r w:rsidR="007A3A43">
        <w:rPr>
          <w:rFonts w:eastAsia="Cambria"/>
          <w:sz w:val="24"/>
          <w:szCs w:val="24"/>
        </w:rPr>
        <w:t xml:space="preserve"> termin</w:t>
      </w:r>
      <w:r w:rsidR="007F5D20">
        <w:rPr>
          <w:rFonts w:eastAsia="Cambria"/>
          <w:sz w:val="24"/>
          <w:szCs w:val="24"/>
        </w:rPr>
        <w:t>ar</w:t>
      </w:r>
      <w:r w:rsidR="007A3A43">
        <w:rPr>
          <w:rFonts w:eastAsia="Cambria"/>
          <w:sz w:val="24"/>
          <w:szCs w:val="24"/>
        </w:rPr>
        <w:t xml:space="preserve"> su ciclo formativo en la </w:t>
      </w:r>
      <w:r w:rsidR="007F5D20">
        <w:rPr>
          <w:rFonts w:eastAsia="Cambria"/>
          <w:sz w:val="24"/>
          <w:szCs w:val="24"/>
        </w:rPr>
        <w:t>institución</w:t>
      </w:r>
      <w:r w:rsidR="007A3A43">
        <w:rPr>
          <w:rFonts w:eastAsia="Cambria"/>
          <w:sz w:val="24"/>
          <w:szCs w:val="24"/>
        </w:rPr>
        <w:t>)</w:t>
      </w:r>
      <w:r w:rsidRPr="004113A5">
        <w:rPr>
          <w:rFonts w:eastAsia="Cambria"/>
          <w:sz w:val="24"/>
          <w:szCs w:val="24"/>
        </w:rPr>
        <w:t>.</w:t>
      </w:r>
      <w:r w:rsidR="007A3A43">
        <w:rPr>
          <w:rFonts w:eastAsia="Cambria"/>
          <w:sz w:val="24"/>
          <w:szCs w:val="24"/>
        </w:rPr>
        <w:t xml:space="preserve"> </w:t>
      </w:r>
      <w:r w:rsidR="00AF1E0C">
        <w:rPr>
          <w:rFonts w:eastAsia="Cambria"/>
          <w:sz w:val="24"/>
          <w:szCs w:val="24"/>
        </w:rPr>
        <w:t>Por último, si evidencia una correlación significativa entre las escalas del instrumento.</w:t>
      </w:r>
    </w:p>
    <w:p w14:paraId="3D10AF82" w14:textId="7CD548EB" w:rsidR="00C637C2" w:rsidRPr="009E2D10" w:rsidRDefault="00177CB2">
      <w:pPr>
        <w:ind w:left="0" w:hanging="2"/>
        <w:rPr>
          <w:b/>
          <w:sz w:val="24"/>
          <w:szCs w:val="24"/>
          <w:lang w:val="en-US"/>
        </w:rPr>
      </w:pPr>
      <w:r w:rsidRPr="009E2D10">
        <w:rPr>
          <w:b/>
          <w:sz w:val="24"/>
          <w:szCs w:val="24"/>
          <w:lang w:val="en-US"/>
        </w:rPr>
        <w:t>Referencias</w:t>
      </w:r>
    </w:p>
    <w:p w14:paraId="55D2F7B2"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lang w:val="en-US"/>
        </w:rPr>
      </w:pPr>
      <w:bookmarkStart w:id="24" w:name="_Hlk493670219"/>
      <w:r w:rsidRPr="00B65E21">
        <w:rPr>
          <w:rFonts w:cstheme="minorHAnsi"/>
          <w:sz w:val="18"/>
          <w:szCs w:val="18"/>
          <w:lang w:val="en-US"/>
        </w:rPr>
        <w:t>Abdullah, F. (2006). Measuring service quality in higher education: three instruments compared. International Journal of Research Method in Education, Vol. 29 No. 1, pp. 71-89.</w:t>
      </w:r>
    </w:p>
    <w:p w14:paraId="19755836"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rPr>
      </w:pPr>
      <w:r w:rsidRPr="00B65E21">
        <w:rPr>
          <w:rFonts w:cstheme="minorHAnsi"/>
          <w:sz w:val="18"/>
          <w:szCs w:val="18"/>
        </w:rPr>
        <w:t>Alves, H., &amp; Raposo, M. (2004). La medición de la satisfacción en la enseñanza universitaria: el ejemplo de la Universidad de Beira Interior. Revista Internacional de Mercado Público y No lucrativo, Vol. 1, pp. 73 – 88.</w:t>
      </w:r>
    </w:p>
    <w:p w14:paraId="4DD78D08" w14:textId="2BA4E6EA" w:rsidR="00901C50" w:rsidRPr="00B65E21" w:rsidRDefault="00901C50" w:rsidP="00B65E21">
      <w:pPr>
        <w:autoSpaceDE w:val="0"/>
        <w:autoSpaceDN w:val="0"/>
        <w:adjustRightInd w:val="0"/>
        <w:spacing w:line="240" w:lineRule="auto"/>
        <w:ind w:left="0" w:hanging="2"/>
        <w:rPr>
          <w:color w:val="000000"/>
          <w:sz w:val="18"/>
          <w:szCs w:val="18"/>
          <w:lang w:val="en-US"/>
        </w:rPr>
      </w:pPr>
      <w:r w:rsidRPr="00B65E21">
        <w:rPr>
          <w:color w:val="000000"/>
          <w:sz w:val="18"/>
          <w:szCs w:val="18"/>
          <w:lang w:val="en-US"/>
        </w:rPr>
        <w:t xml:space="preserve">Aldridge, S., &amp; Rowley, J (1998). Measuring customer satisfaction in higher education. Quality assurance in education, Vol. 6(4), pp. 197-204. </w:t>
      </w:r>
    </w:p>
    <w:p w14:paraId="776898D1" w14:textId="2113527D" w:rsidR="00901C50" w:rsidRPr="00B65E21" w:rsidRDefault="00901C50" w:rsidP="00B65E21">
      <w:pPr>
        <w:autoSpaceDE w:val="0"/>
        <w:autoSpaceDN w:val="0"/>
        <w:adjustRightInd w:val="0"/>
        <w:spacing w:line="240" w:lineRule="auto"/>
        <w:ind w:left="0" w:hanging="2"/>
        <w:rPr>
          <w:rFonts w:cs="Arial"/>
          <w:sz w:val="18"/>
          <w:szCs w:val="18"/>
          <w:lang w:val="en-US"/>
        </w:rPr>
      </w:pPr>
      <w:bookmarkStart w:id="25" w:name="_Hlk493469878"/>
      <w:r w:rsidRPr="00B65E21">
        <w:rPr>
          <w:rFonts w:cs="Arial"/>
          <w:sz w:val="18"/>
          <w:szCs w:val="18"/>
          <w:lang w:val="en-US"/>
        </w:rPr>
        <w:t xml:space="preserve">Athiyaman, A. (1997). Linking student satisfaction and service quality perceptions: The case of university education. </w:t>
      </w:r>
      <w:r w:rsidRPr="00B65E21">
        <w:rPr>
          <w:rFonts w:cs="Arial"/>
          <w:i/>
          <w:iCs/>
          <w:sz w:val="18"/>
          <w:szCs w:val="18"/>
          <w:lang w:val="en-US"/>
        </w:rPr>
        <w:t xml:space="preserve">European Journal of Marketing, </w:t>
      </w:r>
      <w:r w:rsidRPr="00B65E21">
        <w:rPr>
          <w:rFonts w:cs="Arial"/>
          <w:sz w:val="18"/>
          <w:szCs w:val="18"/>
          <w:lang w:val="en-US"/>
        </w:rPr>
        <w:t>31, 528-540.</w:t>
      </w:r>
    </w:p>
    <w:p w14:paraId="6F13ACB7" w14:textId="4E2130AC" w:rsidR="00901C50" w:rsidRPr="00BF4B2D" w:rsidRDefault="00901C50" w:rsidP="00B65E21">
      <w:pPr>
        <w:autoSpaceDE w:val="0"/>
        <w:autoSpaceDN w:val="0"/>
        <w:adjustRightInd w:val="0"/>
        <w:spacing w:line="240" w:lineRule="auto"/>
        <w:ind w:left="0" w:hanging="2"/>
        <w:rPr>
          <w:rStyle w:val="MquinadeescribirHTML1"/>
          <w:rFonts w:ascii="Times New Roman" w:hAnsi="Times New Roman"/>
          <w:color w:val="000000"/>
          <w:sz w:val="18"/>
          <w:szCs w:val="18"/>
          <w:lang w:val="es-CL"/>
        </w:rPr>
      </w:pPr>
      <w:r w:rsidRPr="00B65E21">
        <w:rPr>
          <w:color w:val="000000"/>
          <w:sz w:val="18"/>
          <w:szCs w:val="18"/>
          <w:lang w:val="en-US"/>
        </w:rPr>
        <w:t xml:space="preserve">Basheer Al-Alak A.M. (2009). “Measuring and Evaluating Business Students Satisfaction Perception at Public and Private Universities in Jordon”. </w:t>
      </w:r>
      <w:proofErr w:type="spellStart"/>
      <w:r w:rsidRPr="00BF4B2D">
        <w:rPr>
          <w:color w:val="000000"/>
          <w:sz w:val="18"/>
          <w:szCs w:val="18"/>
          <w:lang w:val="es-CL"/>
        </w:rPr>
        <w:t>Asian</w:t>
      </w:r>
      <w:proofErr w:type="spellEnd"/>
      <w:r w:rsidRPr="00BF4B2D">
        <w:rPr>
          <w:color w:val="000000"/>
          <w:sz w:val="18"/>
          <w:szCs w:val="18"/>
          <w:lang w:val="es-CL"/>
        </w:rPr>
        <w:t xml:space="preserve"> </w:t>
      </w:r>
      <w:proofErr w:type="spellStart"/>
      <w:r w:rsidRPr="00BF4B2D">
        <w:rPr>
          <w:color w:val="000000"/>
          <w:sz w:val="18"/>
          <w:szCs w:val="18"/>
          <w:lang w:val="es-CL"/>
        </w:rPr>
        <w:t>Journal</w:t>
      </w:r>
      <w:proofErr w:type="spellEnd"/>
      <w:r w:rsidRPr="00BF4B2D">
        <w:rPr>
          <w:color w:val="000000"/>
          <w:sz w:val="18"/>
          <w:szCs w:val="18"/>
          <w:lang w:val="es-CL"/>
        </w:rPr>
        <w:t xml:space="preserve"> </w:t>
      </w:r>
      <w:proofErr w:type="spellStart"/>
      <w:r w:rsidRPr="00BF4B2D">
        <w:rPr>
          <w:color w:val="000000"/>
          <w:sz w:val="18"/>
          <w:szCs w:val="18"/>
          <w:lang w:val="es-CL"/>
        </w:rPr>
        <w:t>of</w:t>
      </w:r>
      <w:proofErr w:type="spellEnd"/>
      <w:r w:rsidRPr="00BF4B2D">
        <w:rPr>
          <w:color w:val="000000"/>
          <w:sz w:val="18"/>
          <w:szCs w:val="18"/>
          <w:lang w:val="es-CL"/>
        </w:rPr>
        <w:t xml:space="preserve"> Marketing, pp. 1- 19. </w:t>
      </w:r>
    </w:p>
    <w:p w14:paraId="09214C44" w14:textId="6CD62EDA" w:rsidR="00901C50" w:rsidRPr="00B65E21" w:rsidRDefault="00901C50" w:rsidP="00B65E21">
      <w:pPr>
        <w:autoSpaceDE w:val="0"/>
        <w:autoSpaceDN w:val="0"/>
        <w:adjustRightInd w:val="0"/>
        <w:spacing w:line="240" w:lineRule="auto"/>
        <w:ind w:left="0" w:hanging="2"/>
        <w:rPr>
          <w:rFonts w:cs="TimesLTStd-Roman"/>
          <w:sz w:val="18"/>
          <w:szCs w:val="18"/>
        </w:rPr>
      </w:pPr>
      <w:proofErr w:type="spellStart"/>
      <w:r w:rsidRPr="00BF4B2D">
        <w:rPr>
          <w:rFonts w:cs="TimesLTStd-Roman"/>
          <w:sz w:val="18"/>
          <w:szCs w:val="18"/>
          <w:lang w:val="es-CL"/>
        </w:rPr>
        <w:t>Bigné</w:t>
      </w:r>
      <w:proofErr w:type="spellEnd"/>
      <w:r w:rsidRPr="00BF4B2D">
        <w:rPr>
          <w:rFonts w:cs="TimesLTStd-Roman"/>
          <w:sz w:val="18"/>
          <w:szCs w:val="18"/>
          <w:lang w:val="es-CL"/>
        </w:rPr>
        <w:t xml:space="preserve">, J., Moliner, </w:t>
      </w:r>
      <w:proofErr w:type="gramStart"/>
      <w:r w:rsidRPr="00BF4B2D">
        <w:rPr>
          <w:rFonts w:cs="TimesLTStd-Roman"/>
          <w:sz w:val="18"/>
          <w:szCs w:val="18"/>
          <w:lang w:val="es-CL"/>
        </w:rPr>
        <w:t>M.,</w:t>
      </w:r>
      <w:proofErr w:type="spellStart"/>
      <w:r w:rsidRPr="00BF4B2D">
        <w:rPr>
          <w:rFonts w:cs="TimesLTStd-Roman"/>
          <w:sz w:val="18"/>
          <w:szCs w:val="18"/>
          <w:lang w:val="es-CL"/>
        </w:rPr>
        <w:t>Vallet</w:t>
      </w:r>
      <w:proofErr w:type="spellEnd"/>
      <w:proofErr w:type="gramEnd"/>
      <w:r w:rsidRPr="00BF4B2D">
        <w:rPr>
          <w:rFonts w:cs="TimesLTStd-Roman"/>
          <w:sz w:val="18"/>
          <w:szCs w:val="18"/>
          <w:lang w:val="es-CL"/>
        </w:rPr>
        <w:t xml:space="preserve">  T., &amp; Sánchez, J. (1997). </w:t>
      </w:r>
      <w:r w:rsidRPr="00B65E21">
        <w:rPr>
          <w:rFonts w:cs="TimesLTStd-Roman"/>
          <w:sz w:val="18"/>
          <w:szCs w:val="18"/>
        </w:rPr>
        <w:t>“Un Estudio Comparativo de los Instrumentos de Medición de la Calidad de los Servicios Públicos”. Revista Española de Investigación de Marketing. ESIC, Vol. 1, pp. 33-53.</w:t>
      </w:r>
    </w:p>
    <w:p w14:paraId="5D779515"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rPr>
      </w:pPr>
      <w:proofErr w:type="spellStart"/>
      <w:r w:rsidRPr="00B65E21">
        <w:rPr>
          <w:rFonts w:cstheme="minorHAnsi"/>
          <w:sz w:val="18"/>
          <w:szCs w:val="18"/>
        </w:rPr>
        <w:t>Cardena</w:t>
      </w:r>
      <w:proofErr w:type="spellEnd"/>
      <w:r w:rsidRPr="00B65E21">
        <w:rPr>
          <w:rFonts w:cstheme="minorHAnsi"/>
          <w:sz w:val="18"/>
          <w:szCs w:val="18"/>
        </w:rPr>
        <w:t>-Badilla, M., Mejías, A., Vega, A., &amp; Vásquez, J. (2015). La satisfacción estudiantil universitaria: análisis estratégico a partir del análisis de factores Industrial Data, Vol. 18, pp. 9 – 18.</w:t>
      </w:r>
    </w:p>
    <w:p w14:paraId="4F9F324D"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rPr>
      </w:pPr>
      <w:r w:rsidRPr="00B65E21">
        <w:rPr>
          <w:rFonts w:cstheme="minorHAnsi"/>
          <w:sz w:val="18"/>
          <w:szCs w:val="18"/>
        </w:rPr>
        <w:t xml:space="preserve">Candelas, C., Gurruchaga, M., Mejías, A., &amp; Flores, L. (2013). Medición de la satisfacción estudiantil universitaria: un estudio de caso en una institución mexicana. Revista Iberoamericana de Ingeniería Industrial, Vol. 5, pp. 261 – 274. </w:t>
      </w:r>
    </w:p>
    <w:p w14:paraId="6BBC1511" w14:textId="6FD042C0" w:rsidR="00901C50" w:rsidRPr="00B65E21" w:rsidRDefault="00901C50" w:rsidP="00B65E21">
      <w:pPr>
        <w:autoSpaceDE w:val="0"/>
        <w:autoSpaceDN w:val="0"/>
        <w:adjustRightInd w:val="0"/>
        <w:spacing w:line="240" w:lineRule="auto"/>
        <w:ind w:left="0" w:hanging="2"/>
        <w:rPr>
          <w:rFonts w:cs="TimesLTStd-Roman"/>
          <w:sz w:val="18"/>
          <w:szCs w:val="18"/>
        </w:rPr>
      </w:pPr>
      <w:proofErr w:type="spellStart"/>
      <w:r w:rsidRPr="00B65E21">
        <w:rPr>
          <w:rFonts w:cs="TimesLTStd-Roman"/>
          <w:sz w:val="18"/>
          <w:szCs w:val="18"/>
        </w:rPr>
        <w:t>Capelleras</w:t>
      </w:r>
      <w:proofErr w:type="spellEnd"/>
      <w:r w:rsidRPr="00B65E21">
        <w:rPr>
          <w:rFonts w:cs="TimesLTStd-Roman"/>
          <w:sz w:val="18"/>
          <w:szCs w:val="18"/>
        </w:rPr>
        <w:t xml:space="preserve">, J. &amp; </w:t>
      </w:r>
      <w:proofErr w:type="spellStart"/>
      <w:r w:rsidRPr="00B65E21">
        <w:rPr>
          <w:rFonts w:cs="TimesLTStd-Roman"/>
          <w:sz w:val="18"/>
          <w:szCs w:val="18"/>
        </w:rPr>
        <w:t>Veciana</w:t>
      </w:r>
      <w:proofErr w:type="spellEnd"/>
      <w:r w:rsidRPr="00B65E21">
        <w:rPr>
          <w:rFonts w:cs="TimesLTStd-Roman"/>
          <w:sz w:val="18"/>
          <w:szCs w:val="18"/>
        </w:rPr>
        <w:t>, J. (2004). Calidad de Servicio en la Enseñanza Universitaria: Desarrollo y Validación de una Escala de Medida. Revista Europea de Dirección y Economía de la Empresa. Vol. 13., pp. 55-72.</w:t>
      </w:r>
    </w:p>
    <w:p w14:paraId="5BD652A3" w14:textId="239DACC6" w:rsidR="00901C50" w:rsidRPr="00B65E21" w:rsidRDefault="00901C50" w:rsidP="00B65E21">
      <w:pPr>
        <w:autoSpaceDE w:val="0"/>
        <w:autoSpaceDN w:val="0"/>
        <w:adjustRightInd w:val="0"/>
        <w:spacing w:line="240" w:lineRule="auto"/>
        <w:ind w:left="0" w:hanging="2"/>
        <w:rPr>
          <w:rFonts w:cs="TimesLTStd-Roman"/>
          <w:sz w:val="18"/>
          <w:szCs w:val="18"/>
        </w:rPr>
      </w:pPr>
      <w:r w:rsidRPr="00B65E21">
        <w:rPr>
          <w:rFonts w:cs="TimesLTStd-Roman"/>
          <w:sz w:val="18"/>
          <w:szCs w:val="18"/>
        </w:rPr>
        <w:t xml:space="preserve">Camisón, C., Gil, M., &amp; Roca, V. (1999). Hacia Modelos de Calidad de Servicio Orientados al Cliente en las Universidades Públicas: el Caso de la </w:t>
      </w:r>
      <w:proofErr w:type="spellStart"/>
      <w:r w:rsidRPr="00B65E21">
        <w:rPr>
          <w:rFonts w:cs="TimesLTStd-Roman"/>
          <w:sz w:val="18"/>
          <w:szCs w:val="18"/>
        </w:rPr>
        <w:t>Universitat</w:t>
      </w:r>
      <w:proofErr w:type="spellEnd"/>
      <w:r w:rsidRPr="00B65E21">
        <w:rPr>
          <w:rFonts w:cs="TimesLTStd-Roman"/>
          <w:sz w:val="18"/>
          <w:szCs w:val="18"/>
        </w:rPr>
        <w:t xml:space="preserve"> Jaume I. Investigaciones Europeas de Dirección y Economía de la Empresa. Vol. 5., pp. 69-92.</w:t>
      </w:r>
    </w:p>
    <w:p w14:paraId="04EE2C83" w14:textId="72F9E67E" w:rsidR="00901C50" w:rsidRPr="00B65E21" w:rsidRDefault="00901C50" w:rsidP="00B65E21">
      <w:pPr>
        <w:autoSpaceDE w:val="0"/>
        <w:autoSpaceDN w:val="0"/>
        <w:adjustRightInd w:val="0"/>
        <w:spacing w:line="240" w:lineRule="auto"/>
        <w:ind w:left="0" w:hanging="2"/>
        <w:rPr>
          <w:rFonts w:cs="TimesLTStd-Roman"/>
          <w:sz w:val="18"/>
          <w:szCs w:val="18"/>
        </w:rPr>
      </w:pPr>
      <w:r w:rsidRPr="00B65E21">
        <w:rPr>
          <w:rFonts w:cs="TimesLTStd-Roman"/>
          <w:sz w:val="18"/>
          <w:szCs w:val="18"/>
        </w:rPr>
        <w:t xml:space="preserve">Casanueva, C., </w:t>
      </w:r>
      <w:proofErr w:type="spellStart"/>
      <w:r w:rsidRPr="00B65E21">
        <w:rPr>
          <w:rFonts w:cs="TimesLTStd-Roman"/>
          <w:sz w:val="18"/>
          <w:szCs w:val="18"/>
        </w:rPr>
        <w:t>Peribañez</w:t>
      </w:r>
      <w:proofErr w:type="spellEnd"/>
      <w:r w:rsidRPr="00B65E21">
        <w:rPr>
          <w:rFonts w:cs="TimesLTStd-Roman"/>
          <w:sz w:val="18"/>
          <w:szCs w:val="18"/>
        </w:rPr>
        <w:t>, R., &amp; Rufino, J. (1997). Calidad Percibida por el Alumno en el Servicio Docente Universitario: Desarrollo de una Escala de Medida. En M. Ruiz (ed.). XI Congreso Nacional AEDEM, Lleida, Vol. 2, pp. 27-34.</w:t>
      </w:r>
    </w:p>
    <w:p w14:paraId="402E435B"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rPr>
      </w:pPr>
      <w:r w:rsidRPr="00B65E21">
        <w:rPr>
          <w:rFonts w:cstheme="minorHAnsi"/>
          <w:sz w:val="18"/>
          <w:szCs w:val="18"/>
        </w:rPr>
        <w:t>De La Fuente, H., Navarro, M., &amp; Reyes, M. (2010). Análisis de la satisfacción universitaria en la Facultad de Ingeniería de la Universidad de Talca. Revista Chilena de Ingeniería, Vol. 18, pp. 350 – 363.</w:t>
      </w:r>
    </w:p>
    <w:p w14:paraId="68650E3A" w14:textId="780C634F" w:rsidR="00901C50" w:rsidRPr="00B65E21" w:rsidRDefault="00901C50" w:rsidP="00B65E21">
      <w:pPr>
        <w:autoSpaceDE w:val="0"/>
        <w:autoSpaceDN w:val="0"/>
        <w:adjustRightInd w:val="0"/>
        <w:spacing w:line="240" w:lineRule="auto"/>
        <w:ind w:left="0" w:hanging="2"/>
        <w:rPr>
          <w:rFonts w:cs="F15"/>
          <w:sz w:val="18"/>
          <w:szCs w:val="18"/>
          <w:lang w:val="en-US"/>
        </w:rPr>
      </w:pPr>
      <w:proofErr w:type="spellStart"/>
      <w:r w:rsidRPr="00B65E21">
        <w:rPr>
          <w:rFonts w:cs="F15"/>
          <w:sz w:val="18"/>
          <w:szCs w:val="18"/>
        </w:rPr>
        <w:t>Grubet</w:t>
      </w:r>
      <w:proofErr w:type="spellEnd"/>
      <w:r w:rsidRPr="00B65E21">
        <w:rPr>
          <w:rFonts w:cs="F15"/>
          <w:sz w:val="18"/>
          <w:szCs w:val="18"/>
        </w:rPr>
        <w:t xml:space="preserve">, T., </w:t>
      </w:r>
      <w:proofErr w:type="spellStart"/>
      <w:r w:rsidRPr="00B65E21">
        <w:rPr>
          <w:rFonts w:cs="F15"/>
          <w:sz w:val="18"/>
          <w:szCs w:val="18"/>
        </w:rPr>
        <w:t>Fub</w:t>
      </w:r>
      <w:proofErr w:type="spellEnd"/>
      <w:r w:rsidRPr="00B65E21">
        <w:rPr>
          <w:rFonts w:cs="F15"/>
          <w:sz w:val="18"/>
          <w:szCs w:val="18"/>
        </w:rPr>
        <w:t xml:space="preserve">, S., </w:t>
      </w:r>
      <w:proofErr w:type="spellStart"/>
      <w:r w:rsidRPr="00B65E21">
        <w:rPr>
          <w:rFonts w:cs="F15"/>
          <w:sz w:val="18"/>
          <w:szCs w:val="18"/>
        </w:rPr>
        <w:t>Voss</w:t>
      </w:r>
      <w:proofErr w:type="spellEnd"/>
      <w:r w:rsidRPr="00B65E21">
        <w:rPr>
          <w:rFonts w:cs="F15"/>
          <w:sz w:val="18"/>
          <w:szCs w:val="18"/>
        </w:rPr>
        <w:t>, R., &amp; Glaeser-</w:t>
      </w:r>
      <w:proofErr w:type="spellStart"/>
      <w:r w:rsidRPr="00B65E21">
        <w:rPr>
          <w:rFonts w:cs="F15"/>
          <w:sz w:val="18"/>
          <w:szCs w:val="18"/>
        </w:rPr>
        <w:t>Zikuda</w:t>
      </w:r>
      <w:proofErr w:type="spellEnd"/>
      <w:r w:rsidRPr="00B65E21">
        <w:rPr>
          <w:rFonts w:cs="F15"/>
          <w:sz w:val="18"/>
          <w:szCs w:val="18"/>
        </w:rPr>
        <w:t xml:space="preserve">, M. (2010). </w:t>
      </w:r>
      <w:r w:rsidRPr="00B65E21">
        <w:rPr>
          <w:rFonts w:cs="F15"/>
          <w:sz w:val="18"/>
          <w:szCs w:val="18"/>
          <w:lang w:val="en-US"/>
        </w:rPr>
        <w:t>Examining student satisfaction with higher education services: using a new measurement tool. International Journal of Public Sector Management, 23 (2), pp. 105 - 123.</w:t>
      </w:r>
    </w:p>
    <w:p w14:paraId="07DFC3D4"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rPr>
      </w:pPr>
      <w:r w:rsidRPr="00B65E21">
        <w:rPr>
          <w:rFonts w:cstheme="minorHAnsi"/>
          <w:sz w:val="18"/>
          <w:szCs w:val="18"/>
          <w:lang w:val="en-US"/>
        </w:rPr>
        <w:t xml:space="preserve">Gento, S., &amp; </w:t>
      </w:r>
      <w:proofErr w:type="spellStart"/>
      <w:r w:rsidRPr="00B65E21">
        <w:rPr>
          <w:rFonts w:cstheme="minorHAnsi"/>
          <w:sz w:val="18"/>
          <w:szCs w:val="18"/>
          <w:lang w:val="en-US"/>
        </w:rPr>
        <w:t>Vivas</w:t>
      </w:r>
      <w:proofErr w:type="spellEnd"/>
      <w:r w:rsidRPr="00B65E21">
        <w:rPr>
          <w:rFonts w:cstheme="minorHAnsi"/>
          <w:sz w:val="18"/>
          <w:szCs w:val="18"/>
          <w:lang w:val="en-US"/>
        </w:rPr>
        <w:t xml:space="preserve">., M. (2003). </w:t>
      </w:r>
      <w:r w:rsidRPr="00B65E21">
        <w:rPr>
          <w:rFonts w:cstheme="minorHAnsi"/>
          <w:sz w:val="18"/>
          <w:szCs w:val="18"/>
        </w:rPr>
        <w:t>El SEUE: Un instrumento para conocer la satisfacción de los estudiantes universitarios con su Educación. Revista de Acción Pedagógica, Vol. 12, pp. 16 – 27.</w:t>
      </w:r>
    </w:p>
    <w:p w14:paraId="7539A9DD"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lang w:val="en-US"/>
        </w:rPr>
      </w:pPr>
      <w:r w:rsidRPr="00B65E21">
        <w:rPr>
          <w:rFonts w:cstheme="minorHAnsi"/>
          <w:sz w:val="18"/>
          <w:szCs w:val="18"/>
        </w:rPr>
        <w:t xml:space="preserve">Jiménez, A., </w:t>
      </w:r>
      <w:proofErr w:type="spellStart"/>
      <w:r w:rsidRPr="00B65E21">
        <w:rPr>
          <w:rFonts w:cstheme="minorHAnsi"/>
          <w:sz w:val="18"/>
          <w:szCs w:val="18"/>
        </w:rPr>
        <w:t>Terriquez</w:t>
      </w:r>
      <w:proofErr w:type="spellEnd"/>
      <w:r w:rsidRPr="00B65E21">
        <w:rPr>
          <w:rFonts w:cstheme="minorHAnsi"/>
          <w:sz w:val="18"/>
          <w:szCs w:val="18"/>
        </w:rPr>
        <w:t xml:space="preserve">, B., &amp; Robles. F. (2011). Evaluación de la satisfacción académica de los estudiantes de la Universidad Autónoma de Nayarit. </w:t>
      </w:r>
      <w:proofErr w:type="spellStart"/>
      <w:r w:rsidRPr="00B65E21">
        <w:rPr>
          <w:rFonts w:cstheme="minorHAnsi"/>
          <w:sz w:val="18"/>
          <w:szCs w:val="18"/>
          <w:lang w:val="en-US"/>
        </w:rPr>
        <w:t>Revista</w:t>
      </w:r>
      <w:proofErr w:type="spellEnd"/>
      <w:r w:rsidRPr="00B65E21">
        <w:rPr>
          <w:rFonts w:cstheme="minorHAnsi"/>
          <w:sz w:val="18"/>
          <w:szCs w:val="18"/>
          <w:lang w:val="en-US"/>
        </w:rPr>
        <w:t xml:space="preserve"> Fuente, Vol. 3, pp. 46 – 56. </w:t>
      </w:r>
    </w:p>
    <w:p w14:paraId="403666A4" w14:textId="77777777" w:rsidR="00901C50" w:rsidRPr="00B65E21" w:rsidRDefault="00901C50" w:rsidP="00B65E21">
      <w:pPr>
        <w:autoSpaceDE w:val="0"/>
        <w:autoSpaceDN w:val="0"/>
        <w:adjustRightInd w:val="0"/>
        <w:spacing w:line="240" w:lineRule="auto"/>
        <w:ind w:left="0" w:hanging="2"/>
        <w:rPr>
          <w:rFonts w:cs="TimesLTStd-Roman"/>
          <w:sz w:val="18"/>
          <w:szCs w:val="18"/>
          <w:lang w:val="en-US"/>
        </w:rPr>
      </w:pPr>
      <w:r w:rsidRPr="00B65E21">
        <w:rPr>
          <w:rFonts w:cs="TimesLTStd-Roman"/>
          <w:sz w:val="18"/>
          <w:szCs w:val="18"/>
          <w:lang w:val="en-US"/>
        </w:rPr>
        <w:t xml:space="preserve">Joseph, M., &amp; Joseph, B. (1997). Service Quality in Education: </w:t>
      </w:r>
      <w:proofErr w:type="gramStart"/>
      <w:r w:rsidRPr="00B65E21">
        <w:rPr>
          <w:rFonts w:cs="TimesLTStd-Roman"/>
          <w:sz w:val="18"/>
          <w:szCs w:val="18"/>
          <w:lang w:val="en-US"/>
        </w:rPr>
        <w:t>a</w:t>
      </w:r>
      <w:proofErr w:type="gramEnd"/>
      <w:r w:rsidRPr="00B65E21">
        <w:rPr>
          <w:rFonts w:cs="TimesLTStd-Roman"/>
          <w:sz w:val="18"/>
          <w:szCs w:val="18"/>
          <w:lang w:val="en-US"/>
        </w:rPr>
        <w:t xml:space="preserve"> Student Perspective. Quality in Assurance in Education. Vol. 5., pp. 15-21. </w:t>
      </w:r>
    </w:p>
    <w:p w14:paraId="331892DB" w14:textId="7B648EE7" w:rsidR="00901C50" w:rsidRPr="00B65E21" w:rsidRDefault="00901C50" w:rsidP="00B65E21">
      <w:pPr>
        <w:autoSpaceDE w:val="0"/>
        <w:autoSpaceDN w:val="0"/>
        <w:adjustRightInd w:val="0"/>
        <w:spacing w:line="240" w:lineRule="auto"/>
        <w:ind w:left="0" w:hanging="2"/>
        <w:rPr>
          <w:rFonts w:cstheme="minorHAnsi"/>
          <w:sz w:val="18"/>
          <w:szCs w:val="18"/>
          <w:lang w:val="en-US"/>
        </w:rPr>
      </w:pPr>
      <w:r w:rsidRPr="00B65E21">
        <w:rPr>
          <w:rFonts w:cstheme="minorHAnsi"/>
          <w:sz w:val="18"/>
          <w:szCs w:val="18"/>
          <w:lang w:val="en-US"/>
        </w:rPr>
        <w:t xml:space="preserve">Komal, R., &amp; Kumar, M. (2013). Quality Measures in Higher Education: A review and conceptual model. National Institute of Industrial Engineering. Journal Of Research in Business and Management, Vol. 3, pp. 23 – 40. </w:t>
      </w:r>
    </w:p>
    <w:p w14:paraId="7091C517" w14:textId="474B46CF" w:rsidR="00901C50" w:rsidRPr="00B65E21" w:rsidRDefault="00901C50" w:rsidP="00B65E21">
      <w:pPr>
        <w:autoSpaceDE w:val="0"/>
        <w:autoSpaceDN w:val="0"/>
        <w:adjustRightInd w:val="0"/>
        <w:spacing w:line="240" w:lineRule="auto"/>
        <w:ind w:left="0" w:hanging="2"/>
        <w:rPr>
          <w:sz w:val="18"/>
          <w:szCs w:val="18"/>
          <w:lang w:val="en-US"/>
        </w:rPr>
      </w:pPr>
      <w:r w:rsidRPr="00B65E21">
        <w:rPr>
          <w:sz w:val="18"/>
          <w:szCs w:val="18"/>
          <w:lang w:val="en-US"/>
        </w:rPr>
        <w:t>Kwan, P. &amp; Ng, P. (1999). Quality Indicators in Higher Education-Comparing Hong Kong and China’s Students. Managerial Auditing Journal. Vol. 14., pp. 20-27.</w:t>
      </w:r>
    </w:p>
    <w:p w14:paraId="234303C9"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sz w:val="18"/>
          <w:szCs w:val="18"/>
          <w:lang w:val="en-US"/>
        </w:rPr>
      </w:pPr>
      <w:r w:rsidRPr="00B65E21">
        <w:rPr>
          <w:sz w:val="18"/>
          <w:szCs w:val="18"/>
          <w:lang w:val="en-US"/>
        </w:rPr>
        <w:t xml:space="preserve">Long, P. (1999). Measuring the satisfaction gap: education in the market-place. Journal </w:t>
      </w:r>
      <w:r w:rsidRPr="00B65E21">
        <w:rPr>
          <w:bCs/>
          <w:sz w:val="18"/>
          <w:szCs w:val="18"/>
          <w:lang w:val="en-US"/>
        </w:rPr>
        <w:t>Total Quality Management</w:t>
      </w:r>
      <w:r w:rsidRPr="00B65E21">
        <w:rPr>
          <w:sz w:val="18"/>
          <w:szCs w:val="18"/>
          <w:lang w:val="en-US"/>
        </w:rPr>
        <w:t>. Vol. 10, p.772-778.</w:t>
      </w:r>
    </w:p>
    <w:p w14:paraId="3C9CE891" w14:textId="32AB2C13" w:rsidR="00901C50" w:rsidRPr="00B65E21" w:rsidRDefault="00901C50" w:rsidP="00B65E21">
      <w:pPr>
        <w:autoSpaceDE w:val="0"/>
        <w:autoSpaceDN w:val="0"/>
        <w:adjustRightInd w:val="0"/>
        <w:spacing w:line="240" w:lineRule="auto"/>
        <w:ind w:left="0" w:hanging="2"/>
        <w:rPr>
          <w:rFonts w:cs="TimesLTStd-Roman"/>
          <w:sz w:val="18"/>
          <w:szCs w:val="18"/>
          <w:lang w:val="en-US"/>
        </w:rPr>
      </w:pPr>
      <w:r w:rsidRPr="00B65E21">
        <w:rPr>
          <w:rFonts w:cs="TimesLTStd-Roman"/>
          <w:sz w:val="18"/>
          <w:szCs w:val="18"/>
          <w:lang w:val="en-US"/>
        </w:rPr>
        <w:t xml:space="preserve">LeBlanc, G. &amp; Nguyen, N. (1997). Searching for excellence in Business Education: An Exploratory Study of Customer Impressions of Service Quality. International Journal of Educational Management. Vol. 11., pp. 72-79. </w:t>
      </w:r>
    </w:p>
    <w:p w14:paraId="6A92C9C8"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rPr>
      </w:pPr>
      <w:proofErr w:type="spellStart"/>
      <w:r w:rsidRPr="00B65E21">
        <w:rPr>
          <w:rFonts w:cstheme="minorHAnsi"/>
          <w:sz w:val="18"/>
          <w:szCs w:val="18"/>
          <w:lang w:val="en-US"/>
        </w:rPr>
        <w:lastRenderedPageBreak/>
        <w:t>Mejías</w:t>
      </w:r>
      <w:proofErr w:type="spellEnd"/>
      <w:r w:rsidRPr="00B65E21">
        <w:rPr>
          <w:rFonts w:cstheme="minorHAnsi"/>
          <w:sz w:val="18"/>
          <w:szCs w:val="18"/>
          <w:lang w:val="en-US"/>
        </w:rPr>
        <w:t xml:space="preserve">, A., &amp; Martínez, D. (2009). </w:t>
      </w:r>
      <w:r w:rsidRPr="00B65E21">
        <w:rPr>
          <w:rFonts w:cstheme="minorHAnsi"/>
          <w:sz w:val="18"/>
          <w:szCs w:val="18"/>
        </w:rPr>
        <w:t>Desarrollo de un instrumento para medir la satisfacción estudiantil en educación superior. Revista de Docencia Universitaria, Vol. 10, pp. 29 – 47.</w:t>
      </w:r>
    </w:p>
    <w:p w14:paraId="59A9BBD9" w14:textId="48BCE6AF" w:rsidR="00901C50" w:rsidRPr="00B65E21" w:rsidRDefault="00901C50" w:rsidP="00B65E21">
      <w:pPr>
        <w:autoSpaceDE w:val="0"/>
        <w:autoSpaceDN w:val="0"/>
        <w:adjustRightInd w:val="0"/>
        <w:spacing w:line="240" w:lineRule="auto"/>
        <w:ind w:left="0" w:hanging="2"/>
        <w:rPr>
          <w:rFonts w:cs="TimesLTStd-Roman"/>
          <w:sz w:val="18"/>
          <w:szCs w:val="18"/>
          <w:lang w:val="en-US"/>
        </w:rPr>
      </w:pPr>
      <w:proofErr w:type="spellStart"/>
      <w:r w:rsidRPr="00B65E21">
        <w:rPr>
          <w:rFonts w:cs="TimesLTStd-Roman"/>
          <w:sz w:val="18"/>
          <w:szCs w:val="18"/>
        </w:rPr>
        <w:t>Owlia</w:t>
      </w:r>
      <w:proofErr w:type="spellEnd"/>
      <w:r w:rsidRPr="00B65E21">
        <w:rPr>
          <w:rFonts w:cs="TimesLTStd-Roman"/>
          <w:sz w:val="18"/>
          <w:szCs w:val="18"/>
        </w:rPr>
        <w:t xml:space="preserve">, M., &amp; Aspinwall, E. (1996). </w:t>
      </w:r>
      <w:r w:rsidRPr="00B65E21">
        <w:rPr>
          <w:rFonts w:cs="TimesLTStd-Roman"/>
          <w:sz w:val="18"/>
          <w:szCs w:val="18"/>
          <w:lang w:val="en-US"/>
        </w:rPr>
        <w:t>Quality in higher education: a survey. Total Quality Management. Vol. 7., pp. 161-171.</w:t>
      </w:r>
    </w:p>
    <w:p w14:paraId="5F98577C" w14:textId="77777777" w:rsidR="00901C50" w:rsidRPr="00B65E21" w:rsidRDefault="00901C50" w:rsidP="00B65E2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lang w:val="en-US"/>
        </w:rPr>
      </w:pPr>
      <w:proofErr w:type="spellStart"/>
      <w:r w:rsidRPr="00B65E21">
        <w:rPr>
          <w:rFonts w:cstheme="minorHAnsi"/>
          <w:sz w:val="18"/>
          <w:szCs w:val="18"/>
          <w:lang w:val="en-US"/>
        </w:rPr>
        <w:t>Poh</w:t>
      </w:r>
      <w:proofErr w:type="spellEnd"/>
      <w:r w:rsidRPr="00B65E21">
        <w:rPr>
          <w:rFonts w:cstheme="minorHAnsi"/>
          <w:sz w:val="18"/>
          <w:szCs w:val="18"/>
          <w:lang w:val="en-US"/>
        </w:rPr>
        <w:t xml:space="preserve"> Ju, P., &amp; </w:t>
      </w:r>
      <w:proofErr w:type="spellStart"/>
      <w:r w:rsidRPr="00B65E21">
        <w:rPr>
          <w:rFonts w:cstheme="minorHAnsi"/>
          <w:sz w:val="18"/>
          <w:szCs w:val="18"/>
          <w:lang w:val="en-US"/>
        </w:rPr>
        <w:t>Ainon</w:t>
      </w:r>
      <w:proofErr w:type="spellEnd"/>
      <w:r w:rsidRPr="00B65E21">
        <w:rPr>
          <w:rFonts w:cstheme="minorHAnsi"/>
          <w:sz w:val="18"/>
          <w:szCs w:val="18"/>
          <w:lang w:val="en-US"/>
        </w:rPr>
        <w:t xml:space="preserve">, Abu. (2006). Measuring Student’s Satisfaction </w:t>
      </w:r>
      <w:proofErr w:type="gramStart"/>
      <w:r w:rsidRPr="00B65E21">
        <w:rPr>
          <w:rFonts w:cstheme="minorHAnsi"/>
          <w:sz w:val="18"/>
          <w:szCs w:val="18"/>
          <w:lang w:val="en-US"/>
        </w:rPr>
        <w:t>For</w:t>
      </w:r>
      <w:proofErr w:type="gramEnd"/>
      <w:r w:rsidRPr="00B65E21">
        <w:rPr>
          <w:rFonts w:cstheme="minorHAnsi"/>
          <w:sz w:val="18"/>
          <w:szCs w:val="18"/>
          <w:lang w:val="en-US"/>
        </w:rPr>
        <w:t xml:space="preserve"> Quality Education in a E-Learning University. </w:t>
      </w:r>
      <w:proofErr w:type="spellStart"/>
      <w:r w:rsidRPr="00B65E21">
        <w:rPr>
          <w:rFonts w:cstheme="minorHAnsi"/>
          <w:sz w:val="18"/>
          <w:szCs w:val="18"/>
          <w:lang w:val="en-US"/>
        </w:rPr>
        <w:t>Unitar</w:t>
      </w:r>
      <w:proofErr w:type="spellEnd"/>
      <w:r w:rsidRPr="00B65E21">
        <w:rPr>
          <w:rFonts w:cstheme="minorHAnsi"/>
          <w:sz w:val="18"/>
          <w:szCs w:val="18"/>
          <w:lang w:val="en-US"/>
        </w:rPr>
        <w:t xml:space="preserve"> Journal, Vol. 2, pp. 11 – 21. </w:t>
      </w:r>
    </w:p>
    <w:p w14:paraId="05BF23D1" w14:textId="2E595DE0" w:rsidR="00BD04DB" w:rsidRDefault="00901C50" w:rsidP="00131A88">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sz w:val="18"/>
          <w:szCs w:val="18"/>
          <w:lang w:val="en-US"/>
        </w:rPr>
      </w:pPr>
      <w:r w:rsidRPr="00B65E21">
        <w:rPr>
          <w:sz w:val="18"/>
          <w:szCs w:val="18"/>
          <w:lang w:val="en-US"/>
        </w:rPr>
        <w:t xml:space="preserve">Righi, A., Jorge, S., Angeli, A. (2006). </w:t>
      </w:r>
      <w:r w:rsidRPr="00B65E21">
        <w:rPr>
          <w:sz w:val="18"/>
          <w:szCs w:val="18"/>
        </w:rPr>
        <w:t xml:space="preserve">Escala de </w:t>
      </w:r>
      <w:proofErr w:type="spellStart"/>
      <w:r w:rsidRPr="00B65E21">
        <w:rPr>
          <w:sz w:val="18"/>
          <w:szCs w:val="18"/>
        </w:rPr>
        <w:t>Satisfação</w:t>
      </w:r>
      <w:proofErr w:type="spellEnd"/>
      <w:r w:rsidRPr="00B65E21">
        <w:rPr>
          <w:sz w:val="18"/>
          <w:szCs w:val="18"/>
        </w:rPr>
        <w:t xml:space="preserve"> como a </w:t>
      </w:r>
      <w:proofErr w:type="spellStart"/>
      <w:r w:rsidRPr="00B65E21">
        <w:rPr>
          <w:sz w:val="18"/>
          <w:szCs w:val="18"/>
        </w:rPr>
        <w:t>experiência</w:t>
      </w:r>
      <w:proofErr w:type="spellEnd"/>
      <w:r w:rsidRPr="00B65E21">
        <w:rPr>
          <w:sz w:val="18"/>
          <w:szCs w:val="18"/>
        </w:rPr>
        <w:t xml:space="preserve"> </w:t>
      </w:r>
      <w:proofErr w:type="spellStart"/>
      <w:r w:rsidRPr="00B65E21">
        <w:rPr>
          <w:sz w:val="18"/>
          <w:szCs w:val="18"/>
        </w:rPr>
        <w:t>acadêmica</w:t>
      </w:r>
      <w:proofErr w:type="spellEnd"/>
      <w:r w:rsidRPr="00B65E21">
        <w:rPr>
          <w:sz w:val="18"/>
          <w:szCs w:val="18"/>
        </w:rPr>
        <w:t xml:space="preserve"> de </w:t>
      </w:r>
      <w:proofErr w:type="spellStart"/>
      <w:r w:rsidRPr="00B65E21">
        <w:rPr>
          <w:sz w:val="18"/>
          <w:szCs w:val="18"/>
        </w:rPr>
        <w:t>estudantes</w:t>
      </w:r>
      <w:proofErr w:type="spellEnd"/>
      <w:r w:rsidRPr="00B65E21">
        <w:rPr>
          <w:sz w:val="18"/>
          <w:szCs w:val="18"/>
        </w:rPr>
        <w:t xml:space="preserve"> do </w:t>
      </w:r>
      <w:proofErr w:type="spellStart"/>
      <w:r w:rsidRPr="00B65E21">
        <w:rPr>
          <w:sz w:val="18"/>
          <w:szCs w:val="18"/>
        </w:rPr>
        <w:t>ensino</w:t>
      </w:r>
      <w:proofErr w:type="spellEnd"/>
      <w:r w:rsidRPr="00B65E21">
        <w:rPr>
          <w:sz w:val="18"/>
          <w:szCs w:val="18"/>
        </w:rPr>
        <w:t xml:space="preserve"> superior. </w:t>
      </w:r>
      <w:proofErr w:type="spellStart"/>
      <w:r w:rsidRPr="00B65E21">
        <w:rPr>
          <w:bCs/>
          <w:sz w:val="18"/>
          <w:szCs w:val="18"/>
          <w:lang w:val="en-US"/>
        </w:rPr>
        <w:t>Avaliação</w:t>
      </w:r>
      <w:proofErr w:type="spellEnd"/>
      <w:r w:rsidRPr="00B65E21">
        <w:rPr>
          <w:bCs/>
          <w:sz w:val="18"/>
          <w:szCs w:val="18"/>
          <w:lang w:val="en-US"/>
        </w:rPr>
        <w:t xml:space="preserve"> </w:t>
      </w:r>
      <w:proofErr w:type="spellStart"/>
      <w:r w:rsidRPr="00B65E21">
        <w:rPr>
          <w:bCs/>
          <w:sz w:val="18"/>
          <w:szCs w:val="18"/>
          <w:lang w:val="en-US"/>
        </w:rPr>
        <w:t>Psicologica</w:t>
      </w:r>
      <w:proofErr w:type="spellEnd"/>
      <w:r w:rsidRPr="00B65E21">
        <w:rPr>
          <w:sz w:val="18"/>
          <w:szCs w:val="18"/>
          <w:lang w:val="en-US"/>
        </w:rPr>
        <w:t>, Vol. 5, pp. 11-20.</w:t>
      </w:r>
      <w:bookmarkEnd w:id="24"/>
      <w:bookmarkEnd w:id="25"/>
    </w:p>
    <w:p w14:paraId="148B6614" w14:textId="77777777" w:rsidR="001709E0" w:rsidRPr="001709E0" w:rsidRDefault="001709E0" w:rsidP="001709E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lang w:val="en-US"/>
        </w:rPr>
      </w:pPr>
      <w:r w:rsidRPr="001709E0">
        <w:rPr>
          <w:rFonts w:cstheme="minorHAnsi"/>
          <w:sz w:val="18"/>
          <w:szCs w:val="18"/>
          <w:lang w:val="en-US"/>
        </w:rPr>
        <w:t xml:space="preserve">Tinto, V. (1986). Theories of student departure revisited. In D. Smart (Ed.), Higher </w:t>
      </w:r>
      <w:proofErr w:type="spellStart"/>
      <w:r w:rsidRPr="001709E0">
        <w:rPr>
          <w:rFonts w:cstheme="minorHAnsi"/>
          <w:sz w:val="18"/>
          <w:szCs w:val="18"/>
          <w:lang w:val="en-US"/>
        </w:rPr>
        <w:t>Educaction</w:t>
      </w:r>
      <w:proofErr w:type="spellEnd"/>
      <w:r w:rsidRPr="001709E0">
        <w:rPr>
          <w:rFonts w:cstheme="minorHAnsi"/>
          <w:sz w:val="18"/>
          <w:szCs w:val="18"/>
          <w:lang w:val="en-US"/>
        </w:rPr>
        <w:t xml:space="preserve"> Handbook of Theory and Research, Vol. 2. New York: Agathon Prees.</w:t>
      </w:r>
    </w:p>
    <w:p w14:paraId="6C011410" w14:textId="77777777" w:rsidR="001709E0" w:rsidRPr="001709E0" w:rsidRDefault="001709E0" w:rsidP="001709E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lang w:val="en-US"/>
        </w:rPr>
      </w:pPr>
      <w:r w:rsidRPr="001709E0">
        <w:rPr>
          <w:rFonts w:cstheme="minorHAnsi"/>
          <w:sz w:val="18"/>
          <w:szCs w:val="18"/>
          <w:lang w:val="en-US"/>
        </w:rPr>
        <w:t xml:space="preserve">Tinto, V. (1997). Classrooms as </w:t>
      </w:r>
      <w:proofErr w:type="spellStart"/>
      <w:r w:rsidRPr="001709E0">
        <w:rPr>
          <w:rFonts w:cstheme="minorHAnsi"/>
          <w:sz w:val="18"/>
          <w:szCs w:val="18"/>
          <w:lang w:val="en-US"/>
        </w:rPr>
        <w:t>communnities</w:t>
      </w:r>
      <w:proofErr w:type="spellEnd"/>
      <w:r w:rsidRPr="001709E0">
        <w:rPr>
          <w:rFonts w:cstheme="minorHAnsi"/>
          <w:sz w:val="18"/>
          <w:szCs w:val="18"/>
          <w:lang w:val="en-US"/>
        </w:rPr>
        <w:t xml:space="preserve">: Exploring the </w:t>
      </w:r>
      <w:proofErr w:type="spellStart"/>
      <w:r w:rsidRPr="001709E0">
        <w:rPr>
          <w:rFonts w:cstheme="minorHAnsi"/>
          <w:sz w:val="18"/>
          <w:szCs w:val="18"/>
          <w:lang w:val="en-US"/>
        </w:rPr>
        <w:t>educacional</w:t>
      </w:r>
      <w:proofErr w:type="spellEnd"/>
      <w:r w:rsidRPr="001709E0">
        <w:rPr>
          <w:rFonts w:cstheme="minorHAnsi"/>
          <w:sz w:val="18"/>
          <w:szCs w:val="18"/>
          <w:lang w:val="en-US"/>
        </w:rPr>
        <w:t xml:space="preserve"> </w:t>
      </w:r>
      <w:proofErr w:type="spellStart"/>
      <w:r w:rsidRPr="001709E0">
        <w:rPr>
          <w:rFonts w:cstheme="minorHAnsi"/>
          <w:sz w:val="18"/>
          <w:szCs w:val="18"/>
          <w:lang w:val="en-US"/>
        </w:rPr>
        <w:t>carácter</w:t>
      </w:r>
      <w:proofErr w:type="spellEnd"/>
      <w:r w:rsidRPr="001709E0">
        <w:rPr>
          <w:rFonts w:cstheme="minorHAnsi"/>
          <w:sz w:val="18"/>
          <w:szCs w:val="18"/>
          <w:lang w:val="en-US"/>
        </w:rPr>
        <w:t xml:space="preserve"> of student experience. Journal of Higher </w:t>
      </w:r>
      <w:proofErr w:type="spellStart"/>
      <w:r w:rsidRPr="001709E0">
        <w:rPr>
          <w:rFonts w:cstheme="minorHAnsi"/>
          <w:sz w:val="18"/>
          <w:szCs w:val="18"/>
          <w:lang w:val="en-US"/>
        </w:rPr>
        <w:t>Educaction</w:t>
      </w:r>
      <w:proofErr w:type="spellEnd"/>
      <w:r w:rsidRPr="001709E0">
        <w:rPr>
          <w:rFonts w:cstheme="minorHAnsi"/>
          <w:sz w:val="18"/>
          <w:szCs w:val="18"/>
          <w:lang w:val="en-US"/>
        </w:rPr>
        <w:t>, 68(6), 599-623.</w:t>
      </w:r>
    </w:p>
    <w:p w14:paraId="357316EB" w14:textId="006B8AEC" w:rsidR="001709E0" w:rsidRPr="00131A88" w:rsidRDefault="001709E0" w:rsidP="001709E0">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 w:val="left" w:pos="11103"/>
        </w:tabs>
        <w:spacing w:line="240" w:lineRule="auto"/>
        <w:ind w:left="0" w:hanging="2"/>
        <w:rPr>
          <w:rFonts w:cstheme="minorHAnsi"/>
          <w:sz w:val="18"/>
          <w:szCs w:val="18"/>
          <w:lang w:val="en-US"/>
        </w:rPr>
      </w:pPr>
      <w:r w:rsidRPr="001709E0">
        <w:rPr>
          <w:rFonts w:cstheme="minorHAnsi"/>
          <w:sz w:val="18"/>
          <w:szCs w:val="18"/>
          <w:lang w:val="en-US"/>
        </w:rPr>
        <w:t xml:space="preserve">Tinto, V. (1998). Colleges as communities: taking research on student persistence seriously. The educational </w:t>
      </w:r>
      <w:proofErr w:type="spellStart"/>
      <w:r w:rsidRPr="001709E0">
        <w:rPr>
          <w:rFonts w:cstheme="minorHAnsi"/>
          <w:sz w:val="18"/>
          <w:szCs w:val="18"/>
          <w:lang w:val="en-US"/>
        </w:rPr>
        <w:t>carácter</w:t>
      </w:r>
      <w:proofErr w:type="spellEnd"/>
      <w:r w:rsidRPr="001709E0">
        <w:rPr>
          <w:rFonts w:cstheme="minorHAnsi"/>
          <w:sz w:val="18"/>
          <w:szCs w:val="18"/>
          <w:lang w:val="en-US"/>
        </w:rPr>
        <w:t xml:space="preserve"> of student experience. Review of Higher Education, 21(2), 167-177</w:t>
      </w:r>
    </w:p>
    <w:sectPr w:rsidR="001709E0" w:rsidRPr="00131A88" w:rsidSect="002F2D75">
      <w:headerReference w:type="even" r:id="rId10"/>
      <w:headerReference w:type="default" r:id="rId11"/>
      <w:footerReference w:type="even" r:id="rId12"/>
      <w:footerReference w:type="default" r:id="rId13"/>
      <w:headerReference w:type="first" r:id="rId14"/>
      <w:footerReference w:type="first" r:id="rId15"/>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8CC6" w14:textId="77777777" w:rsidR="003B7BC7" w:rsidRDefault="003B7BC7">
      <w:pPr>
        <w:spacing w:after="0" w:line="240" w:lineRule="auto"/>
        <w:ind w:left="0" w:hanging="2"/>
      </w:pPr>
      <w:r>
        <w:separator/>
      </w:r>
    </w:p>
  </w:endnote>
  <w:endnote w:type="continuationSeparator" w:id="0">
    <w:p w14:paraId="397084AA" w14:textId="77777777" w:rsidR="003B7BC7" w:rsidRDefault="003B7BC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F15">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23F3" w14:textId="77777777" w:rsidR="003B7BC7" w:rsidRDefault="003B7BC7">
      <w:pPr>
        <w:spacing w:after="0" w:line="240" w:lineRule="auto"/>
        <w:ind w:left="0" w:hanging="2"/>
      </w:pPr>
      <w:r>
        <w:separator/>
      </w:r>
    </w:p>
  </w:footnote>
  <w:footnote w:type="continuationSeparator" w:id="0">
    <w:p w14:paraId="7F3283B5" w14:textId="77777777" w:rsidR="003B7BC7" w:rsidRDefault="003B7BC7">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7E5"/>
    <w:multiLevelType w:val="hybridMultilevel"/>
    <w:tmpl w:val="0F28F108"/>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178344B2"/>
    <w:multiLevelType w:val="hybridMultilevel"/>
    <w:tmpl w:val="10981A7A"/>
    <w:lvl w:ilvl="0" w:tplc="04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1F6CE6"/>
    <w:multiLevelType w:val="multilevel"/>
    <w:tmpl w:val="26642DDC"/>
    <w:lvl w:ilvl="0">
      <w:start w:val="1"/>
      <w:numFmt w:val="lowerLetter"/>
      <w:lvlText w:val="%1)"/>
      <w:lvlJc w:val="left"/>
      <w:pPr>
        <w:ind w:left="366" w:hanging="360"/>
      </w:pPr>
    </w:lvl>
    <w:lvl w:ilvl="1">
      <w:start w:val="1"/>
      <w:numFmt w:val="lowerLetter"/>
      <w:lvlText w:val="%2."/>
      <w:lvlJc w:val="left"/>
      <w:pPr>
        <w:ind w:left="1086" w:hanging="360"/>
      </w:pPr>
    </w:lvl>
    <w:lvl w:ilvl="2">
      <w:start w:val="1"/>
      <w:numFmt w:val="lowerRoman"/>
      <w:lvlText w:val="%3."/>
      <w:lvlJc w:val="right"/>
      <w:pPr>
        <w:ind w:left="1806" w:hanging="180"/>
      </w:pPr>
    </w:lvl>
    <w:lvl w:ilvl="3">
      <w:start w:val="1"/>
      <w:numFmt w:val="decimal"/>
      <w:lvlText w:val="%4."/>
      <w:lvlJc w:val="left"/>
      <w:pPr>
        <w:ind w:left="2526" w:hanging="360"/>
      </w:pPr>
    </w:lvl>
    <w:lvl w:ilvl="4">
      <w:start w:val="1"/>
      <w:numFmt w:val="lowerLetter"/>
      <w:lvlText w:val="%5."/>
      <w:lvlJc w:val="left"/>
      <w:pPr>
        <w:ind w:left="3246" w:hanging="360"/>
      </w:pPr>
    </w:lvl>
    <w:lvl w:ilvl="5">
      <w:start w:val="1"/>
      <w:numFmt w:val="lowerRoman"/>
      <w:lvlText w:val="%6."/>
      <w:lvlJc w:val="right"/>
      <w:pPr>
        <w:ind w:left="3966" w:hanging="180"/>
      </w:pPr>
    </w:lvl>
    <w:lvl w:ilvl="6">
      <w:start w:val="1"/>
      <w:numFmt w:val="decimal"/>
      <w:lvlText w:val="%7."/>
      <w:lvlJc w:val="left"/>
      <w:pPr>
        <w:ind w:left="4686" w:hanging="360"/>
      </w:pPr>
    </w:lvl>
    <w:lvl w:ilvl="7">
      <w:start w:val="1"/>
      <w:numFmt w:val="lowerLetter"/>
      <w:lvlText w:val="%8."/>
      <w:lvlJc w:val="left"/>
      <w:pPr>
        <w:ind w:left="5406" w:hanging="360"/>
      </w:pPr>
    </w:lvl>
    <w:lvl w:ilvl="8">
      <w:start w:val="1"/>
      <w:numFmt w:val="lowerRoman"/>
      <w:lvlText w:val="%9."/>
      <w:lvlJc w:val="right"/>
      <w:pPr>
        <w:ind w:left="6126" w:hanging="180"/>
      </w:pPr>
    </w:lvl>
  </w:abstractNum>
  <w:abstractNum w:abstractNumId="3" w15:restartNumberingAfterBreak="0">
    <w:nsid w:val="1AC52C1A"/>
    <w:multiLevelType w:val="hybridMultilevel"/>
    <w:tmpl w:val="5ED45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20A3A"/>
    <w:multiLevelType w:val="multilevel"/>
    <w:tmpl w:val="35F2E958"/>
    <w:lvl w:ilvl="0">
      <w:start w:val="1"/>
      <w:numFmt w:val="decimal"/>
      <w:lvlText w:val="%1."/>
      <w:lvlJc w:val="left"/>
      <w:pPr>
        <w:ind w:left="360" w:hanging="360"/>
      </w:pPr>
      <w:rPr>
        <w:color w:val="002060"/>
      </w:rPr>
    </w:lvl>
    <w:lvl w:ilvl="1">
      <w:start w:val="1"/>
      <w:numFmt w:val="bullet"/>
      <w:lvlText w:val=""/>
      <w:lvlJc w:val="left"/>
      <w:pPr>
        <w:ind w:left="718"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594547B"/>
    <w:multiLevelType w:val="multilevel"/>
    <w:tmpl w:val="63845C7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5BB429A"/>
    <w:multiLevelType w:val="multilevel"/>
    <w:tmpl w:val="7D5EF0A6"/>
    <w:lvl w:ilvl="0">
      <w:start w:val="1"/>
      <w:numFmt w:val="decimal"/>
      <w:lvlText w:val="%1."/>
      <w:lvlJc w:val="left"/>
      <w:pPr>
        <w:ind w:left="360" w:hanging="360"/>
      </w:pPr>
      <w:rPr>
        <w:color w:val="002060"/>
      </w:rPr>
    </w:lvl>
    <w:lvl w:ilvl="1">
      <w:start w:val="1"/>
      <w:numFmt w:val="decimal"/>
      <w:lvlText w:val="%1.%2."/>
      <w:lvlJc w:val="left"/>
      <w:pPr>
        <w:ind w:left="360" w:hanging="360"/>
      </w:pPr>
      <w:rPr>
        <w:rFonts w:ascii="Cambria" w:eastAsia="Cambria" w:hAnsi="Cambria" w:cs="Cambria"/>
        <w:sz w:val="23"/>
        <w:szCs w:val="23"/>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A9419CA"/>
    <w:multiLevelType w:val="hybridMultilevel"/>
    <w:tmpl w:val="FB324394"/>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AD6033E"/>
    <w:multiLevelType w:val="multilevel"/>
    <w:tmpl w:val="36F02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2E654E"/>
    <w:multiLevelType w:val="multilevel"/>
    <w:tmpl w:val="63F427D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AEF119F"/>
    <w:multiLevelType w:val="multilevel"/>
    <w:tmpl w:val="6A8C045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C530C29"/>
    <w:multiLevelType w:val="hybridMultilevel"/>
    <w:tmpl w:val="200492A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407B6934"/>
    <w:multiLevelType w:val="hybridMultilevel"/>
    <w:tmpl w:val="1D98B6B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4A250F"/>
    <w:multiLevelType w:val="hybridMultilevel"/>
    <w:tmpl w:val="EFB23848"/>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46E46E86"/>
    <w:multiLevelType w:val="multilevel"/>
    <w:tmpl w:val="A644EF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D255A9"/>
    <w:multiLevelType w:val="multilevel"/>
    <w:tmpl w:val="12FE12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1D758CC"/>
    <w:multiLevelType w:val="hybridMultilevel"/>
    <w:tmpl w:val="CB980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867239"/>
    <w:multiLevelType w:val="hybridMultilevel"/>
    <w:tmpl w:val="A4283BB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EBC274E"/>
    <w:multiLevelType w:val="hybridMultilevel"/>
    <w:tmpl w:val="16AE7D3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60032867"/>
    <w:multiLevelType w:val="multilevel"/>
    <w:tmpl w:val="68DAE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F0319"/>
    <w:multiLevelType w:val="hybridMultilevel"/>
    <w:tmpl w:val="D8CA74D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A436A3D"/>
    <w:multiLevelType w:val="multilevel"/>
    <w:tmpl w:val="F654BE1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41870567">
    <w:abstractNumId w:val="10"/>
  </w:num>
  <w:num w:numId="2" w16cid:durableId="755327885">
    <w:abstractNumId w:val="2"/>
  </w:num>
  <w:num w:numId="3" w16cid:durableId="1460028344">
    <w:abstractNumId w:val="8"/>
  </w:num>
  <w:num w:numId="4" w16cid:durableId="984358396">
    <w:abstractNumId w:val="6"/>
  </w:num>
  <w:num w:numId="5" w16cid:durableId="2092307549">
    <w:abstractNumId w:val="20"/>
  </w:num>
  <w:num w:numId="6" w16cid:durableId="1464035959">
    <w:abstractNumId w:val="16"/>
  </w:num>
  <w:num w:numId="7" w16cid:durableId="894699196">
    <w:abstractNumId w:val="9"/>
  </w:num>
  <w:num w:numId="8" w16cid:durableId="1796676698">
    <w:abstractNumId w:val="5"/>
  </w:num>
  <w:num w:numId="9" w16cid:durableId="1980106854">
    <w:abstractNumId w:val="22"/>
  </w:num>
  <w:num w:numId="10" w16cid:durableId="927615913">
    <w:abstractNumId w:val="11"/>
  </w:num>
  <w:num w:numId="11" w16cid:durableId="1527063541">
    <w:abstractNumId w:val="3"/>
  </w:num>
  <w:num w:numId="12" w16cid:durableId="1244216829">
    <w:abstractNumId w:val="15"/>
  </w:num>
  <w:num w:numId="13" w16cid:durableId="1333604152">
    <w:abstractNumId w:val="12"/>
  </w:num>
  <w:num w:numId="14" w16cid:durableId="1515916288">
    <w:abstractNumId w:val="0"/>
  </w:num>
  <w:num w:numId="15" w16cid:durableId="1970165522">
    <w:abstractNumId w:val="4"/>
  </w:num>
  <w:num w:numId="16" w16cid:durableId="1233811358">
    <w:abstractNumId w:val="14"/>
  </w:num>
  <w:num w:numId="17" w16cid:durableId="1849828375">
    <w:abstractNumId w:val="17"/>
  </w:num>
  <w:num w:numId="18" w16cid:durableId="1294478118">
    <w:abstractNumId w:val="13"/>
  </w:num>
  <w:num w:numId="19" w16cid:durableId="2062551369">
    <w:abstractNumId w:val="19"/>
  </w:num>
  <w:num w:numId="20" w16cid:durableId="826674853">
    <w:abstractNumId w:val="1"/>
  </w:num>
  <w:num w:numId="21" w16cid:durableId="1497263982">
    <w:abstractNumId w:val="7"/>
  </w:num>
  <w:num w:numId="22" w16cid:durableId="1133403513">
    <w:abstractNumId w:val="18"/>
  </w:num>
  <w:num w:numId="23" w16cid:durableId="19322759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59BD"/>
    <w:rsid w:val="0002308D"/>
    <w:rsid w:val="00024F4D"/>
    <w:rsid w:val="000A75FA"/>
    <w:rsid w:val="0012056D"/>
    <w:rsid w:val="00131A88"/>
    <w:rsid w:val="001359E9"/>
    <w:rsid w:val="0017017D"/>
    <w:rsid w:val="001709E0"/>
    <w:rsid w:val="00177CB2"/>
    <w:rsid w:val="001A25FB"/>
    <w:rsid w:val="001D076E"/>
    <w:rsid w:val="002004BB"/>
    <w:rsid w:val="002077E7"/>
    <w:rsid w:val="002140F0"/>
    <w:rsid w:val="0023086C"/>
    <w:rsid w:val="00266BD9"/>
    <w:rsid w:val="002839EF"/>
    <w:rsid w:val="002B3F7C"/>
    <w:rsid w:val="002E08F1"/>
    <w:rsid w:val="002F2D75"/>
    <w:rsid w:val="00336D24"/>
    <w:rsid w:val="00366947"/>
    <w:rsid w:val="00371817"/>
    <w:rsid w:val="003B16B6"/>
    <w:rsid w:val="003B7BC7"/>
    <w:rsid w:val="004113A5"/>
    <w:rsid w:val="00421B9D"/>
    <w:rsid w:val="004A043E"/>
    <w:rsid w:val="00501B40"/>
    <w:rsid w:val="00553B8E"/>
    <w:rsid w:val="00573544"/>
    <w:rsid w:val="005C25D6"/>
    <w:rsid w:val="00662C4A"/>
    <w:rsid w:val="00671BA5"/>
    <w:rsid w:val="006834F1"/>
    <w:rsid w:val="00764EC9"/>
    <w:rsid w:val="007777FB"/>
    <w:rsid w:val="007A3A43"/>
    <w:rsid w:val="007E5704"/>
    <w:rsid w:val="007F5D20"/>
    <w:rsid w:val="00885037"/>
    <w:rsid w:val="00886E91"/>
    <w:rsid w:val="008B5FA0"/>
    <w:rsid w:val="008E0BA9"/>
    <w:rsid w:val="00901C50"/>
    <w:rsid w:val="00915C89"/>
    <w:rsid w:val="00925AF0"/>
    <w:rsid w:val="00997987"/>
    <w:rsid w:val="009E2D10"/>
    <w:rsid w:val="009F6536"/>
    <w:rsid w:val="00A017D2"/>
    <w:rsid w:val="00A16F76"/>
    <w:rsid w:val="00A83462"/>
    <w:rsid w:val="00AD353A"/>
    <w:rsid w:val="00AF1E0C"/>
    <w:rsid w:val="00AF5E0D"/>
    <w:rsid w:val="00B20143"/>
    <w:rsid w:val="00B65E21"/>
    <w:rsid w:val="00BD04DB"/>
    <w:rsid w:val="00BF4B2D"/>
    <w:rsid w:val="00C637C2"/>
    <w:rsid w:val="00CA0EDB"/>
    <w:rsid w:val="00CF3D1B"/>
    <w:rsid w:val="00D07820"/>
    <w:rsid w:val="00D237D7"/>
    <w:rsid w:val="00D2457C"/>
    <w:rsid w:val="00D56DD5"/>
    <w:rsid w:val="00D863BA"/>
    <w:rsid w:val="00DC4F98"/>
    <w:rsid w:val="00E30D25"/>
    <w:rsid w:val="00E33626"/>
    <w:rsid w:val="00E43F05"/>
    <w:rsid w:val="00ED461F"/>
    <w:rsid w:val="00EF363B"/>
    <w:rsid w:val="00EF610E"/>
    <w:rsid w:val="00F33FAA"/>
    <w:rsid w:val="00F72EDA"/>
    <w:rsid w:val="00F93AE3"/>
    <w:rsid w:val="00FB510C"/>
    <w:rsid w:val="00FF3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IndiceTablas">
    <w:name w:val="Indice_Tablas"/>
    <w:basedOn w:val="Ttulo"/>
    <w:link w:val="IndiceTablasCar"/>
    <w:qFormat/>
    <w:rsid w:val="00764EC9"/>
    <w:pPr>
      <w:suppressAutoHyphens w:val="0"/>
      <w:spacing w:line="240" w:lineRule="auto"/>
      <w:ind w:leftChars="0" w:left="0" w:firstLineChars="0" w:firstLine="0"/>
      <w:jc w:val="center"/>
      <w:textDirection w:val="lrTb"/>
      <w:outlineLvl w:val="9"/>
    </w:pPr>
    <w:rPr>
      <w:rFonts w:ascii="Cambria" w:eastAsiaTheme="majorEastAsia" w:hAnsi="Cambria" w:cstheme="majorBidi"/>
      <w:b/>
      <w:bCs/>
      <w:color w:val="002060"/>
      <w:sz w:val="21"/>
    </w:rPr>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link w:val="Textonotapie"/>
    <w:uiPriority w:val="99"/>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styleId="Mencinsinresolver">
    <w:name w:val="Unresolved Mention"/>
    <w:basedOn w:val="Fuentedeprrafopredeter"/>
    <w:uiPriority w:val="99"/>
    <w:semiHidden/>
    <w:unhideWhenUsed/>
    <w:rsid w:val="00AF5E0D"/>
    <w:rPr>
      <w:color w:val="605E5C"/>
      <w:shd w:val="clear" w:color="auto" w:fill="E1DFDD"/>
    </w:rPr>
  </w:style>
  <w:style w:type="paragraph" w:styleId="Sinespaciado">
    <w:name w:val="No Spacing"/>
    <w:link w:val="SinespaciadoCar"/>
    <w:uiPriority w:val="1"/>
    <w:qFormat/>
    <w:rsid w:val="00901C50"/>
    <w:pPr>
      <w:spacing w:after="0"/>
      <w:jc w:val="left"/>
    </w:pPr>
    <w:rPr>
      <w:rFonts w:asciiTheme="minorHAnsi" w:eastAsiaTheme="minorHAnsi" w:hAnsiTheme="minorHAnsi" w:cstheme="minorBidi"/>
      <w:sz w:val="22"/>
      <w:szCs w:val="22"/>
      <w:lang w:val="es-CL" w:eastAsia="en-US"/>
    </w:rPr>
  </w:style>
  <w:style w:type="character" w:customStyle="1" w:styleId="SinespaciadoCar">
    <w:name w:val="Sin espaciado Car"/>
    <w:link w:val="Sinespaciado"/>
    <w:uiPriority w:val="1"/>
    <w:rsid w:val="00901C50"/>
    <w:rPr>
      <w:rFonts w:asciiTheme="minorHAnsi" w:eastAsiaTheme="minorHAnsi" w:hAnsiTheme="minorHAnsi" w:cstheme="minorBidi"/>
      <w:sz w:val="22"/>
      <w:szCs w:val="22"/>
      <w:lang w:val="es-CL" w:eastAsia="en-US"/>
    </w:rPr>
  </w:style>
  <w:style w:type="paragraph" w:styleId="Textonotapie">
    <w:name w:val="footnote text"/>
    <w:basedOn w:val="Normal"/>
    <w:link w:val="TextonotapieCar"/>
    <w:uiPriority w:val="99"/>
    <w:semiHidden/>
    <w:unhideWhenUsed/>
    <w:rsid w:val="00901C50"/>
    <w:pPr>
      <w:suppressAutoHyphens w:val="0"/>
      <w:spacing w:after="0" w:line="240" w:lineRule="auto"/>
      <w:ind w:leftChars="0" w:left="0" w:firstLineChars="0" w:firstLine="0"/>
      <w:jc w:val="left"/>
      <w:textDirection w:val="lrTb"/>
      <w:textAlignment w:val="auto"/>
      <w:outlineLvl w:val="9"/>
    </w:pPr>
    <w:rPr>
      <w:kern w:val="16"/>
      <w:sz w:val="22"/>
      <w:lang w:eastAsia="pt-BR"/>
    </w:rPr>
  </w:style>
  <w:style w:type="character" w:customStyle="1" w:styleId="TextonotapieCar1">
    <w:name w:val="Texto nota pie Car1"/>
    <w:basedOn w:val="Fuentedeprrafopredeter"/>
    <w:uiPriority w:val="99"/>
    <w:semiHidden/>
    <w:rsid w:val="00901C50"/>
    <w:rPr>
      <w:position w:val="-1"/>
      <w:lang w:eastAsia="es-ES"/>
    </w:rPr>
  </w:style>
  <w:style w:type="character" w:styleId="Refdenotaalpie">
    <w:name w:val="footnote reference"/>
    <w:basedOn w:val="Fuentedeprrafopredeter"/>
    <w:uiPriority w:val="99"/>
    <w:semiHidden/>
    <w:unhideWhenUsed/>
    <w:rsid w:val="00901C50"/>
    <w:rPr>
      <w:vertAlign w:val="superscript"/>
    </w:rPr>
  </w:style>
  <w:style w:type="character" w:styleId="Textoennegrita">
    <w:name w:val="Strong"/>
    <w:basedOn w:val="Fuentedeprrafopredeter"/>
    <w:uiPriority w:val="22"/>
    <w:qFormat/>
    <w:rsid w:val="00901C50"/>
    <w:rPr>
      <w:b/>
      <w:bCs/>
    </w:rPr>
  </w:style>
  <w:style w:type="paragraph" w:styleId="Cita">
    <w:name w:val="Quote"/>
    <w:basedOn w:val="Normal"/>
    <w:next w:val="Normal"/>
    <w:link w:val="CitaCar1"/>
    <w:uiPriority w:val="29"/>
    <w:qFormat/>
    <w:rsid w:val="00901C50"/>
    <w:pPr>
      <w:spacing w:before="200" w:after="160"/>
      <w:ind w:left="864" w:right="864"/>
      <w:jc w:val="center"/>
    </w:pPr>
    <w:rPr>
      <w:i/>
      <w:iCs/>
      <w:color w:val="404040" w:themeColor="text1" w:themeTint="BF"/>
    </w:rPr>
  </w:style>
  <w:style w:type="character" w:customStyle="1" w:styleId="CitaCar1">
    <w:name w:val="Cita Car1"/>
    <w:basedOn w:val="Fuentedeprrafopredeter"/>
    <w:link w:val="Cita"/>
    <w:uiPriority w:val="29"/>
    <w:rsid w:val="00901C50"/>
    <w:rPr>
      <w:i/>
      <w:iCs/>
      <w:color w:val="404040" w:themeColor="text1" w:themeTint="BF"/>
      <w:position w:val="-1"/>
      <w:lang w:eastAsia="es-ES"/>
    </w:rPr>
  </w:style>
  <w:style w:type="character" w:customStyle="1" w:styleId="IndiceTablasCar">
    <w:name w:val="Indice_Tablas Car"/>
    <w:basedOn w:val="TtuloCar"/>
    <w:link w:val="IndiceTablas"/>
    <w:rsid w:val="00764EC9"/>
    <w:rPr>
      <w:rFonts w:ascii="Cambria" w:eastAsiaTheme="majorEastAsia" w:hAnsi="Cambria" w:cstheme="majorBidi"/>
      <w:b/>
      <w:bCs/>
      <w:color w:val="002060"/>
      <w:spacing w:val="-10"/>
      <w:w w:val="100"/>
      <w:kern w:val="28"/>
      <w:position w:val="-1"/>
      <w:sz w:val="21"/>
      <w:szCs w:val="56"/>
      <w:effect w:val="none"/>
      <w:vertAlign w:val="baseline"/>
      <w:cs w:val="0"/>
      <w:em w:val="none"/>
      <w:lang w:eastAsia="es-ES"/>
    </w:rPr>
  </w:style>
  <w:style w:type="paragraph" w:customStyle="1" w:styleId="IndiceFiguras">
    <w:name w:val="Indice_Figuras"/>
    <w:basedOn w:val="Normal"/>
    <w:link w:val="IndiceFigurasCar"/>
    <w:qFormat/>
    <w:rsid w:val="00D863BA"/>
    <w:pPr>
      <w:keepNext/>
      <w:keepLines/>
      <w:pBdr>
        <w:top w:val="nil"/>
        <w:left w:val="nil"/>
        <w:bottom w:val="nil"/>
        <w:right w:val="nil"/>
        <w:between w:val="nil"/>
      </w:pBdr>
      <w:suppressAutoHyphens w:val="0"/>
      <w:spacing w:after="0" w:line="240" w:lineRule="auto"/>
      <w:ind w:leftChars="0" w:left="0" w:firstLineChars="0" w:firstLine="0"/>
      <w:jc w:val="center"/>
      <w:textDirection w:val="lrTb"/>
      <w:textAlignment w:val="auto"/>
      <w:outlineLvl w:val="9"/>
    </w:pPr>
    <w:rPr>
      <w:rFonts w:ascii="Cambria" w:eastAsia="Calibri" w:hAnsi="Cambria" w:cs="Calibri"/>
      <w:b/>
      <w:bCs/>
      <w:color w:val="002060"/>
      <w:position w:val="0"/>
      <w:sz w:val="21"/>
      <w:szCs w:val="24"/>
    </w:rPr>
  </w:style>
  <w:style w:type="character" w:customStyle="1" w:styleId="IndiceFigurasCar">
    <w:name w:val="Indice_Figuras Car"/>
    <w:basedOn w:val="Fuentedeprrafopredeter"/>
    <w:link w:val="IndiceFiguras"/>
    <w:rsid w:val="00D863BA"/>
    <w:rPr>
      <w:rFonts w:ascii="Cambria" w:eastAsia="Calibri" w:hAnsi="Cambria" w:cs="Calibri"/>
      <w:b/>
      <w:bCs/>
      <w:color w:val="002060"/>
      <w:sz w:val="21"/>
      <w:szCs w:val="24"/>
      <w:lang w:eastAsia="es-ES"/>
    </w:rPr>
  </w:style>
  <w:style w:type="paragraph" w:styleId="Prrafodelista">
    <w:name w:val="List Paragraph"/>
    <w:basedOn w:val="Normal"/>
    <w:uiPriority w:val="34"/>
    <w:qFormat/>
    <w:rsid w:val="00915C89"/>
    <w:pPr>
      <w:ind w:left="720"/>
      <w:contextualSpacing/>
    </w:pPr>
  </w:style>
  <w:style w:type="table" w:styleId="Tablaconcuadrcula">
    <w:name w:val="Table Grid"/>
    <w:basedOn w:val="Tablanormal"/>
    <w:uiPriority w:val="39"/>
    <w:rsid w:val="009E2D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2pop\Desktop\ACTIVIDADES\PROYECTOS\FRO20992%20UFRO_2021_2022\Informe%20Piloto%20Experiencia%20y%20Satisfacci&#243;n%2013.07.2022\Result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2pop\Desktop\ACTIVIDADES\PROYECTOS\FRO20992%20UFRO_2021_2022\Informe%20Piloto%20Experiencia%20y%20Satisfacci&#243;n%2013.07.2022\Resultad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'Puntajes promedio'!$C$25</c:f>
              <c:strCache>
                <c:ptCount val="1"/>
                <c:pt idx="0">
                  <c:v>Media</c:v>
                </c:pt>
              </c:strCache>
            </c:strRef>
          </c:tx>
          <c:spPr>
            <a:solidFill>
              <a:schemeClr val="accent1"/>
            </a:solidFill>
            <a:ln>
              <a:noFill/>
            </a:ln>
            <a:effectLst/>
          </c:spPr>
          <c:invertIfNegative val="0"/>
          <c:dPt>
            <c:idx val="3"/>
            <c:invertIfNegative val="0"/>
            <c:bubble3D val="0"/>
            <c:spPr>
              <a:solidFill>
                <a:schemeClr val="accent6"/>
              </a:solidFill>
              <a:ln>
                <a:noFill/>
              </a:ln>
              <a:effectLst/>
            </c:spPr>
            <c:extLst>
              <c:ext xmlns:c16="http://schemas.microsoft.com/office/drawing/2014/chart" uri="{C3380CC4-5D6E-409C-BE32-E72D297353CC}">
                <c16:uniqueId val="{00000001-CA7D-46F3-ADB7-6C6250E42E7B}"/>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'Puntajes promedio'!$B$26:$B$29</c:f>
              <c:strCache>
                <c:ptCount val="4"/>
                <c:pt idx="0">
                  <c:v>Servicios estudiantiles</c:v>
                </c:pt>
                <c:pt idx="1">
                  <c:v>Convivencia</c:v>
                </c:pt>
                <c:pt idx="2">
                  <c:v>Responsabilidad social universitaria y estudiantil</c:v>
                </c:pt>
                <c:pt idx="3">
                  <c:v>Instrumento</c:v>
                </c:pt>
              </c:strCache>
            </c:strRef>
          </c:cat>
          <c:val>
            <c:numRef>
              <c:f>'Puntajes promedio'!$C$26:$C$29</c:f>
              <c:numCache>
                <c:formatCode>0.00</c:formatCode>
                <c:ptCount val="4"/>
                <c:pt idx="0">
                  <c:v>3.9211999999999998</c:v>
                </c:pt>
                <c:pt idx="1">
                  <c:v>4.2329999999999997</c:v>
                </c:pt>
                <c:pt idx="2">
                  <c:v>3.6879</c:v>
                </c:pt>
                <c:pt idx="3">
                  <c:v>3.9641999999999999</c:v>
                </c:pt>
              </c:numCache>
            </c:numRef>
          </c:val>
          <c:extLst>
            <c:ext xmlns:c16="http://schemas.microsoft.com/office/drawing/2014/chart" uri="{C3380CC4-5D6E-409C-BE32-E72D297353CC}">
              <c16:uniqueId val="{00000002-CA7D-46F3-ADB7-6C6250E42E7B}"/>
            </c:ext>
          </c:extLst>
        </c:ser>
        <c:dLbls>
          <c:dLblPos val="outEnd"/>
          <c:showLegendKey val="0"/>
          <c:showVal val="1"/>
          <c:showCatName val="0"/>
          <c:showSerName val="0"/>
          <c:showPercent val="0"/>
          <c:showBubbleSize val="0"/>
        </c:dLbls>
        <c:gapWidth val="219"/>
        <c:overlap val="-27"/>
        <c:axId val="70397248"/>
        <c:axId val="70387680"/>
      </c:barChart>
      <c:catAx>
        <c:axId val="7039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70387680"/>
        <c:crosses val="autoZero"/>
        <c:auto val="1"/>
        <c:lblAlgn val="ctr"/>
        <c:lblOffset val="100"/>
        <c:noMultiLvlLbl val="0"/>
      </c:catAx>
      <c:valAx>
        <c:axId val="70387680"/>
        <c:scaling>
          <c:orientation val="minMax"/>
          <c:max val="5"/>
          <c:min val="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703972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'Puntajes promedio'!$C$104</c:f>
              <c:strCache>
                <c:ptCount val="1"/>
                <c:pt idx="0">
                  <c:v>2008 a 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'Puntajes promedio'!$B$105:$B$108</c:f>
              <c:strCache>
                <c:ptCount val="4"/>
                <c:pt idx="0">
                  <c:v>Servicios estudiantiles</c:v>
                </c:pt>
                <c:pt idx="1">
                  <c:v>Convivencia</c:v>
                </c:pt>
                <c:pt idx="2">
                  <c:v>Responsabilidad social universitaria y estudiantil</c:v>
                </c:pt>
                <c:pt idx="3">
                  <c:v>Instrumento</c:v>
                </c:pt>
              </c:strCache>
            </c:strRef>
          </c:cat>
          <c:val>
            <c:numRef>
              <c:f>'Puntajes promedio'!$C$105:$C$108</c:f>
              <c:numCache>
                <c:formatCode>0.00</c:formatCode>
                <c:ptCount val="4"/>
                <c:pt idx="0">
                  <c:v>3.5989</c:v>
                </c:pt>
                <c:pt idx="1">
                  <c:v>3.7681</c:v>
                </c:pt>
                <c:pt idx="2">
                  <c:v>3.2483</c:v>
                </c:pt>
                <c:pt idx="3">
                  <c:v>3.6070000000000002</c:v>
                </c:pt>
              </c:numCache>
            </c:numRef>
          </c:val>
          <c:extLst>
            <c:ext xmlns:c16="http://schemas.microsoft.com/office/drawing/2014/chart" uri="{C3380CC4-5D6E-409C-BE32-E72D297353CC}">
              <c16:uniqueId val="{00000000-9725-421D-9FFB-5C88A1134F9E}"/>
            </c:ext>
          </c:extLst>
        </c:ser>
        <c:ser>
          <c:idx val="1"/>
          <c:order val="1"/>
          <c:tx>
            <c:strRef>
              <c:f>'Puntajes promedio'!$D$104</c:f>
              <c:strCache>
                <c:ptCount val="1"/>
                <c:pt idx="0">
                  <c:v>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'Puntajes promedio'!$B$105:$B$108</c:f>
              <c:strCache>
                <c:ptCount val="4"/>
                <c:pt idx="0">
                  <c:v>Servicios estudiantiles</c:v>
                </c:pt>
                <c:pt idx="1">
                  <c:v>Convivencia</c:v>
                </c:pt>
                <c:pt idx="2">
                  <c:v>Responsabilidad social universitaria y estudiantil</c:v>
                </c:pt>
                <c:pt idx="3">
                  <c:v>Instrumento</c:v>
                </c:pt>
              </c:strCache>
            </c:strRef>
          </c:cat>
          <c:val>
            <c:numRef>
              <c:f>'Puntajes promedio'!$D$105:$D$108</c:f>
              <c:numCache>
                <c:formatCode>0.00</c:formatCode>
                <c:ptCount val="4"/>
                <c:pt idx="0">
                  <c:v>3.8334000000000001</c:v>
                </c:pt>
                <c:pt idx="1">
                  <c:v>4.0494000000000003</c:v>
                </c:pt>
                <c:pt idx="2">
                  <c:v>3.5198999999999998</c:v>
                </c:pt>
                <c:pt idx="3">
                  <c:v>3.8334000000000001</c:v>
                </c:pt>
              </c:numCache>
            </c:numRef>
          </c:val>
          <c:extLst>
            <c:ext xmlns:c16="http://schemas.microsoft.com/office/drawing/2014/chart" uri="{C3380CC4-5D6E-409C-BE32-E72D297353CC}">
              <c16:uniqueId val="{00000001-9725-421D-9FFB-5C88A1134F9E}"/>
            </c:ext>
          </c:extLst>
        </c:ser>
        <c:ser>
          <c:idx val="2"/>
          <c:order val="2"/>
          <c:tx>
            <c:strRef>
              <c:f>'Puntajes promedio'!$E$104</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'Puntajes promedio'!$B$105:$B$108</c:f>
              <c:strCache>
                <c:ptCount val="4"/>
                <c:pt idx="0">
                  <c:v>Servicios estudiantiles</c:v>
                </c:pt>
                <c:pt idx="1">
                  <c:v>Convivencia</c:v>
                </c:pt>
                <c:pt idx="2">
                  <c:v>Responsabilidad social universitaria y estudiantil</c:v>
                </c:pt>
                <c:pt idx="3">
                  <c:v>Instrumento</c:v>
                </c:pt>
              </c:strCache>
            </c:strRef>
          </c:cat>
          <c:val>
            <c:numRef>
              <c:f>'Puntajes promedio'!$E$105:$E$108</c:f>
              <c:numCache>
                <c:formatCode>0.00</c:formatCode>
                <c:ptCount val="4"/>
                <c:pt idx="0">
                  <c:v>3.9049</c:v>
                </c:pt>
                <c:pt idx="1">
                  <c:v>4.2279</c:v>
                </c:pt>
                <c:pt idx="2">
                  <c:v>3.5638999999999998</c:v>
                </c:pt>
                <c:pt idx="3">
                  <c:v>3.9144000000000001</c:v>
                </c:pt>
              </c:numCache>
            </c:numRef>
          </c:val>
          <c:extLst>
            <c:ext xmlns:c16="http://schemas.microsoft.com/office/drawing/2014/chart" uri="{C3380CC4-5D6E-409C-BE32-E72D297353CC}">
              <c16:uniqueId val="{00000002-9725-421D-9FFB-5C88A1134F9E}"/>
            </c:ext>
          </c:extLst>
        </c:ser>
        <c:ser>
          <c:idx val="3"/>
          <c:order val="3"/>
          <c:tx>
            <c:strRef>
              <c:f>'Puntajes promedio'!$F$104</c:f>
              <c:strCache>
                <c:ptCount val="1"/>
                <c:pt idx="0">
                  <c:v>2020</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'Puntajes promedio'!$B$105:$B$108</c:f>
              <c:strCache>
                <c:ptCount val="4"/>
                <c:pt idx="0">
                  <c:v>Servicios estudiantiles</c:v>
                </c:pt>
                <c:pt idx="1">
                  <c:v>Convivencia</c:v>
                </c:pt>
                <c:pt idx="2">
                  <c:v>Responsabilidad social universitaria y estudiantil</c:v>
                </c:pt>
                <c:pt idx="3">
                  <c:v>Instrumento</c:v>
                </c:pt>
              </c:strCache>
            </c:strRef>
          </c:cat>
          <c:val>
            <c:numRef>
              <c:f>'Puntajes promedio'!$F$105:$F$108</c:f>
              <c:numCache>
                <c:formatCode>0.00</c:formatCode>
                <c:ptCount val="4"/>
                <c:pt idx="0">
                  <c:v>3.8081</c:v>
                </c:pt>
                <c:pt idx="1">
                  <c:v>4.2969999999999997</c:v>
                </c:pt>
                <c:pt idx="2">
                  <c:v>3.6863999999999999</c:v>
                </c:pt>
                <c:pt idx="3">
                  <c:v>3.9306999999999999</c:v>
                </c:pt>
              </c:numCache>
            </c:numRef>
          </c:val>
          <c:extLst>
            <c:ext xmlns:c16="http://schemas.microsoft.com/office/drawing/2014/chart" uri="{C3380CC4-5D6E-409C-BE32-E72D297353CC}">
              <c16:uniqueId val="{00000003-9725-421D-9FFB-5C88A1134F9E}"/>
            </c:ext>
          </c:extLst>
        </c:ser>
        <c:ser>
          <c:idx val="4"/>
          <c:order val="4"/>
          <c:tx>
            <c:strRef>
              <c:f>'Puntajes promedio'!$G$104</c:f>
              <c:strCache>
                <c:ptCount val="1"/>
                <c:pt idx="0">
                  <c:v>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'Puntajes promedio'!$B$105:$B$108</c:f>
              <c:strCache>
                <c:ptCount val="4"/>
                <c:pt idx="0">
                  <c:v>Servicios estudiantiles</c:v>
                </c:pt>
                <c:pt idx="1">
                  <c:v>Convivencia</c:v>
                </c:pt>
                <c:pt idx="2">
                  <c:v>Responsabilidad social universitaria y estudiantil</c:v>
                </c:pt>
                <c:pt idx="3">
                  <c:v>Instrumento</c:v>
                </c:pt>
              </c:strCache>
            </c:strRef>
          </c:cat>
          <c:val>
            <c:numRef>
              <c:f>'Puntajes promedio'!$G$105:$G$108</c:f>
              <c:numCache>
                <c:formatCode>0.00</c:formatCode>
                <c:ptCount val="4"/>
                <c:pt idx="0">
                  <c:v>4.1002000000000001</c:v>
                </c:pt>
                <c:pt idx="1">
                  <c:v>4.468</c:v>
                </c:pt>
                <c:pt idx="2">
                  <c:v>3.9249999999999998</c:v>
                </c:pt>
                <c:pt idx="3">
                  <c:v>4.1437999999999997</c:v>
                </c:pt>
              </c:numCache>
            </c:numRef>
          </c:val>
          <c:extLst>
            <c:ext xmlns:c16="http://schemas.microsoft.com/office/drawing/2014/chart" uri="{C3380CC4-5D6E-409C-BE32-E72D297353CC}">
              <c16:uniqueId val="{00000004-9725-421D-9FFB-5C88A1134F9E}"/>
            </c:ext>
          </c:extLst>
        </c:ser>
        <c:ser>
          <c:idx val="5"/>
          <c:order val="5"/>
          <c:tx>
            <c:strRef>
              <c:f>'Puntajes promedio'!$H$104</c:f>
              <c:strCache>
                <c:ptCount val="1"/>
                <c:pt idx="0">
                  <c:v>2022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'Puntajes promedio'!$B$105:$B$108</c:f>
              <c:strCache>
                <c:ptCount val="4"/>
                <c:pt idx="0">
                  <c:v>Servicios estudiantiles</c:v>
                </c:pt>
                <c:pt idx="1">
                  <c:v>Convivencia</c:v>
                </c:pt>
                <c:pt idx="2">
                  <c:v>Responsabilidad social universitaria y estudiantil</c:v>
                </c:pt>
                <c:pt idx="3">
                  <c:v>Instrumento</c:v>
                </c:pt>
              </c:strCache>
            </c:strRef>
          </c:cat>
          <c:val>
            <c:numRef>
              <c:f>'Puntajes promedio'!$H$105:$H$108</c:f>
              <c:numCache>
                <c:formatCode>0.00</c:formatCode>
                <c:ptCount val="4"/>
                <c:pt idx="0">
                  <c:v>4.1558999999999999</c:v>
                </c:pt>
                <c:pt idx="1">
                  <c:v>4.3564999999999996</c:v>
                </c:pt>
                <c:pt idx="2">
                  <c:v>4.0552999999999999</c:v>
                </c:pt>
                <c:pt idx="3">
                  <c:v>4.1985000000000001</c:v>
                </c:pt>
              </c:numCache>
            </c:numRef>
          </c:val>
          <c:extLst>
            <c:ext xmlns:c16="http://schemas.microsoft.com/office/drawing/2014/chart" uri="{C3380CC4-5D6E-409C-BE32-E72D297353CC}">
              <c16:uniqueId val="{00000005-9725-421D-9FFB-5C88A1134F9E}"/>
            </c:ext>
          </c:extLst>
        </c:ser>
        <c:dLbls>
          <c:dLblPos val="outEnd"/>
          <c:showLegendKey val="0"/>
          <c:showVal val="1"/>
          <c:showCatName val="0"/>
          <c:showSerName val="0"/>
          <c:showPercent val="0"/>
          <c:showBubbleSize val="0"/>
        </c:dLbls>
        <c:gapWidth val="219"/>
        <c:overlap val="-27"/>
        <c:axId val="444002768"/>
        <c:axId val="444017744"/>
      </c:barChart>
      <c:catAx>
        <c:axId val="44400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017744"/>
        <c:crosses val="autoZero"/>
        <c:auto val="1"/>
        <c:lblAlgn val="ctr"/>
        <c:lblOffset val="100"/>
        <c:noMultiLvlLbl val="0"/>
      </c:catAx>
      <c:valAx>
        <c:axId val="444017744"/>
        <c:scaling>
          <c:orientation val="minMax"/>
          <c:min val="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400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5207</Words>
  <Characters>29686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ED A</cp:lastModifiedBy>
  <cp:revision>27</cp:revision>
  <dcterms:created xsi:type="dcterms:W3CDTF">2022-09-15T06:31:00Z</dcterms:created>
  <dcterms:modified xsi:type="dcterms:W3CDTF">2022-10-23T01:49:00Z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