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ED6178" w14:textId="3C9A49D4" w:rsidR="00584920" w:rsidRPr="0083689A" w:rsidRDefault="00584920" w:rsidP="0083689A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83689A">
        <w:rPr>
          <w:b/>
          <w:bCs/>
          <w:sz w:val="24"/>
          <w:szCs w:val="24"/>
        </w:rPr>
        <w:t xml:space="preserve">VARIAÇÃO TEMPORAL DA MACROFAUNA BENTÔNICA DE UMA PRAIA ARENOSA </w:t>
      </w:r>
      <w:r w:rsidR="00164B5D" w:rsidRPr="0083689A">
        <w:rPr>
          <w:b/>
          <w:bCs/>
          <w:sz w:val="24"/>
          <w:szCs w:val="24"/>
        </w:rPr>
        <w:t>EM UMA APA NA COSTA AMAZÔNICA</w:t>
      </w:r>
    </w:p>
    <w:p w14:paraId="0F972672" w14:textId="77777777" w:rsidR="00164B5D" w:rsidRDefault="00164B5D" w:rsidP="0083689A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7C931245" w14:textId="48B7E036" w:rsidR="00664B32" w:rsidRDefault="00164B5D" w:rsidP="0083689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Emanuelle Fernanda Silva de Souza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Thuareag Monteiro Trindade dos Santos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14:paraId="07839891" w14:textId="77777777" w:rsidR="00164B5D" w:rsidRDefault="00164B5D" w:rsidP="0083689A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3B75836E" w14:textId="7A295D8E" w:rsidR="00664B32" w:rsidRDefault="00000000" w:rsidP="0083689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164B5D">
        <w:rPr>
          <w:sz w:val="24"/>
          <w:szCs w:val="24"/>
        </w:rPr>
        <w:t>Graduanda em Oceanografia</w:t>
      </w:r>
      <w:r>
        <w:rPr>
          <w:sz w:val="24"/>
          <w:szCs w:val="24"/>
        </w:rPr>
        <w:t xml:space="preserve">. </w:t>
      </w:r>
      <w:r w:rsidR="00164B5D">
        <w:rPr>
          <w:sz w:val="24"/>
          <w:szCs w:val="24"/>
        </w:rPr>
        <w:t>Universidade Federal do Pará</w:t>
      </w:r>
      <w:r w:rsidR="00D321DA">
        <w:rPr>
          <w:sz w:val="24"/>
          <w:szCs w:val="24"/>
        </w:rPr>
        <w:t>/Instituto de Geociências</w:t>
      </w:r>
      <w:r>
        <w:rPr>
          <w:sz w:val="24"/>
          <w:szCs w:val="24"/>
        </w:rPr>
        <w:t xml:space="preserve">. </w:t>
      </w:r>
      <w:hyperlink r:id="rId6" w:history="1">
        <w:r w:rsidR="00E76397" w:rsidRPr="00BA2F9F">
          <w:rPr>
            <w:rStyle w:val="Hyperlink"/>
            <w:sz w:val="24"/>
            <w:szCs w:val="24"/>
          </w:rPr>
          <w:t>emanuelle.souza@ig.ufpa.br</w:t>
        </w:r>
      </w:hyperlink>
      <w:r w:rsidR="00E76397">
        <w:rPr>
          <w:sz w:val="24"/>
          <w:szCs w:val="24"/>
        </w:rPr>
        <w:t xml:space="preserve"> </w:t>
      </w:r>
    </w:p>
    <w:p w14:paraId="5BC9D3D8" w14:textId="63ADC43B" w:rsidR="00664B32" w:rsidRDefault="0083689A" w:rsidP="0083689A">
      <w:pPr>
        <w:pBdr>
          <w:top w:val="nil"/>
          <w:left w:val="nil"/>
          <w:bottom w:val="nil"/>
          <w:right w:val="nil"/>
          <w:between w:val="nil"/>
        </w:pBdr>
        <w:tabs>
          <w:tab w:val="left" w:pos="1133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Pr="0083689A">
        <w:rPr>
          <w:sz w:val="24"/>
          <w:szCs w:val="24"/>
        </w:rPr>
        <w:t>Doutor</w:t>
      </w:r>
      <w:r w:rsidR="00E76397" w:rsidRPr="0083689A">
        <w:rPr>
          <w:sz w:val="24"/>
          <w:szCs w:val="24"/>
        </w:rPr>
        <w:t xml:space="preserve"> </w:t>
      </w:r>
      <w:r w:rsidR="00E76397">
        <w:rPr>
          <w:sz w:val="24"/>
          <w:szCs w:val="24"/>
        </w:rPr>
        <w:t xml:space="preserve">em Ecologia Aquática e Pesca. </w:t>
      </w:r>
      <w:r w:rsidR="00E76397" w:rsidRPr="00E76397">
        <w:rPr>
          <w:sz w:val="24"/>
          <w:szCs w:val="24"/>
        </w:rPr>
        <w:t>Museu Paraense Emilio Goeldi, Coordenação de Zoologia.</w:t>
      </w:r>
    </w:p>
    <w:p w14:paraId="735EA03A" w14:textId="77777777" w:rsidR="0083689A" w:rsidRDefault="0083689A" w:rsidP="0083689A">
      <w:pPr>
        <w:pBdr>
          <w:top w:val="nil"/>
          <w:left w:val="nil"/>
          <w:bottom w:val="nil"/>
          <w:right w:val="nil"/>
          <w:between w:val="nil"/>
        </w:pBdr>
        <w:tabs>
          <w:tab w:val="left" w:pos="1133"/>
        </w:tabs>
        <w:jc w:val="center"/>
        <w:rPr>
          <w:color w:val="FF0000"/>
          <w:sz w:val="24"/>
          <w:szCs w:val="24"/>
          <w:u w:val="single"/>
        </w:rPr>
      </w:pPr>
    </w:p>
    <w:p w14:paraId="68D0E0BB" w14:textId="77777777" w:rsidR="00664B32" w:rsidRDefault="00000000" w:rsidP="0083689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67E7A107" w14:textId="19065C0E" w:rsidR="00853B27" w:rsidRPr="0083689A" w:rsidRDefault="00E957BB" w:rsidP="0083689A">
      <w:pPr>
        <w:jc w:val="both"/>
        <w:rPr>
          <w:sz w:val="24"/>
          <w:szCs w:val="24"/>
        </w:rPr>
      </w:pPr>
      <w:r w:rsidRPr="00584920">
        <w:rPr>
          <w:sz w:val="24"/>
          <w:szCs w:val="24"/>
        </w:rPr>
        <w:t xml:space="preserve">Praias arenosas oceânicas estão presentes em todas as linhas de costa, regimes de marés e latitudes, sendo ambientes de transição entre os ecossistemas terrestre e marinho, constituindo um dos ambientes mais dinâmicos da terra. O presente estudo tem como objetivo verificar a distribuição espaço temporal da macrofauna bentônica de uma praia arenosa de </w:t>
      </w:r>
      <w:proofErr w:type="spellStart"/>
      <w:r w:rsidRPr="00584920">
        <w:rPr>
          <w:sz w:val="24"/>
          <w:szCs w:val="24"/>
        </w:rPr>
        <w:t>macromaré</w:t>
      </w:r>
      <w:proofErr w:type="spellEnd"/>
      <w:r w:rsidRPr="00584920">
        <w:rPr>
          <w:sz w:val="24"/>
          <w:szCs w:val="24"/>
        </w:rPr>
        <w:t xml:space="preserve"> equatorial, tendo em vista o valor ecológico e a devida importância do funcionamento desta biota. As coletas foram realizadas na praia da caixa d'água, (047º 32' 05'' W - 00º 34' 45'' S) localizada na Ilha de Algodoal-</w:t>
      </w:r>
      <w:proofErr w:type="spellStart"/>
      <w:r w:rsidRPr="00584920">
        <w:rPr>
          <w:sz w:val="24"/>
          <w:szCs w:val="24"/>
        </w:rPr>
        <w:t>Maiandeua</w:t>
      </w:r>
      <w:proofErr w:type="spellEnd"/>
      <w:r w:rsidRPr="00584920">
        <w:rPr>
          <w:sz w:val="24"/>
          <w:szCs w:val="24"/>
        </w:rPr>
        <w:t xml:space="preserve"> (Nordeste Paraense)</w:t>
      </w:r>
      <w:r w:rsidR="00E76397">
        <w:rPr>
          <w:sz w:val="24"/>
          <w:szCs w:val="24"/>
        </w:rPr>
        <w:t xml:space="preserve"> no</w:t>
      </w:r>
      <w:r w:rsidRPr="00584920">
        <w:rPr>
          <w:sz w:val="24"/>
          <w:szCs w:val="24"/>
        </w:rPr>
        <w:t xml:space="preserve"> período seco (setembro de 2012) e no período chuvoso (março de 2013). Em cada período, as coletas foram feitas ao longo de dois transectos perpendiculares à linha de praia com a amostragem ocorrendo em seis pontos (A – F) equidistantes (50 m), desde a linha de maré alta de sizígia até a linha de maré baixa de sizígia, abrangendo as zonas de </w:t>
      </w:r>
      <w:proofErr w:type="spellStart"/>
      <w:r w:rsidRPr="00584920">
        <w:rPr>
          <w:sz w:val="24"/>
          <w:szCs w:val="24"/>
        </w:rPr>
        <w:t>médiolitoral</w:t>
      </w:r>
      <w:proofErr w:type="spellEnd"/>
      <w:r w:rsidRPr="00584920">
        <w:rPr>
          <w:sz w:val="24"/>
          <w:szCs w:val="24"/>
        </w:rPr>
        <w:t xml:space="preserve"> superior (MLS), médio (MLM) e inferior (MLI). Foram retiradas 4 amostras em cada ponto utilizando um amostrador cilíndrico. O material coletado foi passado em malha de 0,3 mm e os organismos retidos fixados em formalina salina a 4% tamponada com tetraborato de sódio. Paralelo a coleta de material biológico, em cada ponto de coleta foi tomada uma amostra de sedimento, utilizando o mesmo amostrador cilíndrico para determinação da </w:t>
      </w:r>
      <w:r w:rsidR="00853B27" w:rsidRPr="00584920">
        <w:rPr>
          <w:sz w:val="24"/>
          <w:szCs w:val="24"/>
        </w:rPr>
        <w:t xml:space="preserve">granulometria </w:t>
      </w:r>
      <w:r w:rsidRPr="00584920">
        <w:rPr>
          <w:sz w:val="24"/>
          <w:szCs w:val="24"/>
        </w:rPr>
        <w:t>dos sedimentos e do teor de matéria orgânica.</w:t>
      </w:r>
      <w:r w:rsidR="00853B27" w:rsidRPr="00584920">
        <w:rPr>
          <w:sz w:val="24"/>
          <w:szCs w:val="24"/>
        </w:rPr>
        <w:t xml:space="preserve"> </w:t>
      </w:r>
      <w:r w:rsidRPr="00584920">
        <w:rPr>
          <w:sz w:val="24"/>
          <w:szCs w:val="24"/>
        </w:rPr>
        <w:t>No laboratório</w:t>
      </w:r>
      <w:r w:rsidR="00240E37">
        <w:rPr>
          <w:sz w:val="24"/>
          <w:szCs w:val="24"/>
        </w:rPr>
        <w:t>,</w:t>
      </w:r>
      <w:r w:rsidRPr="00584920">
        <w:rPr>
          <w:sz w:val="24"/>
          <w:szCs w:val="24"/>
        </w:rPr>
        <w:t xml:space="preserve"> os organismos foram identificados ao menor nível taxonômico possível e contados. Para cada amostra foi determinada a composição, riqueza (total de táxons presentes), densidade (ind./m²), diversidade (Shannon) e equitatividade (</w:t>
      </w:r>
      <w:proofErr w:type="spellStart"/>
      <w:r w:rsidRPr="00584920">
        <w:rPr>
          <w:sz w:val="24"/>
          <w:szCs w:val="24"/>
        </w:rPr>
        <w:t>Pielou</w:t>
      </w:r>
      <w:proofErr w:type="spellEnd"/>
      <w:r w:rsidRPr="00584920">
        <w:rPr>
          <w:sz w:val="24"/>
          <w:szCs w:val="24"/>
        </w:rPr>
        <w:t xml:space="preserve">). Os descritores foram comparados entre estratos e períodos utilizando análises </w:t>
      </w:r>
      <w:proofErr w:type="spellStart"/>
      <w:r w:rsidRPr="00584920">
        <w:rPr>
          <w:sz w:val="24"/>
          <w:szCs w:val="24"/>
        </w:rPr>
        <w:t>univariadas</w:t>
      </w:r>
      <w:proofErr w:type="spellEnd"/>
      <w:r w:rsidRPr="00584920">
        <w:rPr>
          <w:sz w:val="24"/>
          <w:szCs w:val="24"/>
        </w:rPr>
        <w:t xml:space="preserve"> (ANOVA e teste T) e multivariadas (PERMANOVA, PCO e SIMPER). </w:t>
      </w:r>
      <w:r w:rsidR="00853B27" w:rsidRPr="00584920">
        <w:rPr>
          <w:sz w:val="24"/>
          <w:szCs w:val="24"/>
        </w:rPr>
        <w:t xml:space="preserve">Foram identificados 489 organismos, representantes de 29 táxons pertencentes aos filos </w:t>
      </w:r>
      <w:proofErr w:type="spellStart"/>
      <w:r w:rsidR="00853B27" w:rsidRPr="00584920">
        <w:rPr>
          <w:sz w:val="24"/>
          <w:szCs w:val="24"/>
        </w:rPr>
        <w:t>Nemertea</w:t>
      </w:r>
      <w:proofErr w:type="spellEnd"/>
      <w:r w:rsidR="00853B27" w:rsidRPr="00584920">
        <w:rPr>
          <w:sz w:val="24"/>
          <w:szCs w:val="24"/>
        </w:rPr>
        <w:t xml:space="preserve"> (1 táxon), </w:t>
      </w:r>
      <w:proofErr w:type="spellStart"/>
      <w:r w:rsidR="00853B27" w:rsidRPr="00584920">
        <w:rPr>
          <w:sz w:val="24"/>
          <w:szCs w:val="24"/>
        </w:rPr>
        <w:t>Mollusca</w:t>
      </w:r>
      <w:proofErr w:type="spellEnd"/>
      <w:r w:rsidR="00853B27" w:rsidRPr="00584920">
        <w:rPr>
          <w:sz w:val="24"/>
          <w:szCs w:val="24"/>
        </w:rPr>
        <w:t xml:space="preserve"> (6 táxons), Arthropoda (8 táxons) e </w:t>
      </w:r>
      <w:proofErr w:type="spellStart"/>
      <w:r w:rsidR="00853B27" w:rsidRPr="00584920">
        <w:rPr>
          <w:sz w:val="24"/>
          <w:szCs w:val="24"/>
        </w:rPr>
        <w:t>Annelida</w:t>
      </w:r>
      <w:proofErr w:type="spellEnd"/>
      <w:r w:rsidR="00853B27" w:rsidRPr="00584920">
        <w:rPr>
          <w:sz w:val="24"/>
          <w:szCs w:val="24"/>
        </w:rPr>
        <w:t xml:space="preserve"> (14 táxons). O período seco houve maior riqueza (22 táxons) e abundância (289 organismos) em comparação ao período chuvoso. Entre pontos foi verificado maior densidade no ponto E, com a presença de 14,4% do total de organismos encontrados (72) durante o período seco. A riqueza variou significativamente entre os estratos, com maiores valores de riqueza no </w:t>
      </w:r>
      <w:proofErr w:type="spellStart"/>
      <w:r w:rsidR="00853B27" w:rsidRPr="00584920">
        <w:rPr>
          <w:sz w:val="24"/>
          <w:szCs w:val="24"/>
        </w:rPr>
        <w:t>médiolitoral</w:t>
      </w:r>
      <w:proofErr w:type="spellEnd"/>
      <w:r w:rsidR="00853B27" w:rsidRPr="00584920">
        <w:rPr>
          <w:sz w:val="24"/>
          <w:szCs w:val="24"/>
        </w:rPr>
        <w:t xml:space="preserve"> médio do período seco (9 táxons). Ao fazer a análise de PCO foi observado que o primeiro grupo foi composto exclusivamente pelas amostras do </w:t>
      </w:r>
      <w:proofErr w:type="spellStart"/>
      <w:r w:rsidR="00853B27" w:rsidRPr="00584920">
        <w:rPr>
          <w:sz w:val="24"/>
          <w:szCs w:val="24"/>
        </w:rPr>
        <w:t>médiolitoral</w:t>
      </w:r>
      <w:proofErr w:type="spellEnd"/>
      <w:r w:rsidR="00853B27" w:rsidRPr="00584920">
        <w:rPr>
          <w:sz w:val="24"/>
          <w:szCs w:val="24"/>
        </w:rPr>
        <w:t xml:space="preserve"> superior (MLS) e o segundo grupo formado pelas amostras do </w:t>
      </w:r>
      <w:proofErr w:type="spellStart"/>
      <w:r w:rsidR="00853B27" w:rsidRPr="00584920">
        <w:rPr>
          <w:sz w:val="24"/>
          <w:szCs w:val="24"/>
        </w:rPr>
        <w:t>médiolitoral</w:t>
      </w:r>
      <w:proofErr w:type="spellEnd"/>
      <w:r w:rsidR="00853B27" w:rsidRPr="00584920">
        <w:rPr>
          <w:sz w:val="24"/>
          <w:szCs w:val="24"/>
        </w:rPr>
        <w:t xml:space="preserve"> médio (MLM) e inferior (MLI). Utilizando análises de PERMANOVA, foram detectadas diferenças significativas na densidade e riqueza entre </w:t>
      </w:r>
      <w:r w:rsidR="00D321DA" w:rsidRPr="00584920">
        <w:rPr>
          <w:sz w:val="24"/>
          <w:szCs w:val="24"/>
        </w:rPr>
        <w:t>períodos e</w:t>
      </w:r>
      <w:r w:rsidR="00853B27" w:rsidRPr="00584920">
        <w:rPr>
          <w:sz w:val="24"/>
          <w:szCs w:val="24"/>
        </w:rPr>
        <w:t xml:space="preserve"> pontos. A praia da caixa d’água apresentou composição típica de praias arenosas, sendo esta</w:t>
      </w:r>
      <w:r w:rsidR="00DA7BD4">
        <w:rPr>
          <w:sz w:val="24"/>
          <w:szCs w:val="24"/>
        </w:rPr>
        <w:t>,</w:t>
      </w:r>
      <w:r w:rsidR="00853B27" w:rsidRPr="00584920">
        <w:rPr>
          <w:sz w:val="24"/>
          <w:szCs w:val="24"/>
        </w:rPr>
        <w:t xml:space="preserve"> dominada principalmente por anelídeos, provavelmente devido à morfologia da praia e ao grande aporte de nutrientes fornecidos pelo continente. O período seco apresentou maior riqueza e abundância possivelmente devido ao aumento da </w:t>
      </w:r>
      <w:r w:rsidR="00DA7BD4" w:rsidRPr="00584920">
        <w:rPr>
          <w:sz w:val="24"/>
          <w:szCs w:val="24"/>
        </w:rPr>
        <w:t>salinidade</w:t>
      </w:r>
      <w:r w:rsidR="00853B27" w:rsidRPr="00584920">
        <w:rPr>
          <w:sz w:val="24"/>
          <w:szCs w:val="24"/>
        </w:rPr>
        <w:t xml:space="preserve">. A riqueza e abundância aumentaram em </w:t>
      </w:r>
      <w:r w:rsidR="00853B27" w:rsidRPr="00584920">
        <w:rPr>
          <w:sz w:val="24"/>
          <w:szCs w:val="24"/>
        </w:rPr>
        <w:lastRenderedPageBreak/>
        <w:t>direção ao mar, devido provavelmente ao menor risco de dissecação e maior quantidade de alimento disponível.</w:t>
      </w:r>
    </w:p>
    <w:p w14:paraId="4F830611" w14:textId="77777777" w:rsidR="005C242D" w:rsidRDefault="005C242D" w:rsidP="0083689A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120CC00F" w14:textId="77777777" w:rsidR="0083689A" w:rsidRDefault="00000000" w:rsidP="0083689A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>Palavras-chave:</w:t>
      </w:r>
      <w:r w:rsidR="005C242D">
        <w:rPr>
          <w:sz w:val="24"/>
          <w:szCs w:val="24"/>
        </w:rPr>
        <w:t xml:space="preserve"> Bentos. Costa Amazônica. Praia arenosa</w:t>
      </w:r>
      <w:r w:rsidR="0083689A">
        <w:rPr>
          <w:sz w:val="24"/>
          <w:szCs w:val="24"/>
        </w:rPr>
        <w:t>.</w:t>
      </w:r>
    </w:p>
    <w:p w14:paraId="213F1545" w14:textId="77777777" w:rsidR="0083689A" w:rsidRDefault="0083689A" w:rsidP="0083689A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34036335" w14:textId="5CB83110" w:rsidR="00664B32" w:rsidRPr="0083689A" w:rsidRDefault="00000000" w:rsidP="0083689A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</w:t>
      </w:r>
      <w:r w:rsidR="0083689A" w:rsidRPr="0083689A">
        <w:rPr>
          <w:bCs/>
          <w:color w:val="000000" w:themeColor="text1"/>
          <w:sz w:val="24"/>
          <w:szCs w:val="24"/>
        </w:rPr>
        <w:t>Caracterização de Ecossistemas, Biodiversidade, Bioindicadores, Biorremediação, Gestão, Manejo e Conservação de Recursos Naturais</w:t>
      </w:r>
      <w:r w:rsidR="0083689A">
        <w:rPr>
          <w:bCs/>
          <w:color w:val="000000" w:themeColor="text1"/>
          <w:sz w:val="24"/>
          <w:szCs w:val="24"/>
        </w:rPr>
        <w:t>.</w:t>
      </w:r>
    </w:p>
    <w:p w14:paraId="0101AC5E" w14:textId="77777777" w:rsidR="00664B32" w:rsidRDefault="00664B32">
      <w:pPr>
        <w:spacing w:line="360" w:lineRule="auto"/>
      </w:pPr>
    </w:p>
    <w:sectPr w:rsidR="00664B32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CF1306" w14:textId="77777777" w:rsidR="0076165D" w:rsidRDefault="0076165D">
      <w:r>
        <w:separator/>
      </w:r>
    </w:p>
  </w:endnote>
  <w:endnote w:type="continuationSeparator" w:id="0">
    <w:p w14:paraId="585AF3D7" w14:textId="77777777" w:rsidR="0076165D" w:rsidRDefault="00761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39230" w14:textId="77777777" w:rsidR="00664B32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3D79CD8" wp14:editId="01A8C4C4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0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29152D1" wp14:editId="5C22FDEF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5" name="image3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5748F3E" wp14:editId="23A81A10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2FC97CE" wp14:editId="2F5871F5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F189FB7" wp14:editId="1EB42CEA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12BC32F" wp14:editId="06EBA211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8B51E4D" wp14:editId="775830D2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0D55DD5E" wp14:editId="321A1EC4">
              <wp:simplePos x="0" y="0"/>
              <wp:positionH relativeFrom="column">
                <wp:posOffset>-280034</wp:posOffset>
              </wp:positionH>
              <wp:positionV relativeFrom="paragraph">
                <wp:posOffset>-197484</wp:posOffset>
              </wp:positionV>
              <wp:extent cx="914400" cy="40005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675993" w14:textId="77777777" w:rsidR="00A21DCA" w:rsidRPr="00957BE7" w:rsidRDefault="00000000" w:rsidP="00957BE7">
                          <w:pPr>
                            <w:jc w:val="center"/>
                            <w:rPr>
                              <w:b/>
                              <w:bCs/>
                              <w:color w:val="C0504D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C0504D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55DD5E" id="Retângulo 2" o:spid="_x0000_s1026" style="position:absolute;margin-left:-22.05pt;margin-top:-15.55pt;width:1in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" fillcolor="white [3201]" stroked="f" strokeweight="2pt">
              <v:textbox>
                <w:txbxContent>
                  <w:p w14:paraId="1F675993" w14:textId="77777777" w:rsidR="00A21DCA" w:rsidRPr="00957BE7" w:rsidRDefault="00000000" w:rsidP="00957BE7">
                    <w:pPr>
                      <w:jc w:val="center"/>
                      <w:rPr>
                        <w:b/>
                        <w:bCs/>
                        <w:color w:val="C0504D" w:themeColor="accent2"/>
                      </w:rPr>
                    </w:pPr>
                    <w:r w:rsidRPr="00957BE7">
                      <w:rPr>
                        <w:b/>
                        <w:bCs/>
                        <w:color w:val="C0504D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2F1B00D9" wp14:editId="39FC4EC9">
              <wp:simplePos x="0" y="0"/>
              <wp:positionH relativeFrom="column">
                <wp:posOffset>2422842</wp:posOffset>
              </wp:positionH>
              <wp:positionV relativeFrom="paragraph">
                <wp:posOffset>-181609</wp:posOffset>
              </wp:positionV>
              <wp:extent cx="914400" cy="40005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EA309F8" w14:textId="77777777" w:rsidR="00A21DCA" w:rsidRPr="00957BE7" w:rsidRDefault="00000000" w:rsidP="00957BE7">
                          <w:pPr>
                            <w:jc w:val="center"/>
                            <w:rPr>
                              <w:b/>
                              <w:bCs/>
                              <w:color w:val="C0504D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C0504D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1B00D9" id="Retângulo 1" o:spid="_x0000_s1027" style="position:absolute;margin-left:190.75pt;margin-top:-14.3pt;width:1in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" fillcolor="window" stroked="f" strokeweight="1pt">
              <v:textbox>
                <w:txbxContent>
                  <w:p w14:paraId="7EA309F8" w14:textId="77777777" w:rsidR="00A21DCA" w:rsidRPr="00957BE7" w:rsidRDefault="00000000" w:rsidP="00957BE7">
                    <w:pPr>
                      <w:jc w:val="center"/>
                      <w:rPr>
                        <w:b/>
                        <w:bCs/>
                        <w:color w:val="C0504D" w:themeColor="accent2"/>
                      </w:rPr>
                    </w:pPr>
                    <w:r>
                      <w:rPr>
                        <w:b/>
                        <w:bCs/>
                        <w:color w:val="C0504D" w:themeColor="accent2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</w:p>
  <w:p w14:paraId="288C2144" w14:textId="77777777" w:rsidR="00664B32" w:rsidRDefault="00664B32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1B4232" w14:textId="77777777" w:rsidR="0076165D" w:rsidRDefault="0076165D">
      <w:r>
        <w:separator/>
      </w:r>
    </w:p>
  </w:footnote>
  <w:footnote w:type="continuationSeparator" w:id="0">
    <w:p w14:paraId="1663076A" w14:textId="77777777" w:rsidR="0076165D" w:rsidRDefault="007616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C3422" w14:textId="77777777" w:rsidR="00664B32" w:rsidRDefault="00664B32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38E1E2" w14:textId="77777777" w:rsidR="00664B32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7EC03E6D" wp14:editId="3027D9B4">
          <wp:extent cx="2357080" cy="1518797"/>
          <wp:effectExtent l="0" t="0" r="0" b="0"/>
          <wp:docPr id="8" name="image7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3E534D" w14:textId="77777777" w:rsidR="00664B32" w:rsidRDefault="00664B32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B32"/>
    <w:rsid w:val="00164B5D"/>
    <w:rsid w:val="00240E37"/>
    <w:rsid w:val="00510B15"/>
    <w:rsid w:val="00584920"/>
    <w:rsid w:val="005C242D"/>
    <w:rsid w:val="00664B32"/>
    <w:rsid w:val="0076165D"/>
    <w:rsid w:val="00765C96"/>
    <w:rsid w:val="0083689A"/>
    <w:rsid w:val="00853B27"/>
    <w:rsid w:val="008F5456"/>
    <w:rsid w:val="00A21DCA"/>
    <w:rsid w:val="00A60D71"/>
    <w:rsid w:val="00AB38AD"/>
    <w:rsid w:val="00D321DA"/>
    <w:rsid w:val="00DA7BD4"/>
    <w:rsid w:val="00E76397"/>
    <w:rsid w:val="00E957BB"/>
    <w:rsid w:val="00FC2505"/>
    <w:rsid w:val="00FF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263BDC"/>
  <w15:docId w15:val="{04A6052B-F3A0-4DF7-B0A4-34DC343A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5849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84920"/>
  </w:style>
  <w:style w:type="paragraph" w:styleId="Rodap">
    <w:name w:val="footer"/>
    <w:basedOn w:val="Normal"/>
    <w:link w:val="RodapChar"/>
    <w:uiPriority w:val="99"/>
    <w:unhideWhenUsed/>
    <w:rsid w:val="005849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84920"/>
  </w:style>
  <w:style w:type="character" w:styleId="Hyperlink">
    <w:name w:val="Hyperlink"/>
    <w:basedOn w:val="Fontepargpadro"/>
    <w:uiPriority w:val="99"/>
    <w:unhideWhenUsed/>
    <w:rsid w:val="00E7639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63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nuelle.souza@ig.ufpa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2</Pages>
  <Words>611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Marcos Vinicius Afonso Cabral</cp:lastModifiedBy>
  <cp:revision>7</cp:revision>
  <dcterms:created xsi:type="dcterms:W3CDTF">2024-10-21T17:59:00Z</dcterms:created>
  <dcterms:modified xsi:type="dcterms:W3CDTF">2024-11-02T22:08:00Z</dcterms:modified>
</cp:coreProperties>
</file>