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536" w:rsidRPr="007334AB" w:rsidRDefault="00081561" w:rsidP="00A333F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</w:t>
      </w:r>
      <w:r w:rsidR="00A333FD">
        <w:rPr>
          <w:rFonts w:ascii="Times New Roman" w:hAnsi="Times New Roman" w:cs="Times New Roman"/>
          <w:b/>
          <w:sz w:val="24"/>
          <w:szCs w:val="24"/>
        </w:rPr>
        <w:t>NÓSTICO D</w:t>
      </w:r>
      <w:r w:rsidR="00B63450">
        <w:rPr>
          <w:rFonts w:ascii="Times New Roman" w:hAnsi="Times New Roman" w:cs="Times New Roman"/>
          <w:b/>
          <w:sz w:val="24"/>
          <w:szCs w:val="24"/>
        </w:rPr>
        <w:t>O</w:t>
      </w:r>
      <w:r w:rsidR="00A333FD">
        <w:rPr>
          <w:rFonts w:ascii="Times New Roman" w:hAnsi="Times New Roman" w:cs="Times New Roman"/>
          <w:b/>
          <w:sz w:val="24"/>
          <w:szCs w:val="24"/>
        </w:rPr>
        <w:t xml:space="preserve"> CÂNCER DE PULMÃO</w:t>
      </w:r>
      <w:r w:rsidR="00F62577">
        <w:rPr>
          <w:rFonts w:ascii="Times New Roman" w:hAnsi="Times New Roman" w:cs="Times New Roman"/>
          <w:b/>
          <w:sz w:val="24"/>
          <w:szCs w:val="24"/>
        </w:rPr>
        <w:t>: UMA ABORDAGEM VIA MODEL</w:t>
      </w:r>
      <w:r w:rsidR="00B63450">
        <w:rPr>
          <w:rFonts w:ascii="Times New Roman" w:hAnsi="Times New Roman" w:cs="Times New Roman"/>
          <w:b/>
          <w:sz w:val="24"/>
          <w:szCs w:val="24"/>
        </w:rPr>
        <w:t xml:space="preserve">OS DA ANÁLISE </w:t>
      </w:r>
      <w:r w:rsidR="00F62577">
        <w:rPr>
          <w:rFonts w:ascii="Times New Roman" w:hAnsi="Times New Roman" w:cs="Times New Roman"/>
          <w:b/>
          <w:sz w:val="24"/>
          <w:szCs w:val="24"/>
        </w:rPr>
        <w:t>DE SOBREVIVÊNCIA</w:t>
      </w:r>
    </w:p>
    <w:p w:rsidR="00334D94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A333FD">
        <w:rPr>
          <w:rFonts w:ascii="Times New Roman" w:hAnsi="Times New Roman" w:cs="Times New Roman"/>
          <w:sz w:val="24"/>
          <w:szCs w:val="24"/>
        </w:rPr>
        <w:t>Dionisio Alves da Silva Neto</w:t>
      </w:r>
      <w:r w:rsidRPr="007334AB">
        <w:rPr>
          <w:rFonts w:ascii="Times New Roman" w:hAnsi="Times New Roman" w:cs="Times New Roman"/>
          <w:sz w:val="24"/>
          <w:szCs w:val="24"/>
        </w:rPr>
        <w:t>; ²</w:t>
      </w:r>
      <w:r w:rsidR="00A333FD">
        <w:rPr>
          <w:rFonts w:ascii="Times New Roman" w:hAnsi="Times New Roman" w:cs="Times New Roman"/>
          <w:sz w:val="24"/>
          <w:szCs w:val="24"/>
        </w:rPr>
        <w:t>Paulo Cerqueira dos Santos Júnior</w:t>
      </w:r>
    </w:p>
    <w:p w:rsidR="00A333FD" w:rsidRPr="00A333FD" w:rsidRDefault="00A333F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Acadêmico de Estatística, Universidade Federal do Pará (UFPA), Belém, Pará,</w:t>
      </w:r>
      <w:r w:rsidR="000A5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Brasil;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Professor Doutor em Estatística, Universidade Federal do Pará (UFPA), Belém, Pará, Brasil.</w:t>
      </w:r>
    </w:p>
    <w:p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A333FD">
        <w:rPr>
          <w:rFonts w:ascii="Times New Roman" w:hAnsi="Times New Roman" w:cs="Times New Roman"/>
          <w:color w:val="0070C0"/>
          <w:sz w:val="24"/>
          <w:szCs w:val="24"/>
        </w:rPr>
        <w:t>dionisio</w:t>
      </w:r>
      <w:r w:rsidR="00C71168">
        <w:rPr>
          <w:rFonts w:ascii="Times New Roman" w:hAnsi="Times New Roman" w:cs="Times New Roman"/>
          <w:color w:val="0070C0"/>
          <w:sz w:val="24"/>
          <w:szCs w:val="24"/>
        </w:rPr>
        <w:t>neto899</w:t>
      </w:r>
      <w:r w:rsidR="00A333FD">
        <w:rPr>
          <w:rFonts w:ascii="Times New Roman" w:hAnsi="Times New Roman" w:cs="Times New Roman"/>
          <w:color w:val="0070C0"/>
          <w:sz w:val="24"/>
          <w:szCs w:val="24"/>
        </w:rPr>
        <w:t>@</w:t>
      </w:r>
      <w:r w:rsidR="00C71168">
        <w:rPr>
          <w:rFonts w:ascii="Times New Roman" w:hAnsi="Times New Roman" w:cs="Times New Roman"/>
          <w:color w:val="0070C0"/>
          <w:sz w:val="24"/>
          <w:szCs w:val="24"/>
        </w:rPr>
        <w:t>gmail.com</w:t>
      </w:r>
    </w:p>
    <w:p w:rsidR="00F14BD7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F5371" w:rsidRPr="00B63450" w:rsidRDefault="00E078D9" w:rsidP="00F14BD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8D9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F5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BF9" w:rsidRPr="005E1E28">
        <w:rPr>
          <w:rFonts w:ascii="Times New Roman" w:hAnsi="Times New Roman" w:cs="Times New Roman"/>
          <w:bCs/>
          <w:sz w:val="24"/>
          <w:szCs w:val="24"/>
        </w:rPr>
        <w:t xml:space="preserve">A análise de Sobrevivência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é dada pelo conjunto de técnicas estatísticas elaboradas para avaliar o tempo até a ocorrência de um evento, denominado de tempo de falha. Por este motivo, é bastante comum utilizar dos conceitos desenvolvidos nesta área para estudar o tempo até a morte de um paciente ou a duração </w:t>
      </w:r>
      <w:r w:rsidR="00C71168">
        <w:rPr>
          <w:rFonts w:ascii="Times New Roman" w:hAnsi="Times New Roman" w:cs="Times New Roman"/>
          <w:bCs/>
          <w:sz w:val="24"/>
          <w:szCs w:val="24"/>
        </w:rPr>
        <w:t xml:space="preserve">total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até a </w:t>
      </w:r>
      <w:r w:rsidR="00C71168">
        <w:rPr>
          <w:rFonts w:ascii="Times New Roman" w:hAnsi="Times New Roman" w:cs="Times New Roman"/>
          <w:bCs/>
          <w:sz w:val="24"/>
          <w:szCs w:val="24"/>
        </w:rPr>
        <w:t>recuperação após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uma </w:t>
      </w:r>
      <w:r w:rsidR="0049214A">
        <w:rPr>
          <w:rFonts w:ascii="Times New Roman" w:hAnsi="Times New Roman" w:cs="Times New Roman"/>
          <w:bCs/>
          <w:sz w:val="24"/>
          <w:szCs w:val="24"/>
        </w:rPr>
        <w:t>determinada</w:t>
      </w:r>
      <w:r w:rsidR="00C71168">
        <w:rPr>
          <w:rFonts w:ascii="Times New Roman" w:hAnsi="Times New Roman" w:cs="Times New Roman"/>
          <w:bCs/>
          <w:sz w:val="24"/>
          <w:szCs w:val="24"/>
        </w:rPr>
        <w:t xml:space="preserve"> debilidade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F5371" w:rsidRPr="00BE7BE1">
        <w:rPr>
          <w:rFonts w:ascii="Times New Roman" w:hAnsi="Times New Roman" w:cs="Times New Roman"/>
          <w:b/>
          <w:sz w:val="24"/>
          <w:szCs w:val="24"/>
        </w:rPr>
        <w:t>Objetivo</w:t>
      </w:r>
      <w:r w:rsidR="005F5371">
        <w:rPr>
          <w:rFonts w:ascii="Times New Roman" w:hAnsi="Times New Roman" w:cs="Times New Roman"/>
          <w:bCs/>
          <w:sz w:val="24"/>
          <w:szCs w:val="24"/>
        </w:rPr>
        <w:t>:</w:t>
      </w:r>
      <w:r w:rsidR="00EE5C7F">
        <w:rPr>
          <w:rFonts w:ascii="Times New Roman" w:hAnsi="Times New Roman" w:cs="Times New Roman"/>
          <w:bCs/>
          <w:sz w:val="24"/>
          <w:szCs w:val="24"/>
        </w:rPr>
        <w:t xml:space="preserve"> Neste estudo,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o objetivo volta-se à </w:t>
      </w:r>
      <w:r w:rsidR="00EE5C7F">
        <w:rPr>
          <w:rFonts w:ascii="Times New Roman" w:hAnsi="Times New Roman" w:cs="Times New Roman"/>
          <w:bCs/>
          <w:sz w:val="24"/>
          <w:szCs w:val="24"/>
        </w:rPr>
        <w:t>investiga</w:t>
      </w:r>
      <w:r w:rsidR="00BE7BE1">
        <w:rPr>
          <w:rFonts w:ascii="Times New Roman" w:hAnsi="Times New Roman" w:cs="Times New Roman"/>
          <w:bCs/>
          <w:sz w:val="24"/>
          <w:szCs w:val="24"/>
        </w:rPr>
        <w:t>ção</w:t>
      </w:r>
      <w:r w:rsidR="00EE5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BE1">
        <w:rPr>
          <w:rFonts w:ascii="Times New Roman" w:hAnsi="Times New Roman" w:cs="Times New Roman"/>
          <w:bCs/>
          <w:sz w:val="24"/>
          <w:szCs w:val="24"/>
        </w:rPr>
        <w:t>d</w:t>
      </w:r>
      <w:r w:rsidR="00EE5C7F">
        <w:rPr>
          <w:rFonts w:ascii="Times New Roman" w:hAnsi="Times New Roman" w:cs="Times New Roman"/>
          <w:bCs/>
          <w:sz w:val="24"/>
          <w:szCs w:val="24"/>
        </w:rPr>
        <w:t xml:space="preserve">o tempo de sobrevivência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para o óbito ocasionado </w:t>
      </w:r>
      <w:r w:rsidR="0049214A">
        <w:rPr>
          <w:rFonts w:ascii="Times New Roman" w:hAnsi="Times New Roman" w:cs="Times New Roman"/>
          <w:bCs/>
          <w:sz w:val="24"/>
          <w:szCs w:val="24"/>
        </w:rPr>
        <w:t>pelo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C7F">
        <w:rPr>
          <w:rFonts w:ascii="Times New Roman" w:hAnsi="Times New Roman" w:cs="Times New Roman"/>
          <w:bCs/>
          <w:sz w:val="24"/>
          <w:szCs w:val="24"/>
        </w:rPr>
        <w:t>câncer de pulmão</w:t>
      </w:r>
      <w:r w:rsidR="0049214A">
        <w:rPr>
          <w:rFonts w:ascii="Times New Roman" w:hAnsi="Times New Roman" w:cs="Times New Roman"/>
          <w:bCs/>
          <w:sz w:val="24"/>
          <w:szCs w:val="24"/>
        </w:rPr>
        <w:t xml:space="preserve"> e verificar se a </w:t>
      </w:r>
      <w:r w:rsidR="00EE5C7F">
        <w:rPr>
          <w:rFonts w:ascii="Times New Roman" w:hAnsi="Times New Roman" w:cs="Times New Roman"/>
          <w:bCs/>
          <w:sz w:val="24"/>
          <w:szCs w:val="24"/>
        </w:rPr>
        <w:t>presença de covariáveis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corrobora para este malefício</w:t>
      </w:r>
      <w:r w:rsidR="00EE5C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F5371" w:rsidRPr="00BE7BE1">
        <w:rPr>
          <w:rFonts w:ascii="Times New Roman" w:hAnsi="Times New Roman" w:cs="Times New Roman"/>
          <w:b/>
          <w:sz w:val="24"/>
          <w:szCs w:val="24"/>
        </w:rPr>
        <w:t>Metodologia</w:t>
      </w:r>
      <w:r w:rsidR="005F5371">
        <w:rPr>
          <w:rFonts w:ascii="Times New Roman" w:hAnsi="Times New Roman" w:cs="Times New Roman"/>
          <w:bCs/>
          <w:sz w:val="24"/>
          <w:szCs w:val="24"/>
        </w:rPr>
        <w:t>:</w:t>
      </w:r>
      <w:r w:rsidR="0049214A">
        <w:rPr>
          <w:rFonts w:ascii="Times New Roman" w:hAnsi="Times New Roman" w:cs="Times New Roman"/>
          <w:bCs/>
          <w:sz w:val="24"/>
          <w:szCs w:val="24"/>
        </w:rPr>
        <w:t xml:space="preserve"> Este trabalho utilizou-se do banco de dados aberto providenciado por um importante centro de pesquisa norte-americano. A implementação do estimador de Kaplan-Meier e diversas propostas probabilísticas para os dados</w:t>
      </w:r>
      <w:r w:rsidR="00C41742">
        <w:rPr>
          <w:rFonts w:ascii="Times New Roman" w:hAnsi="Times New Roman" w:cs="Times New Roman"/>
          <w:bCs/>
          <w:sz w:val="24"/>
          <w:szCs w:val="24"/>
        </w:rPr>
        <w:t xml:space="preserve"> nos permitiu observar em quais momentos a doença atinge o estágio final, gerando a morte dos pacientes. </w:t>
      </w:r>
      <w:r w:rsidR="004F55C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C41742">
        <w:rPr>
          <w:rFonts w:ascii="Times New Roman" w:hAnsi="Times New Roman" w:cs="Times New Roman"/>
          <w:bCs/>
          <w:sz w:val="24"/>
          <w:szCs w:val="24"/>
        </w:rPr>
        <w:t xml:space="preserve">modelo de regressão de Cox, </w:t>
      </w:r>
      <w:r w:rsidR="004F55C7">
        <w:rPr>
          <w:rFonts w:ascii="Times New Roman" w:hAnsi="Times New Roman" w:cs="Times New Roman"/>
          <w:bCs/>
          <w:sz w:val="24"/>
          <w:szCs w:val="24"/>
        </w:rPr>
        <w:t xml:space="preserve">ajustado pelo </w:t>
      </w:r>
      <w:r w:rsidR="00C41742">
        <w:rPr>
          <w:rFonts w:ascii="Times New Roman" w:hAnsi="Times New Roman" w:cs="Times New Roman"/>
          <w:bCs/>
          <w:sz w:val="24"/>
          <w:szCs w:val="24"/>
        </w:rPr>
        <w:t xml:space="preserve">método de seleção </w:t>
      </w:r>
      <w:proofErr w:type="spellStart"/>
      <w:r w:rsidR="00C41742" w:rsidRPr="00C41742">
        <w:rPr>
          <w:rFonts w:ascii="Times New Roman" w:hAnsi="Times New Roman" w:cs="Times New Roman"/>
          <w:bCs/>
          <w:i/>
          <w:iCs/>
          <w:sz w:val="24"/>
          <w:szCs w:val="24"/>
        </w:rPr>
        <w:t>stepwise</w:t>
      </w:r>
      <w:proofErr w:type="spellEnd"/>
      <w:r w:rsidR="00C41742">
        <w:rPr>
          <w:rFonts w:ascii="Times New Roman" w:hAnsi="Times New Roman" w:cs="Times New Roman"/>
          <w:bCs/>
          <w:sz w:val="24"/>
          <w:szCs w:val="24"/>
        </w:rPr>
        <w:t xml:space="preserve">, selecionou as covariáveis significativas para compreender </w:t>
      </w:r>
      <w:r w:rsidR="004F55C7">
        <w:rPr>
          <w:rFonts w:ascii="Times New Roman" w:hAnsi="Times New Roman" w:cs="Times New Roman"/>
          <w:bCs/>
          <w:sz w:val="24"/>
          <w:szCs w:val="24"/>
        </w:rPr>
        <w:t xml:space="preserve">quais fatores diminuem </w:t>
      </w:r>
      <w:r w:rsidR="00C41742">
        <w:rPr>
          <w:rFonts w:ascii="Times New Roman" w:hAnsi="Times New Roman" w:cs="Times New Roman"/>
          <w:bCs/>
          <w:sz w:val="24"/>
          <w:szCs w:val="24"/>
        </w:rPr>
        <w:t xml:space="preserve">tempo de sobrevida. </w:t>
      </w:r>
      <w:r w:rsidR="00EC5E99" w:rsidRPr="00BE7BE1">
        <w:rPr>
          <w:rFonts w:ascii="Times New Roman" w:hAnsi="Times New Roman" w:cs="Times New Roman"/>
          <w:b/>
          <w:sz w:val="24"/>
          <w:szCs w:val="24"/>
        </w:rPr>
        <w:t>Resultados</w:t>
      </w:r>
      <w:r w:rsidR="00EC5E99">
        <w:rPr>
          <w:rFonts w:ascii="Times New Roman" w:hAnsi="Times New Roman" w:cs="Times New Roman"/>
          <w:bCs/>
          <w:sz w:val="24"/>
          <w:szCs w:val="24"/>
        </w:rPr>
        <w:t>:</w:t>
      </w:r>
      <w:r w:rsidR="00032AEA">
        <w:rPr>
          <w:rFonts w:ascii="Times New Roman" w:hAnsi="Times New Roman" w:cs="Times New Roman"/>
          <w:bCs/>
          <w:sz w:val="24"/>
          <w:szCs w:val="24"/>
        </w:rPr>
        <w:t xml:space="preserve"> Através do estimador não-paramétrico de Kaplan-Meier,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conseguimos inferir que metade dos indivíduos não ultrapassam os 200 primeiros dias após o diagnóstico. Em adição, </w:t>
      </w:r>
      <w:r w:rsidR="00032AEA">
        <w:rPr>
          <w:rFonts w:ascii="Times New Roman" w:hAnsi="Times New Roman" w:cs="Times New Roman"/>
          <w:bCs/>
          <w:sz w:val="24"/>
          <w:szCs w:val="24"/>
        </w:rPr>
        <w:t xml:space="preserve">dentre os principais modelos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probabilísticos </w:t>
      </w:r>
      <w:r w:rsidR="00032AEA">
        <w:rPr>
          <w:rFonts w:ascii="Times New Roman" w:hAnsi="Times New Roman" w:cs="Times New Roman"/>
          <w:bCs/>
          <w:sz w:val="24"/>
          <w:szCs w:val="24"/>
        </w:rPr>
        <w:t>abordados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na literatura</w:t>
      </w:r>
      <w:r w:rsidR="00032AEA">
        <w:rPr>
          <w:rFonts w:ascii="Times New Roman" w:hAnsi="Times New Roman" w:cs="Times New Roman"/>
          <w:bCs/>
          <w:sz w:val="24"/>
          <w:szCs w:val="24"/>
        </w:rPr>
        <w:t xml:space="preserve">, concluiu-se que os dados do tempo de falha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são genuinamente explicados pela </w:t>
      </w:r>
      <w:r w:rsidR="00032AEA">
        <w:rPr>
          <w:rFonts w:ascii="Times New Roman" w:hAnsi="Times New Roman" w:cs="Times New Roman"/>
          <w:bCs/>
          <w:sz w:val="24"/>
          <w:szCs w:val="24"/>
        </w:rPr>
        <w:t xml:space="preserve">distribuição 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de probabilidade </w:t>
      </w:r>
      <w:proofErr w:type="spellStart"/>
      <w:r w:rsidR="00032AEA">
        <w:rPr>
          <w:rFonts w:ascii="Times New Roman" w:hAnsi="Times New Roman" w:cs="Times New Roman"/>
          <w:bCs/>
          <w:sz w:val="24"/>
          <w:szCs w:val="24"/>
        </w:rPr>
        <w:t>Weibull</w:t>
      </w:r>
      <w:proofErr w:type="spellEnd"/>
      <w:r w:rsidR="00032A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7BE1">
        <w:rPr>
          <w:rFonts w:ascii="Times New Roman" w:hAnsi="Times New Roman" w:cs="Times New Roman"/>
          <w:bCs/>
          <w:sz w:val="24"/>
          <w:szCs w:val="24"/>
        </w:rPr>
        <w:t>A</w:t>
      </w:r>
      <w:r w:rsidR="00032AEA">
        <w:rPr>
          <w:rFonts w:ascii="Times New Roman" w:hAnsi="Times New Roman" w:cs="Times New Roman"/>
          <w:bCs/>
          <w:sz w:val="24"/>
          <w:szCs w:val="24"/>
        </w:rPr>
        <w:t xml:space="preserve">o analisar a influência das covariáveis coletadas ao longo do experimento, resultou-se na significância do sexo masculino e da qualidade do cuidado próprio como fatores de proteção da doença. </w:t>
      </w:r>
      <w:r w:rsidR="00EC5E99" w:rsidRPr="00BE7BE1">
        <w:rPr>
          <w:rFonts w:ascii="Times New Roman" w:hAnsi="Times New Roman" w:cs="Times New Roman"/>
          <w:b/>
          <w:sz w:val="24"/>
          <w:szCs w:val="24"/>
        </w:rPr>
        <w:t>Conclusão</w:t>
      </w:r>
      <w:r w:rsidR="00EC5E99">
        <w:rPr>
          <w:rFonts w:ascii="Times New Roman" w:hAnsi="Times New Roman" w:cs="Times New Roman"/>
          <w:bCs/>
          <w:sz w:val="24"/>
          <w:szCs w:val="24"/>
        </w:rPr>
        <w:t>: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Este tipo de informação é extrema necessidade dentro das </w:t>
      </w:r>
      <w:r w:rsidR="00C71168">
        <w:rPr>
          <w:rFonts w:ascii="Times New Roman" w:hAnsi="Times New Roman" w:cs="Times New Roman"/>
          <w:bCs/>
          <w:sz w:val="24"/>
          <w:szCs w:val="24"/>
        </w:rPr>
        <w:t>C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iências da </w:t>
      </w:r>
      <w:r w:rsidR="00C71168">
        <w:rPr>
          <w:rFonts w:ascii="Times New Roman" w:hAnsi="Times New Roman" w:cs="Times New Roman"/>
          <w:bCs/>
          <w:sz w:val="24"/>
          <w:szCs w:val="24"/>
        </w:rPr>
        <w:t>S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aúde. Investigar o tempo até a morte </w:t>
      </w:r>
      <w:r w:rsidR="0049214A">
        <w:rPr>
          <w:rFonts w:ascii="Times New Roman" w:hAnsi="Times New Roman" w:cs="Times New Roman"/>
          <w:bCs/>
          <w:sz w:val="24"/>
          <w:szCs w:val="24"/>
        </w:rPr>
        <w:t>por meios de modelos probabilísticos</w:t>
      </w:r>
      <w:r w:rsidR="00BE7BE1">
        <w:rPr>
          <w:rFonts w:ascii="Times New Roman" w:hAnsi="Times New Roman" w:cs="Times New Roman"/>
          <w:bCs/>
          <w:sz w:val="24"/>
          <w:szCs w:val="24"/>
        </w:rPr>
        <w:t>, associad</w:t>
      </w:r>
      <w:r w:rsidR="0049214A">
        <w:rPr>
          <w:rFonts w:ascii="Times New Roman" w:hAnsi="Times New Roman" w:cs="Times New Roman"/>
          <w:bCs/>
          <w:sz w:val="24"/>
          <w:szCs w:val="24"/>
        </w:rPr>
        <w:t>os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49214A">
        <w:rPr>
          <w:rFonts w:ascii="Times New Roman" w:hAnsi="Times New Roman" w:cs="Times New Roman"/>
          <w:bCs/>
          <w:sz w:val="24"/>
          <w:szCs w:val="24"/>
        </w:rPr>
        <w:t>os</w:t>
      </w:r>
      <w:r w:rsidR="00BE7BE1">
        <w:rPr>
          <w:rFonts w:ascii="Times New Roman" w:hAnsi="Times New Roman" w:cs="Times New Roman"/>
          <w:bCs/>
          <w:sz w:val="24"/>
          <w:szCs w:val="24"/>
        </w:rPr>
        <w:t xml:space="preserve"> fatores de risco e proteção, pode guiar o diagnóstico médico baseado em fatos e, por consequência, liderar atitudes que aumentem a sobrevida de um paciente ou população.</w:t>
      </w:r>
    </w:p>
    <w:p w:rsidR="00B63450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61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742" w:rsidRPr="00C41742">
        <w:rPr>
          <w:rFonts w:ascii="Times New Roman" w:hAnsi="Times New Roman" w:cs="Times New Roman"/>
          <w:bCs/>
          <w:sz w:val="24"/>
          <w:szCs w:val="24"/>
        </w:rPr>
        <w:t>Distribuição</w:t>
      </w:r>
      <w:r w:rsidR="00C41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BF9">
        <w:rPr>
          <w:rFonts w:ascii="Times New Roman" w:hAnsi="Times New Roman" w:cs="Times New Roman"/>
          <w:sz w:val="24"/>
          <w:szCs w:val="24"/>
        </w:rPr>
        <w:t>Weibull</w:t>
      </w:r>
      <w:proofErr w:type="spellEnd"/>
      <w:r w:rsidR="008902C1">
        <w:rPr>
          <w:rFonts w:ascii="Times New Roman" w:hAnsi="Times New Roman" w:cs="Times New Roman"/>
          <w:sz w:val="24"/>
          <w:szCs w:val="24"/>
        </w:rPr>
        <w:t xml:space="preserve">; </w:t>
      </w:r>
      <w:r w:rsidR="00F61BF9">
        <w:rPr>
          <w:rFonts w:ascii="Times New Roman" w:hAnsi="Times New Roman" w:cs="Times New Roman"/>
          <w:sz w:val="24"/>
          <w:szCs w:val="24"/>
        </w:rPr>
        <w:t>Modelo de Cox</w:t>
      </w:r>
      <w:r w:rsidR="008902C1">
        <w:rPr>
          <w:rFonts w:ascii="Times New Roman" w:hAnsi="Times New Roman" w:cs="Times New Roman"/>
          <w:sz w:val="24"/>
          <w:szCs w:val="24"/>
        </w:rPr>
        <w:t xml:space="preserve">; </w:t>
      </w:r>
      <w:r w:rsidR="00F61BF9">
        <w:rPr>
          <w:rFonts w:ascii="Times New Roman" w:hAnsi="Times New Roman" w:cs="Times New Roman"/>
          <w:sz w:val="24"/>
          <w:szCs w:val="24"/>
        </w:rPr>
        <w:t>Curva de Sobrevivência; Taxa de Falha</w:t>
      </w:r>
      <w:r w:rsidRPr="007334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5C7" w:rsidRPr="007334AB" w:rsidRDefault="004F55C7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7" w:rsidRDefault="00F14BD7" w:rsidP="00082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:rsidR="00A333FD" w:rsidRDefault="00A333FD" w:rsidP="00CD30F5">
      <w:pPr>
        <w:pStyle w:val="NormalWeb"/>
        <w:spacing w:before="0" w:beforeAutospacing="0" w:after="16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A Análise de sobrevivência, também denominada de Teoria da Confiabilidade, é o ramo da Bioestatística que se volta para a investigação do tempo de ocorrência até um determinado evento. Também chamado de tempo de falha, esta quantificação é criada quando atividades de monitoramento, considerando uma unidade de tempo, são cronometradas exaustivamente em relação a</w:t>
      </w:r>
      <w:r w:rsidR="004310D6">
        <w:rPr>
          <w:color w:val="000000"/>
        </w:rPr>
        <w:t xml:space="preserve"> um</w:t>
      </w:r>
      <w:r>
        <w:rPr>
          <w:color w:val="000000"/>
        </w:rPr>
        <w:t xml:space="preserve"> evento de interesse e, com isso, pode-se determinar o tempo percorrido desde um início temporal</w:t>
      </w:r>
      <w:r w:rsidR="00AF55CF">
        <w:rPr>
          <w:color w:val="000000"/>
        </w:rPr>
        <w:t xml:space="preserve"> </w:t>
      </w:r>
      <w:r w:rsidR="00AF55CF" w:rsidRPr="00AF55CF">
        <w:rPr>
          <w:color w:val="000000"/>
        </w:rPr>
        <w:t>(BOGAERTS; KOM</w:t>
      </w:r>
      <w:r w:rsidR="00AF55CF">
        <w:rPr>
          <w:color w:val="000000"/>
        </w:rPr>
        <w:t>Á</w:t>
      </w:r>
      <w:r w:rsidR="00AF55CF" w:rsidRPr="00AF55CF">
        <w:rPr>
          <w:color w:val="000000"/>
        </w:rPr>
        <w:t>REK; LESAFFRE, 2017)</w:t>
      </w:r>
      <w:r w:rsidR="00AF55CF">
        <w:rPr>
          <w:color w:val="000000"/>
        </w:rPr>
        <w:t>.</w:t>
      </w:r>
    </w:p>
    <w:p w:rsidR="00A333FD" w:rsidRPr="00A333FD" w:rsidRDefault="00A333FD" w:rsidP="00CD30F5">
      <w:pPr>
        <w:pStyle w:val="NormalWeb"/>
        <w:spacing w:before="0" w:beforeAutospacing="0" w:after="160" w:afterAutospacing="0" w:line="360" w:lineRule="auto"/>
        <w:ind w:firstLine="720"/>
        <w:jc w:val="both"/>
      </w:pPr>
      <w:r>
        <w:rPr>
          <w:color w:val="000000"/>
        </w:rPr>
        <w:lastRenderedPageBreak/>
        <w:t xml:space="preserve">As pesquisas médicas e o interesse na análise </w:t>
      </w:r>
      <w:r w:rsidR="00081561">
        <w:rPr>
          <w:color w:val="000000"/>
        </w:rPr>
        <w:t>d</w:t>
      </w:r>
      <w:r>
        <w:rPr>
          <w:color w:val="000000"/>
        </w:rPr>
        <w:t xml:space="preserve">a sobrevida de pacientes sujeitos a determinadas doenças, debilidades e tratamentos em estudos clínicos e experimentais foram o que deram origem a esta área </w:t>
      </w:r>
      <w:r w:rsidR="00081561">
        <w:rPr>
          <w:color w:val="000000"/>
        </w:rPr>
        <w:t xml:space="preserve">na atuação da </w:t>
      </w:r>
      <w:r>
        <w:rPr>
          <w:color w:val="000000"/>
        </w:rPr>
        <w:t xml:space="preserve">ciência de dados. De fato, esta ciência tem manuscritos datados desde do século 17, no qual a primeira tábua da vida foi criada genuinamente por John </w:t>
      </w:r>
      <w:proofErr w:type="spellStart"/>
      <w:r>
        <w:rPr>
          <w:color w:val="000000"/>
        </w:rPr>
        <w:t>Graunt</w:t>
      </w:r>
      <w:proofErr w:type="spellEnd"/>
      <w:r>
        <w:rPr>
          <w:color w:val="000000"/>
        </w:rPr>
        <w:t>, no ano de 1662 (MORABIA, 2013).</w:t>
      </w:r>
      <w:r w:rsidRPr="00A333FD">
        <w:rPr>
          <w:color w:val="000000"/>
        </w:rPr>
        <w:t xml:space="preserve"> </w:t>
      </w:r>
      <w:r>
        <w:rPr>
          <w:color w:val="000000"/>
        </w:rPr>
        <w:t>Na era atual, devido ao avanço computacional e desenvolvimento de métodos estatísticos de ponta, a Análise de Sobrevivência vem se estabelecendo como um dos pilares da Estatística moderna, o qual vem ganhando um grande destaque nos últimos 20 anos (COLOSSIMO; GIOLO, 2006).</w:t>
      </w:r>
    </w:p>
    <w:p w:rsidR="00A333FD" w:rsidRDefault="00A333FD" w:rsidP="00CD30F5">
      <w:pPr>
        <w:pStyle w:val="NormalWeb"/>
        <w:spacing w:before="0" w:beforeAutospacing="0" w:after="160" w:afterAutospacing="0" w:line="360" w:lineRule="auto"/>
        <w:ind w:firstLine="720"/>
        <w:jc w:val="both"/>
      </w:pPr>
      <w:r>
        <w:rPr>
          <w:color w:val="000000"/>
        </w:rPr>
        <w:t>A análise do tempo de falha usualmente engloba a designação de um dos três principais encargos da Teoria da Confiabilidade. De modo profundo, é também de interesse investigar as funções de sobrevivência e suas interpretações, comparar dois ou mais tratamentos em termos de eficácia e avaliar o efeito de covariáveis na sobrevivência de grupos/indivíduos (SUN, 2006).</w:t>
      </w:r>
    </w:p>
    <w:p w:rsidR="00A333FD" w:rsidRDefault="00F62577" w:rsidP="00CD30F5">
      <w:pPr>
        <w:pStyle w:val="NormalWeb"/>
        <w:spacing w:before="0" w:beforeAutospacing="0" w:after="160" w:afterAutospacing="0" w:line="360" w:lineRule="auto"/>
        <w:ind w:firstLine="720"/>
        <w:jc w:val="both"/>
      </w:pPr>
      <w:r>
        <w:rPr>
          <w:color w:val="000000"/>
        </w:rPr>
        <w:t xml:space="preserve">Apesar de serem verdadeiramente classificadas como informações incompletas no banco de dados, é de suma importância incluí-las dentro da análise estatística. </w:t>
      </w:r>
      <w:proofErr w:type="spellStart"/>
      <w:r>
        <w:rPr>
          <w:color w:val="000000"/>
        </w:rPr>
        <w:t>Colossimo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Giolo</w:t>
      </w:r>
      <w:proofErr w:type="spellEnd"/>
      <w:r>
        <w:rPr>
          <w:color w:val="000000"/>
        </w:rPr>
        <w:t xml:space="preserve"> (2006) apontam que as razões que justificam esta medida são: (</w:t>
      </w:r>
      <w:r>
        <w:rPr>
          <w:i/>
          <w:iCs/>
          <w:color w:val="000000"/>
        </w:rPr>
        <w:t>i</w:t>
      </w:r>
      <w:r>
        <w:rPr>
          <w:color w:val="000000"/>
        </w:rPr>
        <w:t>) os dados censurados são capazes de fornecer informações sobre o tempo de sobrevida dos elementos; (</w:t>
      </w:r>
      <w:proofErr w:type="spellStart"/>
      <w:r>
        <w:rPr>
          <w:i/>
          <w:iCs/>
          <w:color w:val="000000"/>
        </w:rPr>
        <w:t>ii</w:t>
      </w:r>
      <w:proofErr w:type="spellEnd"/>
      <w:r>
        <w:rPr>
          <w:color w:val="000000"/>
        </w:rPr>
        <w:t xml:space="preserve">) a exclusão das informações censuradas pode gerar estimadores e estimativas viciadas nos cálculos inferenciais. </w:t>
      </w:r>
    </w:p>
    <w:p w:rsidR="00F14BD7" w:rsidRDefault="00F14BD7" w:rsidP="00CD30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:rsidR="00F33232" w:rsidRDefault="004F55C7" w:rsidP="009B74C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5074">
        <w:rPr>
          <w:rFonts w:ascii="Times New Roman" w:hAnsi="Times New Roman" w:cs="Times New Roman"/>
          <w:bCs/>
          <w:sz w:val="24"/>
          <w:szCs w:val="24"/>
        </w:rPr>
        <w:t>A pesquisa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074" w:rsidRPr="00EE5074">
        <w:rPr>
          <w:rFonts w:ascii="Times New Roman" w:hAnsi="Times New Roman" w:cs="Times New Roman"/>
          <w:bCs/>
          <w:sz w:val="24"/>
          <w:szCs w:val="24"/>
        </w:rPr>
        <w:t>é de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natureza quantitativa do tipo descritiv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experimental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qual 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está 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interligad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EE5074" w:rsidRP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estudo divulgado pelo grupo de estudos clínicos </w:t>
      </w:r>
      <w:r w:rsidR="00EE5074" w:rsidRPr="00EE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North Central </w:t>
      </w:r>
      <w:proofErr w:type="spellStart"/>
      <w:r w:rsidR="00EE5074" w:rsidRPr="00EE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Cancer</w:t>
      </w:r>
      <w:proofErr w:type="spellEnd"/>
      <w:r w:rsidR="00EE5074" w:rsidRPr="00EE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EE5074" w:rsidRPr="00EE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Treatment</w:t>
      </w:r>
      <w:proofErr w:type="spellEnd"/>
      <w:r w:rsidR="00EE5074" w:rsidRPr="00EE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EE5074" w:rsidRPr="00EE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Group</w:t>
      </w:r>
      <w:proofErr w:type="spellEnd"/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entidade líder em pesquisa sobre o câncer n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Estados Unidos. 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pesquisa é caracterizada como 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longitudinal, 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qual é caracterizad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E5074"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acompanhamento de variáveis, sobre um indivíduo ou grupo, ao longo do tempo sob o controle do pesquisador</w:t>
      </w:r>
      <w:r w:rsidR="00EE50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Desse modo, o </w:t>
      </w:r>
      <w:r w:rsidR="009B74CF" w:rsidRP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do trabalho era verificar o tempo de sobrevivência dos pacientes associado à sua performance no cotidiano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características genéticas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resultado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</w:t>
      </w:r>
      <w:r w:rsidR="00F332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amostra coletada 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totalizou em um </w:t>
      </w:r>
      <w:r w:rsidR="00F332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grupo de 228 pacientes diagnosticados com câncer de pulmão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3232" w:rsidRDefault="00F33232" w:rsidP="00F33232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O processo de coleta de dados ocorreu entre </w:t>
      </w:r>
      <w:r w:rsidRPr="00F33232">
        <w:rPr>
          <w:color w:val="000000"/>
        </w:rPr>
        <w:t>julho de 1987 a junho de 1990</w:t>
      </w:r>
      <w:r>
        <w:rPr>
          <w:color w:val="000000"/>
        </w:rPr>
        <w:t xml:space="preserve">, por meio de um questionário estruturado com 30 itens sobre informações demográficas, </w:t>
      </w:r>
      <w:r w:rsidR="009B74CF">
        <w:rPr>
          <w:color w:val="000000"/>
        </w:rPr>
        <w:t xml:space="preserve">de </w:t>
      </w:r>
      <w:r>
        <w:rPr>
          <w:color w:val="000000"/>
        </w:rPr>
        <w:t xml:space="preserve">saúde e </w:t>
      </w:r>
      <w:r w:rsidR="009B74CF">
        <w:rPr>
          <w:color w:val="000000"/>
        </w:rPr>
        <w:t xml:space="preserve">do </w:t>
      </w:r>
      <w:r>
        <w:rPr>
          <w:color w:val="000000"/>
        </w:rPr>
        <w:t>cotidiano</w:t>
      </w:r>
      <w:r w:rsidR="004F55C7">
        <w:rPr>
          <w:color w:val="000000"/>
        </w:rPr>
        <w:t xml:space="preserve">, </w:t>
      </w:r>
      <w:r w:rsidR="00CA5DAC">
        <w:rPr>
          <w:color w:val="000000"/>
        </w:rPr>
        <w:t xml:space="preserve">o qual foi direcionado para </w:t>
      </w:r>
      <w:r w:rsidR="004F55C7">
        <w:rPr>
          <w:color w:val="000000"/>
        </w:rPr>
        <w:t>todos os pacientes atendidos pelos médicos colaboradores</w:t>
      </w:r>
      <w:r w:rsidR="00CA5DAC">
        <w:rPr>
          <w:color w:val="000000"/>
        </w:rPr>
        <w:t xml:space="preserve"> do instituto</w:t>
      </w:r>
      <w:r>
        <w:rPr>
          <w:color w:val="000000"/>
        </w:rPr>
        <w:t xml:space="preserve">. As principais covariáveis coletadas agregavam características sobre: idade, sexo,  qualidade de cuidado próprio, qualidade de executar tarefas comuns, quantidade de calorias </w:t>
      </w:r>
      <w:r>
        <w:rPr>
          <w:color w:val="000000"/>
        </w:rPr>
        <w:lastRenderedPageBreak/>
        <w:t xml:space="preserve">consumidas nas refeições e quantidade de peso perdido nos últimos seis meses; além do momento de diagnóstico e óbito pela doença. </w:t>
      </w:r>
    </w:p>
    <w:p w:rsidR="00C22350" w:rsidRPr="009B74CF" w:rsidRDefault="00F33232" w:rsidP="009B74CF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Como critérios de inclusão considerou-se os indivíduos adultos e com moderado grau de instrução</w:t>
      </w:r>
      <w:r w:rsidR="004F55C7">
        <w:rPr>
          <w:color w:val="000000"/>
        </w:rPr>
        <w:t xml:space="preserve"> escolar</w:t>
      </w:r>
      <w:r>
        <w:rPr>
          <w:color w:val="000000"/>
        </w:rPr>
        <w:t xml:space="preserve">, </w:t>
      </w:r>
      <w:r w:rsidR="00CA5DAC">
        <w:rPr>
          <w:color w:val="000000"/>
        </w:rPr>
        <w:t>cujos apresentassem</w:t>
      </w:r>
      <w:r>
        <w:rPr>
          <w:color w:val="000000"/>
        </w:rPr>
        <w:t xml:space="preserve"> o estágio avançado, incurável e maligno do câncer de pulmão. Como critérios de </w:t>
      </w:r>
      <w:r w:rsidR="009B74CF">
        <w:rPr>
          <w:color w:val="000000"/>
        </w:rPr>
        <w:t>exclusão considerou</w:t>
      </w:r>
      <w:r>
        <w:rPr>
          <w:color w:val="000000"/>
        </w:rPr>
        <w:t>-se apenas os pacientes que completaram todas as informações requeridas do questionário</w:t>
      </w:r>
      <w:r w:rsidR="009B74CF">
        <w:rPr>
          <w:color w:val="000000"/>
        </w:rPr>
        <w:t>, assim como a inexistência de qualquer outra enfermidade mais maligna do que a doença em investigação.</w:t>
      </w:r>
    </w:p>
    <w:p w:rsidR="00C22350" w:rsidRPr="00C22350" w:rsidRDefault="00C22350" w:rsidP="00C22350">
      <w:pPr>
        <w:pStyle w:val="PargrafodaLista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2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</w:t>
      </w:r>
      <w:r w:rsidR="009B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 w:rsidRPr="00C22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ÉTODOS ESTATÍSTICOS</w:t>
      </w:r>
    </w:p>
    <w:p w:rsidR="00F62577" w:rsidRDefault="00C22350" w:rsidP="00CD30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Declara-se que o tempo de sobrevivência </w:t>
      </w:r>
      <w:r w:rsidRPr="00C22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</w:t>
      </w: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variável aleatória contínua e não negativa, isto é, </w:t>
      </w:r>
      <w:r w:rsidRPr="00C22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 assumir qualquer valor dentro do conjunto dos reais a partir de zero. Por alguns embasamentos </w:t>
      </w:r>
      <w:r w:rsidR="000815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das</w:t>
      </w: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teorias probabilísticas associadas a esta variável aleatória, obrigatoriamente tem-se uma função densidade de probabilidade </w:t>
      </w:r>
      <w:r w:rsidRPr="00C223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f(t)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função de distribuição acumulada F(t) para explicar o seu comportamento. A partir da função de distribuição, temos a definição da função de sobrevivência como a probabilidade de um indivíduo sobreviver acima ou igual a um determinado instante no tempo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22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t,</w:t>
      </w: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dado que este sobreviveu até este determinado momento. Em outras palavras, a função de sobrevivência representa a área complementar da função de distribuição do tempo de falha:</w:t>
      </w:r>
    </w:p>
    <w:p w:rsidR="000069B7" w:rsidRDefault="000069B7" w:rsidP="00CD30F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=1-F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T&gt;t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 xml:space="preserve">= 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 xml:space="preserve"> du</m:t>
              </m:r>
            </m:e>
          </m:nary>
        </m:oMath>
      </m:oMathPara>
    </w:p>
    <w:p w:rsidR="00C22350" w:rsidRDefault="00C22350" w:rsidP="00CD30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contraste com a função de sobrevivência, outra função importante para a interpretação do tempo de falha é a função taxa de falha, a qual explica o potencial instantâneo por unidade de tempo para a ocorrência do evento, quando se sabe que o indivíduo sobreviveu até um tempo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223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</w:t>
      </w:r>
      <w:r w:rsidRPr="00C223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definição para a função taxa de falha é dada por:</w:t>
      </w:r>
    </w:p>
    <w:p w:rsidR="000069B7" w:rsidRPr="002831AB" w:rsidRDefault="000069B7" w:rsidP="00CD30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λ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P</m:t>
                  </m:r>
                  <m:d>
                    <m:dPr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t ≤T&lt;t+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Δ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 xml:space="preserve"> T ≥t)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Δ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t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 xml:space="preserve"> </m:t>
          </m:r>
        </m:oMath>
      </m:oMathPara>
    </w:p>
    <w:p w:rsidR="002831AB" w:rsidRDefault="002831AB" w:rsidP="00CD30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qual</w:t>
      </w:r>
      <w:r w:rsidRPr="002831AB"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Δ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t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831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denota um acr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Pr="002831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scimo infinitamente pequeno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31AB" w:rsidRPr="004E689D" w:rsidRDefault="002831AB" w:rsidP="00CD30F5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color w:val="000000"/>
        </w:rPr>
        <w:tab/>
        <w:t>O estimador não-paramétrico de Kaplan</w:t>
      </w:r>
      <w:r w:rsidR="00642EC9">
        <w:rPr>
          <w:color w:val="000000"/>
        </w:rPr>
        <w:t>-</w:t>
      </w:r>
      <w:r>
        <w:rPr>
          <w:color w:val="000000"/>
        </w:rPr>
        <w:t xml:space="preserve">Meier serve para descrevermos a função de sobrevivência </w:t>
      </w:r>
      <w:r w:rsidR="00081561">
        <w:rPr>
          <w:color w:val="000000"/>
        </w:rPr>
        <w:t xml:space="preserve">na sua </w:t>
      </w:r>
      <w:r>
        <w:rPr>
          <w:color w:val="000000"/>
        </w:rPr>
        <w:t>forma empírica, mas com a consideração de censura</w:t>
      </w:r>
      <w:r w:rsidR="009B74CF">
        <w:rPr>
          <w:color w:val="000000"/>
        </w:rPr>
        <w:t xml:space="preserve">. </w:t>
      </w:r>
      <w:r>
        <w:rPr>
          <w:color w:val="000000"/>
        </w:rPr>
        <w:t>A forma matemática desta metodologia é dada por:</w:t>
      </w:r>
    </w:p>
    <w:p w:rsidR="002831AB" w:rsidRPr="00C34D41" w:rsidRDefault="002831AB" w:rsidP="002831AB">
      <w:pPr>
        <w:pStyle w:val="NormalWeb"/>
        <w:spacing w:before="0" w:beforeAutospacing="0" w:after="0" w:afterAutospacing="0"/>
        <w:ind w:firstLine="360"/>
        <w:jc w:val="both"/>
        <w:rPr>
          <w:color w:val="000000"/>
        </w:rPr>
      </w:pPr>
    </w:p>
    <w:p w:rsidR="002831AB" w:rsidRDefault="00000000" w:rsidP="0069103A">
      <w:pPr>
        <w:pStyle w:val="NormalWeb"/>
        <w:spacing w:before="0" w:beforeAutospacing="0" w:after="0" w:afterAutospacing="0" w:line="360" w:lineRule="auto"/>
        <w:ind w:firstLine="360"/>
        <w:jc w:val="both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 xml:space="preserve">(t) = </m:t>
          </m:r>
          <m:nary>
            <m:naryPr>
              <m:chr m:val="∏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&lt;t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j: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&lt;t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</m:e>
          </m:nary>
        </m:oMath>
      </m:oMathPara>
    </w:p>
    <w:p w:rsidR="004E689D" w:rsidRDefault="002831AB" w:rsidP="0069103A">
      <w:pPr>
        <w:pStyle w:val="NormalWeb"/>
        <w:spacing w:before="0" w:beforeAutospacing="0" w:after="0" w:afterAutospacing="0" w:line="360" w:lineRule="auto"/>
        <w:ind w:firstLine="360"/>
        <w:jc w:val="both"/>
      </w:pPr>
      <w:r>
        <w:rPr>
          <w:color w:val="000000"/>
        </w:rPr>
        <w:lastRenderedPageBreak/>
        <w:tab/>
      </w:r>
    </w:p>
    <w:p w:rsidR="002831AB" w:rsidRDefault="004E689D" w:rsidP="00CD30F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modelo de regressão de Cox, ou modelo de Riscos Proporcionais, proporciona não apenas a probabilidade de que um de</w:t>
      </w:r>
      <w:r w:rsidR="00482F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ocorrência de um determinado evento, mas também a estimativa até o tempo de ocorrência por meio da função de risco. A popularidade desta metodologia está presente na interpretação das covariáveis que influenciam o tempo de sobrevivência pelo </w:t>
      </w:r>
      <w:r w:rsidR="00482FF5" w:rsidRPr="0008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Razão de Taxas de Falha</w:t>
      </w:r>
      <w:r w:rsidR="00482F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="00482FF5" w:rsidRPr="00081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Risco Relativo</w:t>
      </w:r>
      <w:r w:rsidR="00482F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estrutura do modelo de Cox é dada por:</w:t>
      </w:r>
    </w:p>
    <w:p w:rsidR="00482FF5" w:rsidRPr="00482FF5" w:rsidRDefault="00482FF5" w:rsidP="00CD30F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h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t|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β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,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 xml:space="preserve"> 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pt-B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t</m:t>
              </m:r>
            </m:e>
          </m:d>
          <m:func>
            <m:funcPr>
              <m:ctrl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pt-BR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pt-B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m:t>T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t-BR"/>
                    </w:rPr>
                    <m:t>β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pt-BR"/>
            </w:rPr>
            <m:t xml:space="preserve"> ,</m:t>
          </m:r>
        </m:oMath>
      </m:oMathPara>
    </w:p>
    <w:p w:rsidR="00482FF5" w:rsidRDefault="00482FF5" w:rsidP="00CD30F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que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(t)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chamada de função de risco basal,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x</m:t>
        </m:r>
      </m:oMath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482F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spellEnd"/>
      <w:r w:rsidRPr="00482F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vetor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dimensão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p x 1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covariáveis e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β=(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 xml:space="preserve">,  …, 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)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 vetor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pt-BR"/>
          </w:rPr>
          <m:t>p x 1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coeficientes</w:t>
      </w:r>
      <w:r w:rsidR="009B74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7598" w:rsidRDefault="00A04C78" w:rsidP="00CD30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 w:rsidR="00CD0FAA" w:rsidRDefault="00CD0FAA" w:rsidP="00CD30F5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Ao longo do estudo, desenvolvemos 6 famosos modelos de probabilidade para explicar o tempo de sobrevida relacionado ao câncer de pulmão. As distribuições testadas foram: Exponencial, </w:t>
      </w:r>
      <w:proofErr w:type="spellStart"/>
      <w:r>
        <w:rPr>
          <w:color w:val="000000"/>
        </w:rPr>
        <w:t>Weibull</w:t>
      </w:r>
      <w:proofErr w:type="spellEnd"/>
      <w:r>
        <w:rPr>
          <w:color w:val="000000"/>
        </w:rPr>
        <w:t>, Log-Normal, Log-Logístico, Gama e Gama generalizado.</w:t>
      </w:r>
    </w:p>
    <w:p w:rsidR="00CD30F5" w:rsidRDefault="00CD30F5" w:rsidP="00CD0FAA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color w:val="000000"/>
        </w:rPr>
        <w:t>Perceb</w:t>
      </w:r>
      <w:r w:rsidR="00CD0FAA">
        <w:rPr>
          <w:color w:val="000000"/>
        </w:rPr>
        <w:t>emos</w:t>
      </w:r>
      <w:r>
        <w:rPr>
          <w:color w:val="000000"/>
        </w:rPr>
        <w:t xml:space="preserve"> que o modelo exponencial, por ser simples em sua forma, desto</w:t>
      </w:r>
      <w:r w:rsidR="00CA5DAC">
        <w:rPr>
          <w:color w:val="000000"/>
        </w:rPr>
        <w:t>ou</w:t>
      </w:r>
      <w:r>
        <w:rPr>
          <w:color w:val="000000"/>
        </w:rPr>
        <w:t xml:space="preserve"> bastante da forma empírica da função de sobrevivência</w:t>
      </w:r>
      <w:r w:rsidR="00081561">
        <w:rPr>
          <w:color w:val="000000"/>
        </w:rPr>
        <w:t xml:space="preserve"> e</w:t>
      </w:r>
      <w:r>
        <w:rPr>
          <w:color w:val="000000"/>
        </w:rPr>
        <w:t>, por isso, este modelo não seria adequado para explicar os dados d</w:t>
      </w:r>
      <w:r w:rsidR="00642EC9">
        <w:rPr>
          <w:color w:val="000000"/>
        </w:rPr>
        <w:t>o</w:t>
      </w:r>
      <w:r>
        <w:rPr>
          <w:color w:val="000000"/>
        </w:rPr>
        <w:t xml:space="preserve"> </w:t>
      </w:r>
      <w:r w:rsidR="00642EC9">
        <w:rPr>
          <w:color w:val="000000"/>
        </w:rPr>
        <w:t xml:space="preserve">tempo de sobrevivência do </w:t>
      </w:r>
      <w:r>
        <w:rPr>
          <w:color w:val="000000"/>
        </w:rPr>
        <w:t xml:space="preserve">câncer de pulmão. Por outro lado, o modelo de sobrevivência de </w:t>
      </w:r>
      <w:proofErr w:type="spellStart"/>
      <w:r>
        <w:rPr>
          <w:color w:val="000000"/>
        </w:rPr>
        <w:t>Weibull</w:t>
      </w:r>
      <w:proofErr w:type="spellEnd"/>
      <w:r>
        <w:rPr>
          <w:color w:val="000000"/>
        </w:rPr>
        <w:t xml:space="preserve"> abord</w:t>
      </w:r>
      <w:r w:rsidR="00CA5DAC">
        <w:rPr>
          <w:color w:val="000000"/>
        </w:rPr>
        <w:t>ou</w:t>
      </w:r>
      <w:r>
        <w:rPr>
          <w:color w:val="000000"/>
        </w:rPr>
        <w:t xml:space="preserve"> um ajuste esplendidamente adequado, ao se aproximar bastante do formato empírico da função de sobrevivência estimada. </w:t>
      </w:r>
    </w:p>
    <w:p w:rsidR="00CD30F5" w:rsidRPr="00CD30F5" w:rsidRDefault="00CD0FAA" w:rsidP="00CD30F5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O </w:t>
      </w:r>
      <w:r w:rsidR="00CD30F5">
        <w:rPr>
          <w:color w:val="000000"/>
        </w:rPr>
        <w:t xml:space="preserve">ajuste </w:t>
      </w:r>
      <w:r>
        <w:rPr>
          <w:color w:val="000000"/>
        </w:rPr>
        <w:t xml:space="preserve">do modelo </w:t>
      </w:r>
      <w:r w:rsidR="00CD30F5">
        <w:rPr>
          <w:color w:val="000000"/>
        </w:rPr>
        <w:t xml:space="preserve">Log-Normal não </w:t>
      </w:r>
      <w:r>
        <w:rPr>
          <w:color w:val="000000"/>
        </w:rPr>
        <w:t xml:space="preserve">conseguiu </w:t>
      </w:r>
      <w:r w:rsidR="00CD30F5">
        <w:rPr>
          <w:color w:val="000000"/>
        </w:rPr>
        <w:t xml:space="preserve">explicar corretamente o comportamento da função de sobrevivência empírica, englobando vários erros em diversos períodos temporais abordados pelo estimador de Kaplan-Meier. </w:t>
      </w:r>
      <w:r>
        <w:rPr>
          <w:color w:val="000000"/>
        </w:rPr>
        <w:t>Por outro lado, e</w:t>
      </w:r>
      <w:r w:rsidR="00CD30F5">
        <w:rPr>
          <w:color w:val="000000"/>
        </w:rPr>
        <w:t>mbora o ajuste do modelo Log-Logístico tenha sido satisfatório além do tempo mediano de sobrevivência, no final da curva de Kaplan-Meier</w:t>
      </w:r>
      <w:r>
        <w:rPr>
          <w:color w:val="000000"/>
        </w:rPr>
        <w:t>,</w:t>
      </w:r>
      <w:r w:rsidR="00CD30F5">
        <w:rPr>
          <w:color w:val="000000"/>
        </w:rPr>
        <w:t xml:space="preserve"> ocorre</w:t>
      </w:r>
      <w:r w:rsidR="00CA5DAC">
        <w:rPr>
          <w:color w:val="000000"/>
        </w:rPr>
        <w:t>u</w:t>
      </w:r>
      <w:r w:rsidR="00CD30F5">
        <w:rPr>
          <w:color w:val="000000"/>
        </w:rPr>
        <w:t xml:space="preserve"> um </w:t>
      </w:r>
      <w:proofErr w:type="spellStart"/>
      <w:r w:rsidR="00CD30F5">
        <w:rPr>
          <w:color w:val="000000"/>
        </w:rPr>
        <w:t>sobreajuste</w:t>
      </w:r>
      <w:proofErr w:type="spellEnd"/>
      <w:r w:rsidR="00CD30F5">
        <w:rPr>
          <w:color w:val="000000"/>
        </w:rPr>
        <w:t xml:space="preserve"> da proposta, tal falha gera uma expectativa de sobrevivência maior do que o esperado.</w:t>
      </w:r>
    </w:p>
    <w:p w:rsidR="00642EC9" w:rsidRDefault="00CD30F5" w:rsidP="00B63450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D30F5">
        <w:rPr>
          <w:color w:val="000000"/>
        </w:rPr>
        <w:t xml:space="preserve">Para os modelos gama e gama generalizado, </w:t>
      </w:r>
      <w:r w:rsidR="00CD0FAA">
        <w:rPr>
          <w:color w:val="000000"/>
        </w:rPr>
        <w:t xml:space="preserve">constatou-se </w:t>
      </w:r>
      <w:r w:rsidRPr="00CD30F5">
        <w:rPr>
          <w:color w:val="000000"/>
        </w:rPr>
        <w:t>a qualidade de ambos modelos pela proximidade de suas curvas suaves próximas ao formato escada do estimador de Kaplan-Meier. Com destaque para a forma generalizada, a qual fornece menos defeitos ao longo do ajuste e, principalmente, no final da curva estimada da função de sobrevivência.</w:t>
      </w:r>
      <w:r w:rsidR="00B63450">
        <w:rPr>
          <w:color w:val="000000"/>
        </w:rPr>
        <w:t xml:space="preserve"> </w:t>
      </w:r>
    </w:p>
    <w:p w:rsidR="00B63450" w:rsidRDefault="00B63450" w:rsidP="00B63450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>Além da forma visual, por meio de gráficos, uma outra forma de se avaliar e selecionar os modelos de sobrevivência é através dos critérios e seleção AIC (</w:t>
      </w:r>
      <w:proofErr w:type="spellStart"/>
      <w:r>
        <w:rPr>
          <w:i/>
          <w:iCs/>
          <w:color w:val="000000"/>
        </w:rPr>
        <w:t>Akaike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information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criterion</w:t>
      </w:r>
      <w:proofErr w:type="spellEnd"/>
      <w:r>
        <w:rPr>
          <w:color w:val="000000"/>
        </w:rPr>
        <w:t>), BIC (</w:t>
      </w:r>
      <w:proofErr w:type="spellStart"/>
      <w:r>
        <w:rPr>
          <w:i/>
          <w:iCs/>
          <w:color w:val="000000"/>
        </w:rPr>
        <w:t>Bayesian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information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criterion</w:t>
      </w:r>
      <w:proofErr w:type="spellEnd"/>
      <w:r>
        <w:rPr>
          <w:color w:val="000000"/>
        </w:rPr>
        <w:t>) e HC (</w:t>
      </w:r>
      <w:proofErr w:type="spellStart"/>
      <w:r>
        <w:rPr>
          <w:i/>
          <w:iCs/>
          <w:color w:val="000000"/>
        </w:rPr>
        <w:t>Hannan</w:t>
      </w:r>
      <w:proofErr w:type="spellEnd"/>
      <w:r>
        <w:rPr>
          <w:i/>
          <w:iCs/>
          <w:color w:val="000000"/>
        </w:rPr>
        <w:t xml:space="preserve">-Quinn </w:t>
      </w:r>
      <w:proofErr w:type="spellStart"/>
      <w:r>
        <w:rPr>
          <w:i/>
          <w:iCs/>
          <w:color w:val="000000"/>
        </w:rPr>
        <w:t>Information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Criterion</w:t>
      </w:r>
      <w:proofErr w:type="spellEnd"/>
      <w:r>
        <w:rPr>
          <w:color w:val="000000"/>
        </w:rPr>
        <w:t xml:space="preserve">). </w:t>
      </w:r>
      <w:r>
        <w:rPr>
          <w:color w:val="000000"/>
        </w:rPr>
        <w:lastRenderedPageBreak/>
        <w:t>Essas propostas se baseiam essencialmente no valor de maximização da função de log-verossimilhança, no tamanho amostral e na quantidade de parâmetros envolvidos no processo (AKAIKE, 1984; SCHWARZ, 1978; AKAIKE &amp; QUINN, 1958). A regra de decisão para cada medida consiste em selecionar o modelo que contém a menor valoração</w:t>
      </w:r>
      <w:r>
        <w:rPr>
          <w:color w:val="000000"/>
          <w:sz w:val="20"/>
          <w:szCs w:val="20"/>
        </w:rPr>
        <w:t>.</w:t>
      </w:r>
    </w:p>
    <w:p w:rsidR="00CD30F5" w:rsidRDefault="00CD30F5" w:rsidP="00805BF7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Na </w:t>
      </w:r>
      <w:r>
        <w:rPr>
          <w:b/>
          <w:bCs/>
          <w:color w:val="000000"/>
        </w:rPr>
        <w:t>Tabela 1</w:t>
      </w:r>
      <w:r>
        <w:rPr>
          <w:color w:val="000000"/>
        </w:rPr>
        <w:t xml:space="preserve">, observa os valores de AIC, BIC e HC para os modelos de sobrevivência exponencial, </w:t>
      </w:r>
      <w:proofErr w:type="spellStart"/>
      <w:r>
        <w:rPr>
          <w:color w:val="000000"/>
        </w:rPr>
        <w:t>Weibull</w:t>
      </w:r>
      <w:proofErr w:type="spellEnd"/>
      <w:r>
        <w:rPr>
          <w:color w:val="000000"/>
        </w:rPr>
        <w:t xml:space="preserve">, Log-Normal, Log-Logístico, Gama e Gama generalizado. Deste modo, nota-se em destaque o desempenho do modelo </w:t>
      </w:r>
      <w:proofErr w:type="spellStart"/>
      <w:r>
        <w:rPr>
          <w:color w:val="000000"/>
        </w:rPr>
        <w:t>Weibull</w:t>
      </w:r>
      <w:proofErr w:type="spellEnd"/>
      <w:r>
        <w:rPr>
          <w:color w:val="000000"/>
        </w:rPr>
        <w:t xml:space="preserve">, o qual poderia não ser descoberto apenas na visualização gráfica. De fato, ao analisarmos </w:t>
      </w:r>
      <w:r w:rsidR="00642EC9">
        <w:rPr>
          <w:color w:val="000000"/>
        </w:rPr>
        <w:t xml:space="preserve">dentre </w:t>
      </w:r>
      <w:r>
        <w:rPr>
          <w:color w:val="000000"/>
        </w:rPr>
        <w:t xml:space="preserve">os diversos modelos propostos para os dados de câncer, realizou-se que os mais </w:t>
      </w:r>
      <w:r w:rsidR="00642EC9">
        <w:rPr>
          <w:color w:val="000000"/>
        </w:rPr>
        <w:t>apropriados</w:t>
      </w:r>
      <w:r>
        <w:rPr>
          <w:color w:val="000000"/>
        </w:rPr>
        <w:t xml:space="preserve"> seriam o </w:t>
      </w:r>
      <w:proofErr w:type="spellStart"/>
      <w:r>
        <w:rPr>
          <w:color w:val="000000"/>
        </w:rPr>
        <w:t>Weibull</w:t>
      </w:r>
      <w:proofErr w:type="spellEnd"/>
      <w:r>
        <w:rPr>
          <w:color w:val="000000"/>
        </w:rPr>
        <w:t xml:space="preserve"> e o gama generalizado, porém, os detalhes sobre qual era a melhor forma paramétrica não eram possíveis na inspeção gráfica.</w:t>
      </w:r>
    </w:p>
    <w:p w:rsidR="00C71168" w:rsidRPr="00CD30F5" w:rsidRDefault="00C71168" w:rsidP="00CD0FAA">
      <w:pPr>
        <w:pStyle w:val="NormalWeb"/>
        <w:spacing w:before="0" w:beforeAutospacing="0" w:after="0" w:afterAutospacing="0" w:line="360" w:lineRule="auto"/>
        <w:jc w:val="both"/>
      </w:pPr>
    </w:p>
    <w:p w:rsidR="00A448A6" w:rsidRPr="00A448A6" w:rsidRDefault="00A448A6" w:rsidP="00805BF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Tabela 1: </w:t>
      </w:r>
      <w:r w:rsidRPr="00A448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Valores das medidas de seleção AIC (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Akaike</w:t>
      </w:r>
      <w:proofErr w:type="spellEnd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information</w:t>
      </w:r>
      <w:proofErr w:type="spellEnd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criterion</w:t>
      </w:r>
      <w:proofErr w:type="spellEnd"/>
      <w:r w:rsidRPr="00A448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), BIC (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Bayesian</w:t>
      </w:r>
      <w:proofErr w:type="spellEnd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information</w:t>
      </w:r>
      <w:proofErr w:type="spellEnd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criterion</w:t>
      </w:r>
      <w:proofErr w:type="spellEnd"/>
      <w:r w:rsidRPr="00A448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) e HC</w:t>
      </w: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(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Hannan</w:t>
      </w:r>
      <w:proofErr w:type="spellEnd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 xml:space="preserve">-Quinn 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Information</w:t>
      </w:r>
      <w:proofErr w:type="spellEnd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 xml:space="preserve"> </w:t>
      </w:r>
      <w:proofErr w:type="spellStart"/>
      <w:r w:rsidRPr="00A448A6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Criterion</w:t>
      </w:r>
      <w:proofErr w:type="spellEnd"/>
      <w:r w:rsidRPr="00A448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), por modelo de sobrevivência.</w:t>
      </w: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1040"/>
        <w:gridCol w:w="1040"/>
        <w:gridCol w:w="1040"/>
      </w:tblGrid>
      <w:tr w:rsidR="00A448A6" w:rsidRPr="00A448A6" w:rsidTr="00A448A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</w:t>
            </w:r>
          </w:p>
        </w:tc>
      </w:tr>
      <w:tr w:rsidR="00A448A6" w:rsidRPr="00A448A6" w:rsidTr="00A448A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Exponencial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2326,676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2330,106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2328,060</w:t>
            </w:r>
          </w:p>
        </w:tc>
      </w:tr>
      <w:tr w:rsidR="00A448A6" w:rsidRPr="00A448A6" w:rsidTr="00A448A6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Weibull</w:t>
            </w:r>
            <w:proofErr w:type="spellEnd"/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2311,702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2318,561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2314,470</w:t>
            </w:r>
          </w:p>
        </w:tc>
      </w:tr>
      <w:tr w:rsidR="00A448A6" w:rsidRPr="00A448A6" w:rsidTr="00A448A6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Log-Normal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2342,538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2349,397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2345,305</w:t>
            </w:r>
          </w:p>
        </w:tc>
      </w:tr>
      <w:tr w:rsidR="00A448A6" w:rsidRPr="00A448A6" w:rsidTr="00A448A6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Log-Logístico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2325,861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2332,720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2328,629</w:t>
            </w:r>
          </w:p>
        </w:tc>
      </w:tr>
      <w:tr w:rsidR="00A448A6" w:rsidRPr="00A448A6" w:rsidTr="00A448A6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Gama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2313,469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2320,328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2316,237</w:t>
            </w:r>
          </w:p>
        </w:tc>
      </w:tr>
      <w:tr w:rsidR="00A448A6" w:rsidRPr="00A448A6" w:rsidTr="00A448A6">
        <w:trPr>
          <w:trHeight w:val="30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Gama generalizado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2313,380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2323,668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48A6" w:rsidRPr="00A448A6" w:rsidRDefault="00A448A6" w:rsidP="00A4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2317,531</w:t>
            </w:r>
          </w:p>
        </w:tc>
      </w:tr>
    </w:tbl>
    <w:p w:rsidR="0085595B" w:rsidRDefault="00A448A6" w:rsidP="00CD30F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Fonte</w:t>
      </w:r>
      <w:r w:rsidRPr="00A448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Construído pelo autor, 2023.</w:t>
      </w:r>
    </w:p>
    <w:p w:rsidR="00BA1BDA" w:rsidRPr="006C72FD" w:rsidRDefault="0071098A" w:rsidP="00B634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a descoberta do modelo paramétrico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Weibull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melhor forma de explicar a curva de sobrevivência, dever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estudar a influência de covariáveis que possam influenciar no potencial de risco instantâneo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morte do paciente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Desse modo, a </w:t>
      </w:r>
      <w:r w:rsidRPr="006C7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2</w:t>
      </w:r>
      <w:r w:rsidR="006C7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aborda os resultados ajuste do modelo de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ox com a utilização das covariáveis idade (age), sexo (sex), qualidade de cuidado próprio (</w:t>
      </w:r>
      <w:proofErr w:type="spellStart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ph.ecog</w:t>
      </w:r>
      <w:proofErr w:type="spellEnd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qualidade em executar tarefas comuns (</w:t>
      </w:r>
      <w:proofErr w:type="spellStart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ph.</w:t>
      </w:r>
      <w:r w:rsidR="00595F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</w:t>
      </w:r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arno</w:t>
      </w:r>
      <w:proofErr w:type="spellEnd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quantidade de calorias consumidas em refeições (</w:t>
      </w:r>
      <w:proofErr w:type="spellStart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meal.cal</w:t>
      </w:r>
      <w:proofErr w:type="spellEnd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quantidade de peso perdido nos últimos seis messes (</w:t>
      </w:r>
      <w:proofErr w:type="spellStart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wt.loss</w:t>
      </w:r>
      <w:proofErr w:type="spellEnd"/>
      <w:r w:rsidR="006C7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acompanhadas do intercepto estimado. Quando avaliamos o nível descritivo (p-valor) para cada covariável</w:t>
      </w:r>
      <w:r w:rsidR="00BA1B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considerando o nível de 5% de significância, percebemos que apenas as variáveis sexo, qualidade no cuidado </w:t>
      </w:r>
      <w:r w:rsidR="00595F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próprio </w:t>
      </w:r>
      <w:r w:rsidR="00BA1B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qualidade em executar tarefas do cotidiano comprovaram-se estatisticamente significativas. Em outras palavras, a significâncias destas covariáveis nos permite a inferir que existe uma influência dos pesos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estimada para uma </w:t>
      </w:r>
      <w:r w:rsidR="00BA1B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generalização populacional. </w:t>
      </w:r>
    </w:p>
    <w:p w:rsidR="00F80EF4" w:rsidRPr="0085595B" w:rsidRDefault="0085595B" w:rsidP="00805BF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lastRenderedPageBreak/>
        <w:t xml:space="preserve">Tabela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2</w:t>
      </w: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Resultado da estimação global para o coeficiente, coeficiente na escala exponencial, estatística de teste (Z) e p-valor, por variável explicativa</w:t>
      </w:r>
      <w:r w:rsidRPr="00A448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.</w:t>
      </w: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247"/>
        <w:gridCol w:w="50"/>
        <w:gridCol w:w="2268"/>
        <w:gridCol w:w="907"/>
        <w:gridCol w:w="1134"/>
      </w:tblGrid>
      <w:tr w:rsidR="0085595B" w:rsidRPr="00A448A6" w:rsidTr="0085595B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595B" w:rsidRPr="00A448A6" w:rsidRDefault="0085595B" w:rsidP="00805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Variável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595B" w:rsidRPr="00A448A6" w:rsidRDefault="0085595B" w:rsidP="00805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Coeficiente</w:t>
            </w:r>
          </w:p>
        </w:tc>
        <w:tc>
          <w:tcPr>
            <w:tcW w:w="50" w:type="dxa"/>
            <w:tcBorders>
              <w:top w:val="single" w:sz="4" w:space="0" w:color="000000"/>
              <w:bottom w:val="single" w:sz="4" w:space="0" w:color="000000"/>
            </w:tcBorders>
          </w:tcPr>
          <w:p w:rsidR="0085595B" w:rsidRDefault="0085595B" w:rsidP="00805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5595B" w:rsidRDefault="0085595B" w:rsidP="00805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(Coeficiente)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595B" w:rsidRPr="00A448A6" w:rsidRDefault="0085595B" w:rsidP="00805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595B" w:rsidRPr="00A448A6" w:rsidRDefault="0085595B" w:rsidP="00805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P-valor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Intercepto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6740   </w:t>
            </w:r>
          </w:p>
        </w:tc>
        <w:tc>
          <w:tcPr>
            <w:tcW w:w="50" w:type="dxa"/>
            <w:tcBorders>
              <w:top w:val="single" w:sz="4" w:space="0" w:color="000000"/>
            </w:tcBorders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07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1e-14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0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 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2997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4034   </w:t>
            </w:r>
          </w:p>
        </w:tc>
        <w:tc>
          <w:tcPr>
            <w:tcW w:w="50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 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0048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Ph.ecog</w:t>
            </w:r>
            <w:proofErr w:type="spellEnd"/>
            <w:proofErr w:type="gramEnd"/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0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5612    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8e-05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Ph.karno</w:t>
            </w:r>
            <w:proofErr w:type="spellEnd"/>
            <w:proofErr w:type="gramEnd"/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0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9852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 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0495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Meal.cal</w:t>
            </w:r>
            <w:proofErr w:type="spellEnd"/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000048   </w:t>
            </w:r>
          </w:p>
        </w:tc>
        <w:tc>
          <w:tcPr>
            <w:tcW w:w="50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0000    </w:t>
            </w:r>
          </w:p>
        </w:tc>
        <w:tc>
          <w:tcPr>
            <w:tcW w:w="90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 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7915</w:t>
            </w:r>
          </w:p>
        </w:tc>
      </w:tr>
      <w:tr w:rsidR="0085595B" w:rsidRPr="00A448A6" w:rsidTr="0085595B">
        <w:trPr>
          <w:trHeight w:val="30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Default="0085595B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Wt.loss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F80EF4" w:rsidRDefault="0085595B" w:rsidP="00745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00752   </w:t>
            </w:r>
          </w:p>
        </w:tc>
        <w:tc>
          <w:tcPr>
            <w:tcW w:w="50" w:type="dxa"/>
            <w:tcBorders>
              <w:bottom w:val="single" w:sz="4" w:space="0" w:color="000000"/>
            </w:tcBorders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0075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595B" w:rsidRPr="00A448A6" w:rsidRDefault="0085595B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80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1596</w:t>
            </w:r>
          </w:p>
        </w:tc>
      </w:tr>
    </w:tbl>
    <w:p w:rsidR="00027598" w:rsidRDefault="00027598" w:rsidP="0002759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Fonte</w:t>
      </w:r>
      <w:r w:rsidRPr="00A448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Construído pelo autor, 2023.</w:t>
      </w:r>
    </w:p>
    <w:p w:rsidR="00CD30F5" w:rsidRDefault="00BA1BDA" w:rsidP="00BA1B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ajuste do modelo permite a interpretação das covariáveis em nível amostral, porém, para termos interpretações populacionais devemos manter os coeficientes aprovados no teste de significância. Por consequência, utilizamos o método </w:t>
      </w:r>
      <w:proofErr w:type="spellStart"/>
      <w:r w:rsidRPr="00BA1B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stepwise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qual é amplamente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abordado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modelagem de regressão múltipla, para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combinarmos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todos os modelos possíveis sob a conceitualização de significância dos parâmetros estimados. </w:t>
      </w:r>
      <w:r w:rsidR="00595F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síntese, o método retornou como resultado a formação de um modelo utilizando apenas as variáveis sexo e qualidade em cuidado próprio, evidenciando que a covariável qualidade em realizar tarefas no cotidiano é apenas significativa quando inserida em uma estimação conjunta com todas as outras. </w:t>
      </w:r>
    </w:p>
    <w:p w:rsidR="00595F25" w:rsidRPr="00D60DD4" w:rsidRDefault="00595F25" w:rsidP="00BA1B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partir da </w:t>
      </w:r>
      <w:r w:rsidRPr="006D5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3</w:t>
      </w:r>
      <w:r w:rsidR="00D60D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podemos interpretar os resultados e influências das covariáveis no tempo de contração do câncer de pulmão. Pelo valor exponencial do coeficiente estimado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D60D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assumindo a propriedade de riscos proporcionais,</w:t>
      </w:r>
      <w:r w:rsidR="00D60D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podemos 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inferir que o grupo feminino manifesta 49% mais chance de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morrer pelo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câncer de pulmão em relação ao grupo masculino.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Ademais,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cada um acréscimo na 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pontuação da 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qualidade de cuidado próprio, reduzimos em 30% a chance de</w:t>
      </w:r>
      <w:r w:rsidR="00642E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óbito em relação à doença</w:t>
      </w:r>
      <w:r w:rsidR="0080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Portanto, a regressão de Cox mostra que o pertencimento ao sexo feminino e o descaso em ter hábitos saudáveis e boa alimentação são fatores de risco para a contração do câncer de pulmão.</w:t>
      </w:r>
    </w:p>
    <w:p w:rsidR="0085595B" w:rsidRPr="0085595B" w:rsidRDefault="0085595B" w:rsidP="0085595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</w:pP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Tabela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3</w:t>
      </w: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Resultado da estimação </w:t>
      </w:r>
      <w:proofErr w:type="spellStart"/>
      <w:r w:rsidRPr="0085595B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pt-BR"/>
        </w:rPr>
        <w:t>stepwise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 xml:space="preserve"> para o coeficiente, coeficiente na escala exponencial, estatística de teste (Z) e p-valor, por variável explicativa</w:t>
      </w:r>
      <w:r w:rsidRPr="00A448A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  <w:t>.</w:t>
      </w:r>
      <w:r w:rsidRPr="00A448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247"/>
        <w:gridCol w:w="50"/>
        <w:gridCol w:w="1843"/>
        <w:gridCol w:w="1503"/>
        <w:gridCol w:w="1002"/>
      </w:tblGrid>
      <w:tr w:rsidR="00382E64" w:rsidRPr="00A448A6" w:rsidTr="0074541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Variável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Coeficiente</w:t>
            </w:r>
          </w:p>
        </w:tc>
        <w:tc>
          <w:tcPr>
            <w:tcW w:w="50" w:type="dxa"/>
            <w:tcBorders>
              <w:top w:val="single" w:sz="4" w:space="0" w:color="000000"/>
              <w:bottom w:val="single" w:sz="4" w:space="0" w:color="000000"/>
            </w:tcBorders>
          </w:tcPr>
          <w:p w:rsidR="00382E64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82E64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(Coeficiente)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 (Z &lt; z)</w:t>
            </w:r>
          </w:p>
        </w:tc>
      </w:tr>
      <w:tr w:rsidR="00382E64" w:rsidRPr="00A448A6" w:rsidTr="0074541D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Intercepto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8196</w:t>
            </w:r>
          </w:p>
        </w:tc>
        <w:tc>
          <w:tcPr>
            <w:tcW w:w="50" w:type="dxa"/>
            <w:tcBorders>
              <w:top w:val="single" w:sz="4" w:space="0" w:color="000000"/>
            </w:tcBorders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82E64" w:rsidRPr="00A448A6" w:rsidRDefault="00027598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336,8342</w:t>
            </w:r>
          </w:p>
        </w:tc>
        <w:tc>
          <w:tcPr>
            <w:tcW w:w="150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2e-16</w:t>
            </w:r>
          </w:p>
        </w:tc>
      </w:tr>
      <w:tr w:rsidR="00382E64" w:rsidRPr="00A448A6" w:rsidTr="00382E64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BA1BDA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4014     </w:t>
            </w:r>
          </w:p>
        </w:tc>
        <w:tc>
          <w:tcPr>
            <w:tcW w:w="50" w:type="dxa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382E64" w:rsidRPr="00A448A6" w:rsidRDefault="00027598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1,4939</w:t>
            </w:r>
          </w:p>
        </w:tc>
        <w:tc>
          <w:tcPr>
            <w:tcW w:w="1503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 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0012</w:t>
            </w:r>
          </w:p>
        </w:tc>
      </w:tr>
      <w:tr w:rsidR="00382E64" w:rsidRPr="00A448A6" w:rsidTr="00382E64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BA1BDA" w:rsidP="0074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Ph.ecog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3557     </w:t>
            </w:r>
          </w:p>
        </w:tc>
        <w:tc>
          <w:tcPr>
            <w:tcW w:w="50" w:type="dxa"/>
            <w:tcBorders>
              <w:bottom w:val="single" w:sz="4" w:space="0" w:color="auto"/>
            </w:tcBorders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2E64" w:rsidRPr="00A448A6" w:rsidRDefault="00027598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0,7007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2E64" w:rsidRPr="00A448A6" w:rsidRDefault="00382E64" w:rsidP="0074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82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7e-05</w:t>
            </w:r>
          </w:p>
        </w:tc>
      </w:tr>
    </w:tbl>
    <w:p w:rsidR="00805BF7" w:rsidRDefault="00027598" w:rsidP="00642E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4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Fonte</w:t>
      </w:r>
      <w:r w:rsidRPr="00A448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Construído pelo autor, 2023.</w:t>
      </w:r>
    </w:p>
    <w:p w:rsidR="00642EC9" w:rsidRPr="00642EC9" w:rsidRDefault="00642EC9" w:rsidP="00642E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4C78" w:rsidRDefault="00A04C78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:rsidR="00EC5E99" w:rsidRPr="00F61BF9" w:rsidRDefault="00D0438B" w:rsidP="009B74CF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38B">
        <w:rPr>
          <w:rFonts w:ascii="Times New Roman" w:hAnsi="Times New Roman" w:cs="Times New Roman"/>
          <w:bCs/>
          <w:sz w:val="24"/>
          <w:szCs w:val="24"/>
        </w:rPr>
        <w:t xml:space="preserve">Neste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presente </w:t>
      </w:r>
      <w:r w:rsidRPr="00D0438B">
        <w:rPr>
          <w:rFonts w:ascii="Times New Roman" w:hAnsi="Times New Roman" w:cs="Times New Roman"/>
          <w:bCs/>
          <w:sz w:val="24"/>
          <w:szCs w:val="24"/>
        </w:rPr>
        <w:t>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foram abordados modelos de sobrevivência não-paramétricos, paramétricos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semiparamétricos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 o </w:t>
      </w:r>
      <w:r w:rsidR="00642EC9">
        <w:rPr>
          <w:rFonts w:ascii="Times New Roman" w:hAnsi="Times New Roman" w:cs="Times New Roman"/>
          <w:bCs/>
          <w:sz w:val="24"/>
          <w:szCs w:val="24"/>
        </w:rPr>
        <w:t>prog</w:t>
      </w:r>
      <w:r>
        <w:rPr>
          <w:rFonts w:ascii="Times New Roman" w:hAnsi="Times New Roman" w:cs="Times New Roman"/>
          <w:bCs/>
          <w:sz w:val="24"/>
          <w:szCs w:val="24"/>
        </w:rPr>
        <w:t xml:space="preserve">nóstico do tempo de </w:t>
      </w:r>
      <w:r w:rsidR="00642EC9">
        <w:rPr>
          <w:rFonts w:ascii="Times New Roman" w:hAnsi="Times New Roman" w:cs="Times New Roman"/>
          <w:bCs/>
          <w:sz w:val="24"/>
          <w:szCs w:val="24"/>
        </w:rPr>
        <w:t>sobrevivência após a contração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câncer de pulmão. Pelo estimador de Kaplan e Meier, verificamos que dentro </w:t>
      </w:r>
      <w:r w:rsidRPr="00D0438B">
        <w:rPr>
          <w:rFonts w:ascii="Times New Roman" w:hAnsi="Times New Roman" w:cs="Times New Roman"/>
          <w:bCs/>
          <w:sz w:val="24"/>
          <w:szCs w:val="24"/>
        </w:rPr>
        <w:t>da coorte do estudo, o tempo mediano para a contração da doença foi de aproximadamente 280 dias, como também os percentis 25 e 75 foram perto 200 e 600 dias, nesta respectiva ordem. Dentre</w:t>
      </w:r>
      <w:r>
        <w:rPr>
          <w:rFonts w:ascii="Times New Roman" w:hAnsi="Times New Roman" w:cs="Times New Roman"/>
          <w:bCs/>
          <w:sz w:val="24"/>
          <w:szCs w:val="24"/>
        </w:rPr>
        <w:t xml:space="preserve"> as seis propostas potencias para explicar a curva elaborada pelo método descritivo de Kaplan e Meier, o</w:t>
      </w:r>
      <w:r w:rsidRPr="00D0438B">
        <w:rPr>
          <w:rFonts w:ascii="Times New Roman" w:hAnsi="Times New Roman" w:cs="Times New Roman"/>
          <w:bCs/>
          <w:sz w:val="24"/>
          <w:szCs w:val="24"/>
        </w:rPr>
        <w:t xml:space="preserve"> modelo </w:t>
      </w:r>
      <w:proofErr w:type="spellStart"/>
      <w:r w:rsidRPr="00D0438B">
        <w:rPr>
          <w:rFonts w:ascii="Times New Roman" w:hAnsi="Times New Roman" w:cs="Times New Roman"/>
          <w:bCs/>
          <w:sz w:val="24"/>
          <w:szCs w:val="24"/>
        </w:rPr>
        <w:t>Weibull</w:t>
      </w:r>
      <w:proofErr w:type="spellEnd"/>
      <w:r w:rsidRPr="00D0438B">
        <w:rPr>
          <w:rFonts w:ascii="Times New Roman" w:hAnsi="Times New Roman" w:cs="Times New Roman"/>
          <w:bCs/>
          <w:sz w:val="24"/>
          <w:szCs w:val="24"/>
        </w:rPr>
        <w:t xml:space="preserve"> foi o que melhor adequou-se aos dados segundo os critérios AIC, BIC e HC e, além disso, pelo princípio da parcimônia, devemos adotar o mesmo pela metodologia de um processo menos oneroso.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avaliar o efeito de covariáveis sobre o potencial de risco instantâneo da contração do câncer de pulmão, a metodologia </w:t>
      </w:r>
      <w:proofErr w:type="spellStart"/>
      <w:r w:rsidR="00EC5E99" w:rsidRPr="00D0438B">
        <w:rPr>
          <w:rFonts w:ascii="Times New Roman" w:hAnsi="Times New Roman" w:cs="Times New Roman"/>
          <w:bCs/>
          <w:i/>
          <w:iCs/>
          <w:sz w:val="24"/>
          <w:szCs w:val="24"/>
        </w:rPr>
        <w:t>stepwise</w:t>
      </w:r>
      <w:proofErr w:type="spellEnd"/>
      <w:r w:rsidR="00EC5E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C5E99">
        <w:rPr>
          <w:rFonts w:ascii="Times New Roman" w:hAnsi="Times New Roman" w:cs="Times New Roman"/>
          <w:bCs/>
          <w:sz w:val="24"/>
          <w:szCs w:val="24"/>
        </w:rPr>
        <w:t>retornou</w:t>
      </w:r>
      <w:r>
        <w:rPr>
          <w:rFonts w:ascii="Times New Roman" w:hAnsi="Times New Roman" w:cs="Times New Roman"/>
          <w:bCs/>
          <w:sz w:val="24"/>
          <w:szCs w:val="24"/>
        </w:rPr>
        <w:t xml:space="preserve"> como resultado a </w:t>
      </w:r>
      <w:r w:rsidR="00F61BF9">
        <w:rPr>
          <w:rFonts w:ascii="Times New Roman" w:hAnsi="Times New Roman" w:cs="Times New Roman"/>
          <w:bCs/>
          <w:sz w:val="24"/>
          <w:szCs w:val="24"/>
        </w:rPr>
        <w:t>importância</w:t>
      </w:r>
      <w:r>
        <w:rPr>
          <w:rFonts w:ascii="Times New Roman" w:hAnsi="Times New Roman" w:cs="Times New Roman"/>
          <w:bCs/>
          <w:sz w:val="24"/>
          <w:szCs w:val="24"/>
        </w:rPr>
        <w:t xml:space="preserve"> e significância das covariáveis </w:t>
      </w:r>
      <w:r w:rsidR="00F61BF9">
        <w:rPr>
          <w:rFonts w:ascii="Times New Roman" w:hAnsi="Times New Roman" w:cs="Times New Roman"/>
          <w:bCs/>
          <w:sz w:val="24"/>
          <w:szCs w:val="24"/>
        </w:rPr>
        <w:t xml:space="preserve">sexo e qualidade no cuidado próprio como bases para explicar o risco de desenvolvimento deste malefício. </w:t>
      </w:r>
    </w:p>
    <w:p w:rsidR="0055665A" w:rsidRPr="00081561" w:rsidRDefault="0055665A" w:rsidP="00A04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561">
        <w:rPr>
          <w:rFonts w:ascii="Times New Roman" w:hAnsi="Times New Roman" w:cs="Times New Roman"/>
          <w:b/>
          <w:sz w:val="24"/>
          <w:szCs w:val="24"/>
          <w:lang w:val="en-US"/>
        </w:rPr>
        <w:t>REFERÊNCIAS</w:t>
      </w:r>
    </w:p>
    <w:p w:rsidR="0069103A" w:rsidRPr="00081561" w:rsidRDefault="0069103A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AKAIKE, H. Likelihood of a model and information criteria. </w:t>
      </w:r>
      <w:r w:rsidRPr="00081561">
        <w:rPr>
          <w:rFonts w:ascii="Times New Roman" w:hAnsi="Times New Roman" w:cs="Times New Roman"/>
          <w:b/>
          <w:sz w:val="24"/>
          <w:szCs w:val="24"/>
          <w:lang w:val="en-US"/>
        </w:rPr>
        <w:t>Journal of Econometrics</w:t>
      </w: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, v. 16, n. 1, p. 3–14, 1984.</w:t>
      </w:r>
    </w:p>
    <w:p w:rsidR="00B63450" w:rsidRPr="00081561" w:rsidRDefault="0069103A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9103A">
        <w:rPr>
          <w:rFonts w:ascii="Times New Roman" w:hAnsi="Times New Roman" w:cs="Times New Roman"/>
          <w:bCs/>
          <w:sz w:val="24"/>
          <w:szCs w:val="24"/>
        </w:rPr>
        <w:t>APPOLIN</w:t>
      </w:r>
      <w:r>
        <w:rPr>
          <w:rFonts w:ascii="Times New Roman" w:hAnsi="Times New Roman" w:cs="Times New Roman"/>
          <w:bCs/>
          <w:sz w:val="24"/>
          <w:szCs w:val="24"/>
        </w:rPr>
        <w:t>Á</w:t>
      </w:r>
      <w:r w:rsidRPr="0069103A">
        <w:rPr>
          <w:rFonts w:ascii="Times New Roman" w:hAnsi="Times New Roman" w:cs="Times New Roman"/>
          <w:bCs/>
          <w:sz w:val="24"/>
          <w:szCs w:val="24"/>
        </w:rPr>
        <w:t xml:space="preserve">RIO, F. </w:t>
      </w:r>
      <w:r w:rsidRPr="0069103A">
        <w:rPr>
          <w:rFonts w:ascii="Times New Roman" w:hAnsi="Times New Roman" w:cs="Times New Roman"/>
          <w:b/>
          <w:sz w:val="24"/>
          <w:szCs w:val="24"/>
        </w:rPr>
        <w:t>Dicionário de metodologia científica</w:t>
      </w:r>
      <w:r w:rsidRPr="0069103A">
        <w:rPr>
          <w:rFonts w:ascii="Times New Roman" w:hAnsi="Times New Roman" w:cs="Times New Roman"/>
          <w:bCs/>
          <w:sz w:val="24"/>
          <w:szCs w:val="24"/>
        </w:rPr>
        <w:t>: um guia para a produ</w:t>
      </w:r>
      <w:r>
        <w:rPr>
          <w:rFonts w:ascii="Times New Roman" w:hAnsi="Times New Roman" w:cs="Times New Roman"/>
          <w:bCs/>
          <w:sz w:val="24"/>
          <w:szCs w:val="24"/>
        </w:rPr>
        <w:t>ção</w:t>
      </w:r>
      <w:r w:rsidRPr="0069103A">
        <w:rPr>
          <w:rFonts w:ascii="Times New Roman" w:hAnsi="Times New Roman" w:cs="Times New Roman"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103A">
        <w:rPr>
          <w:rFonts w:ascii="Times New Roman" w:hAnsi="Times New Roman" w:cs="Times New Roman"/>
          <w:bCs/>
          <w:sz w:val="24"/>
          <w:szCs w:val="24"/>
        </w:rPr>
        <w:t>conhecimento cient</w:t>
      </w:r>
      <w:r>
        <w:rPr>
          <w:rFonts w:ascii="Times New Roman" w:hAnsi="Times New Roman" w:cs="Times New Roman"/>
          <w:bCs/>
          <w:sz w:val="24"/>
          <w:szCs w:val="24"/>
        </w:rPr>
        <w:t>í</w:t>
      </w:r>
      <w:r w:rsidRPr="0069103A">
        <w:rPr>
          <w:rFonts w:ascii="Times New Roman" w:hAnsi="Times New Roman" w:cs="Times New Roman"/>
          <w:bCs/>
          <w:sz w:val="24"/>
          <w:szCs w:val="24"/>
        </w:rPr>
        <w:t xml:space="preserve">fico. </w:t>
      </w: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São Paulo: Atlas, 2007.</w:t>
      </w:r>
    </w:p>
    <w:p w:rsidR="00AF55CF" w:rsidRPr="00081561" w:rsidRDefault="00AF55CF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BOGAERTS, K.; KOM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Á</w:t>
      </w: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REK, A.; LESAFFRE, E. </w:t>
      </w:r>
      <w:r w:rsidRPr="00AF55CF">
        <w:rPr>
          <w:rFonts w:ascii="Times New Roman" w:hAnsi="Times New Roman" w:cs="Times New Roman"/>
          <w:b/>
          <w:sz w:val="24"/>
          <w:szCs w:val="24"/>
          <w:lang w:val="en-US"/>
        </w:rPr>
        <w:t>Survival analysis with interval-censored data: A practical approach with examples in R, SAS, and BUGS</w:t>
      </w: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81561">
        <w:rPr>
          <w:rFonts w:ascii="Times New Roman" w:hAnsi="Times New Roman" w:cs="Times New Roman"/>
          <w:bCs/>
          <w:sz w:val="24"/>
          <w:szCs w:val="24"/>
        </w:rPr>
        <w:t xml:space="preserve">Boca Raton: Chapman </w:t>
      </w:r>
      <w:proofErr w:type="spellStart"/>
      <w:r w:rsidRPr="0008156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081561">
        <w:rPr>
          <w:rFonts w:ascii="Times New Roman" w:hAnsi="Times New Roman" w:cs="Times New Roman"/>
          <w:bCs/>
          <w:sz w:val="24"/>
          <w:szCs w:val="24"/>
        </w:rPr>
        <w:t xml:space="preserve"> Hall/CRC, 2017.</w:t>
      </w:r>
    </w:p>
    <w:p w:rsidR="00AF55CF" w:rsidRDefault="00AF55CF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55CF">
        <w:rPr>
          <w:rFonts w:ascii="Times New Roman" w:hAnsi="Times New Roman" w:cs="Times New Roman"/>
          <w:bCs/>
          <w:sz w:val="24"/>
          <w:szCs w:val="24"/>
        </w:rPr>
        <w:t>COLOSIMO, E. A.; GIOLO, S. R. </w:t>
      </w:r>
      <w:r w:rsidRPr="00AF55CF">
        <w:rPr>
          <w:rFonts w:ascii="Times New Roman" w:hAnsi="Times New Roman" w:cs="Times New Roman"/>
          <w:b/>
          <w:sz w:val="24"/>
          <w:szCs w:val="24"/>
        </w:rPr>
        <w:t>Análise de sobrevivência aplicada</w:t>
      </w:r>
      <w:r w:rsidRPr="00AF55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São Paulo: </w:t>
      </w:r>
      <w:proofErr w:type="spellStart"/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Editora</w:t>
      </w:r>
      <w:proofErr w:type="spellEnd"/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Blücher</w:t>
      </w:r>
      <w:proofErr w:type="spellEnd"/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, 2006.</w:t>
      </w:r>
    </w:p>
    <w:p w:rsidR="0069103A" w:rsidRPr="00081561" w:rsidRDefault="0069103A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COX, D. R. Regression models and life-tables. </w:t>
      </w:r>
      <w:r w:rsidRPr="00081561">
        <w:rPr>
          <w:rFonts w:ascii="Times New Roman" w:hAnsi="Times New Roman" w:cs="Times New Roman"/>
          <w:b/>
          <w:sz w:val="24"/>
          <w:szCs w:val="24"/>
          <w:lang w:val="en-US"/>
        </w:rPr>
        <w:t>Journal of the Royal Statistical Society:</w:t>
      </w:r>
      <w:r w:rsidRPr="00081561">
        <w:rPr>
          <w:rFonts w:ascii="Times New Roman" w:hAnsi="Times New Roman" w:cs="Times New Roman"/>
          <w:b/>
          <w:sz w:val="24"/>
          <w:szCs w:val="24"/>
          <w:lang w:val="en-US"/>
        </w:rPr>
        <w:br/>
        <w:t>Series B (Methodological),</w:t>
      </w: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 34, n. 2, p. 187–202, 1972</w:t>
      </w:r>
    </w:p>
    <w:p w:rsidR="0069103A" w:rsidRPr="0069103A" w:rsidRDefault="0069103A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03A">
        <w:rPr>
          <w:rFonts w:ascii="Times New Roman" w:hAnsi="Times New Roman" w:cs="Times New Roman"/>
          <w:bCs/>
          <w:sz w:val="24"/>
          <w:szCs w:val="24"/>
        </w:rPr>
        <w:t xml:space="preserve">GIL, A. C. </w:t>
      </w:r>
      <w:r w:rsidRPr="0069103A">
        <w:rPr>
          <w:rFonts w:ascii="Times New Roman" w:hAnsi="Times New Roman" w:cs="Times New Roman"/>
          <w:b/>
          <w:sz w:val="24"/>
          <w:szCs w:val="24"/>
        </w:rPr>
        <w:t>Metodologia da pesquisa</w:t>
      </w:r>
      <w:r w:rsidRPr="0069103A">
        <w:rPr>
          <w:rFonts w:ascii="Times New Roman" w:hAnsi="Times New Roman" w:cs="Times New Roman"/>
          <w:bCs/>
          <w:sz w:val="24"/>
          <w:szCs w:val="24"/>
        </w:rPr>
        <w:t>. S</w:t>
      </w:r>
      <w:r>
        <w:rPr>
          <w:rFonts w:ascii="Times New Roman" w:hAnsi="Times New Roman" w:cs="Times New Roman"/>
          <w:bCs/>
          <w:sz w:val="24"/>
          <w:szCs w:val="24"/>
        </w:rPr>
        <w:t>ã</w:t>
      </w:r>
      <w:r w:rsidRPr="0069103A">
        <w:rPr>
          <w:rFonts w:ascii="Times New Roman" w:hAnsi="Times New Roman" w:cs="Times New Roman"/>
          <w:bCs/>
          <w:sz w:val="24"/>
          <w:szCs w:val="24"/>
        </w:rPr>
        <w:t>o Paulo: Atlas, 2002.</w:t>
      </w:r>
    </w:p>
    <w:p w:rsidR="0069103A" w:rsidRPr="00081561" w:rsidRDefault="0069103A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9103A">
        <w:rPr>
          <w:rFonts w:ascii="Times New Roman" w:hAnsi="Times New Roman" w:cs="Times New Roman"/>
          <w:bCs/>
          <w:sz w:val="24"/>
          <w:szCs w:val="24"/>
        </w:rPr>
        <w:t xml:space="preserve">GONSALVES, E. P. </w:t>
      </w:r>
      <w:r w:rsidRPr="0069103A">
        <w:rPr>
          <w:rFonts w:ascii="Times New Roman" w:hAnsi="Times New Roman" w:cs="Times New Roman"/>
          <w:b/>
          <w:sz w:val="24"/>
          <w:szCs w:val="24"/>
        </w:rPr>
        <w:t>Iniciação à pesquisa científica</w:t>
      </w:r>
      <w:r w:rsidRPr="006910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ed. Campinas: </w:t>
      </w:r>
      <w:proofErr w:type="spellStart"/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Alínea</w:t>
      </w:r>
      <w:proofErr w:type="spellEnd"/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2003. </w:t>
      </w:r>
    </w:p>
    <w:p w:rsidR="00C34D41" w:rsidRPr="00081561" w:rsidRDefault="00C34D41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HANNAN, E. J.; QUINN, B. G. The determination of the order of an autoregression. </w:t>
      </w:r>
      <w:r w:rsidRPr="00081561">
        <w:rPr>
          <w:rFonts w:ascii="Times New Roman" w:hAnsi="Times New Roman" w:cs="Times New Roman"/>
          <w:b/>
          <w:sz w:val="24"/>
          <w:szCs w:val="24"/>
          <w:lang w:val="en-US"/>
        </w:rPr>
        <w:t>Journal of the Royal Statistical Society: Series B (Methodological)</w:t>
      </w: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, v. 41, n. 2, p. 190-195, 1979.</w:t>
      </w:r>
    </w:p>
    <w:p w:rsidR="0069103A" w:rsidRPr="00081561" w:rsidRDefault="0069103A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KAPLAN, E. L.; MEIER, P. Nonparametric estimation from incomplete observations. </w:t>
      </w:r>
      <w:r w:rsidRPr="00081561">
        <w:rPr>
          <w:rFonts w:ascii="Times New Roman" w:hAnsi="Times New Roman" w:cs="Times New Roman"/>
          <w:b/>
          <w:sz w:val="24"/>
          <w:szCs w:val="24"/>
          <w:lang w:val="en-US"/>
        </w:rPr>
        <w:t>Journal of the American statistical association</w:t>
      </w:r>
      <w:r w:rsidRPr="00081561">
        <w:rPr>
          <w:rFonts w:ascii="Times New Roman" w:hAnsi="Times New Roman" w:cs="Times New Roman"/>
          <w:bCs/>
          <w:sz w:val="24"/>
          <w:szCs w:val="24"/>
          <w:lang w:val="en-US"/>
        </w:rPr>
        <w:t>, v. 53, n. 282, p. 457-481, 1958.</w:t>
      </w:r>
    </w:p>
    <w:p w:rsidR="0069103A" w:rsidRDefault="0069103A" w:rsidP="00C34D41">
      <w:pPr>
        <w:pStyle w:val="NormalWeb"/>
        <w:spacing w:before="0" w:beforeAutospacing="0" w:after="0" w:afterAutospacing="0" w:line="276" w:lineRule="auto"/>
        <w:ind w:left="-2" w:hanging="2"/>
        <w:jc w:val="both"/>
        <w:rPr>
          <w:color w:val="000000"/>
          <w:lang w:val="en-US"/>
        </w:rPr>
      </w:pPr>
      <w:r w:rsidRPr="0069103A">
        <w:rPr>
          <w:color w:val="000000"/>
          <w:lang w:val="en-US"/>
        </w:rPr>
        <w:t xml:space="preserve">LOPRINZI, C. L.; LAURIE, H. S.; WIEAND, H. S.; KROOK, J. E.; NOVOTNY, P. J.; BARTEL, J. W. K.; LAW, M.; BATEMAN, M.; KLATT, N. E. Prospective evaluation of </w:t>
      </w:r>
      <w:r w:rsidRPr="0069103A">
        <w:rPr>
          <w:color w:val="000000"/>
          <w:lang w:val="en-US"/>
        </w:rPr>
        <w:lastRenderedPageBreak/>
        <w:t>prognostic variables from patient-completed questionnaires. North Central Cancer Treatment Group. </w:t>
      </w:r>
      <w:r w:rsidRPr="0069103A">
        <w:rPr>
          <w:b/>
          <w:bCs/>
          <w:color w:val="000000"/>
          <w:lang w:val="en-US"/>
        </w:rPr>
        <w:t>Journal of Clinical Oncology</w:t>
      </w:r>
      <w:r w:rsidRPr="0069103A">
        <w:rPr>
          <w:color w:val="000000"/>
          <w:lang w:val="en-US"/>
        </w:rPr>
        <w:t>, v. 12, n. 3, p. 601-607, 1994.</w:t>
      </w:r>
    </w:p>
    <w:p w:rsidR="0069103A" w:rsidRPr="0069103A" w:rsidRDefault="0069103A" w:rsidP="00C34D41">
      <w:pPr>
        <w:pStyle w:val="NormalWeb"/>
        <w:spacing w:before="0" w:beforeAutospacing="0" w:after="0" w:afterAutospacing="0" w:line="276" w:lineRule="auto"/>
        <w:ind w:left="-2" w:hanging="2"/>
        <w:jc w:val="both"/>
        <w:rPr>
          <w:lang w:val="en-US"/>
        </w:rPr>
      </w:pPr>
    </w:p>
    <w:p w:rsidR="00AF55CF" w:rsidRDefault="00AF55CF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MORABIA, A. Epidemiology’s 350th Anniversary: 1662–2012. </w:t>
      </w:r>
      <w:r w:rsidRPr="00AF55CF">
        <w:rPr>
          <w:rFonts w:ascii="Times New Roman" w:hAnsi="Times New Roman" w:cs="Times New Roman"/>
          <w:b/>
          <w:sz w:val="24"/>
          <w:szCs w:val="24"/>
          <w:lang w:val="en-US"/>
        </w:rPr>
        <w:t>Epidemiology (Cambridge, Mass.)</w:t>
      </w: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, v. 24, n. 2, p. 179, 2013.</w:t>
      </w:r>
    </w:p>
    <w:p w:rsidR="00C34D41" w:rsidRDefault="00C34D41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4D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SCHWARZ, G. Estimating the dimension of a model. </w:t>
      </w:r>
      <w:r w:rsidRPr="00C34D41">
        <w:rPr>
          <w:rFonts w:ascii="Times New Roman" w:hAnsi="Times New Roman" w:cs="Times New Roman"/>
          <w:b/>
          <w:sz w:val="24"/>
          <w:szCs w:val="24"/>
          <w:lang w:val="en-US"/>
        </w:rPr>
        <w:t>The annals of statistics</w:t>
      </w:r>
      <w:r w:rsidRPr="00C34D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v. 6, n. 2, </w:t>
      </w:r>
      <w:r w:rsidRPr="00C34D41">
        <w:rPr>
          <w:rFonts w:ascii="Times New Roman" w:hAnsi="Times New Roman" w:cs="Times New Roman"/>
          <w:bCs/>
          <w:sz w:val="24"/>
          <w:szCs w:val="24"/>
          <w:lang w:val="en-US"/>
        </w:rPr>
        <w:t>p. 461-464, 1978.</w:t>
      </w:r>
    </w:p>
    <w:p w:rsidR="00E77B4E" w:rsidRPr="00C34D41" w:rsidRDefault="00AF55CF" w:rsidP="00C34D4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SUN, J. </w:t>
      </w:r>
      <w:r w:rsidRPr="00AF55CF">
        <w:rPr>
          <w:rFonts w:ascii="Times New Roman" w:hAnsi="Times New Roman" w:cs="Times New Roman"/>
          <w:b/>
          <w:sz w:val="24"/>
          <w:szCs w:val="24"/>
          <w:lang w:val="en-US"/>
        </w:rPr>
        <w:t>The Statistical Analysis of Interval-censored Failure Time Data</w:t>
      </w:r>
      <w:r w:rsidRPr="00AF55CF">
        <w:rPr>
          <w:rFonts w:ascii="Times New Roman" w:hAnsi="Times New Roman" w:cs="Times New Roman"/>
          <w:bCs/>
          <w:sz w:val="24"/>
          <w:szCs w:val="24"/>
          <w:lang w:val="en-US"/>
        </w:rPr>
        <w:t>. New York: Springer, 2006.</w:t>
      </w:r>
    </w:p>
    <w:sectPr w:rsidR="00E77B4E" w:rsidRPr="00C34D41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4450" w:rsidRDefault="002F4450" w:rsidP="000821FD">
      <w:pPr>
        <w:spacing w:after="0" w:line="240" w:lineRule="auto"/>
      </w:pPr>
      <w:r>
        <w:separator/>
      </w:r>
    </w:p>
  </w:endnote>
  <w:endnote w:type="continuationSeparator" w:id="0">
    <w:p w:rsidR="002F4450" w:rsidRDefault="002F4450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4450" w:rsidRDefault="002F4450" w:rsidP="000821FD">
      <w:pPr>
        <w:spacing w:after="0" w:line="240" w:lineRule="auto"/>
      </w:pPr>
      <w:r>
        <w:separator/>
      </w:r>
    </w:p>
  </w:footnote>
  <w:footnote w:type="continuationSeparator" w:id="0">
    <w:p w:rsidR="002F4450" w:rsidRDefault="002F4450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1FD" w:rsidRDefault="000821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DBB"/>
    <w:multiLevelType w:val="multilevel"/>
    <w:tmpl w:val="7B4A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85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070F"/>
    <w:rsid w:val="00003563"/>
    <w:rsid w:val="000069B7"/>
    <w:rsid w:val="00027598"/>
    <w:rsid w:val="00032AEA"/>
    <w:rsid w:val="0003758D"/>
    <w:rsid w:val="00081561"/>
    <w:rsid w:val="000821FD"/>
    <w:rsid w:val="00096D2D"/>
    <w:rsid w:val="000A578B"/>
    <w:rsid w:val="000E4C57"/>
    <w:rsid w:val="00150F7A"/>
    <w:rsid w:val="002831AB"/>
    <w:rsid w:val="00284F14"/>
    <w:rsid w:val="002979AA"/>
    <w:rsid w:val="002F4450"/>
    <w:rsid w:val="00334D94"/>
    <w:rsid w:val="00343536"/>
    <w:rsid w:val="00361C27"/>
    <w:rsid w:val="00382E64"/>
    <w:rsid w:val="00384DE5"/>
    <w:rsid w:val="003E3105"/>
    <w:rsid w:val="004310D6"/>
    <w:rsid w:val="004454C2"/>
    <w:rsid w:val="00482FF5"/>
    <w:rsid w:val="0049214A"/>
    <w:rsid w:val="004E689D"/>
    <w:rsid w:val="004F3E1C"/>
    <w:rsid w:val="004F55C7"/>
    <w:rsid w:val="0055665A"/>
    <w:rsid w:val="005623C3"/>
    <w:rsid w:val="00595F25"/>
    <w:rsid w:val="005E1E28"/>
    <w:rsid w:val="005F5371"/>
    <w:rsid w:val="00642EC9"/>
    <w:rsid w:val="0067031F"/>
    <w:rsid w:val="0069103A"/>
    <w:rsid w:val="006B7CB6"/>
    <w:rsid w:val="006C72FD"/>
    <w:rsid w:val="006D5DC3"/>
    <w:rsid w:val="0071098A"/>
    <w:rsid w:val="007334AB"/>
    <w:rsid w:val="007528F5"/>
    <w:rsid w:val="007C49F7"/>
    <w:rsid w:val="007D2BAF"/>
    <w:rsid w:val="007D735E"/>
    <w:rsid w:val="00805BF7"/>
    <w:rsid w:val="0085595B"/>
    <w:rsid w:val="008902C1"/>
    <w:rsid w:val="009059DC"/>
    <w:rsid w:val="009B74CF"/>
    <w:rsid w:val="009D1561"/>
    <w:rsid w:val="00A04C78"/>
    <w:rsid w:val="00A333FD"/>
    <w:rsid w:val="00A448A6"/>
    <w:rsid w:val="00AA1A08"/>
    <w:rsid w:val="00AA6C63"/>
    <w:rsid w:val="00AF55CF"/>
    <w:rsid w:val="00B63450"/>
    <w:rsid w:val="00B66070"/>
    <w:rsid w:val="00BA1BDA"/>
    <w:rsid w:val="00BE7BE1"/>
    <w:rsid w:val="00C22350"/>
    <w:rsid w:val="00C34D41"/>
    <w:rsid w:val="00C41742"/>
    <w:rsid w:val="00C71168"/>
    <w:rsid w:val="00CA5DAC"/>
    <w:rsid w:val="00CA6D34"/>
    <w:rsid w:val="00CB745F"/>
    <w:rsid w:val="00CD0FAA"/>
    <w:rsid w:val="00CD30F5"/>
    <w:rsid w:val="00D0438B"/>
    <w:rsid w:val="00D07501"/>
    <w:rsid w:val="00D136B2"/>
    <w:rsid w:val="00D52979"/>
    <w:rsid w:val="00D60DD4"/>
    <w:rsid w:val="00E078D9"/>
    <w:rsid w:val="00E70F8C"/>
    <w:rsid w:val="00E77B4E"/>
    <w:rsid w:val="00EC5E99"/>
    <w:rsid w:val="00EE37EA"/>
    <w:rsid w:val="00EE5074"/>
    <w:rsid w:val="00EE5C7F"/>
    <w:rsid w:val="00F14BD7"/>
    <w:rsid w:val="00F33232"/>
    <w:rsid w:val="00F61BF9"/>
    <w:rsid w:val="00F62577"/>
    <w:rsid w:val="00F64437"/>
    <w:rsid w:val="00F80EF4"/>
    <w:rsid w:val="00FF50B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1FEF2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4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A3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235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069B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A448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82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82E6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nd-iwgdh3b">
    <w:name w:val="gnd-iwgdh3b"/>
    <w:basedOn w:val="Fontepargpadro"/>
    <w:rsid w:val="003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2793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Dionisio Neto</cp:lastModifiedBy>
  <cp:revision>2</cp:revision>
  <dcterms:created xsi:type="dcterms:W3CDTF">2023-03-11T02:39:00Z</dcterms:created>
  <dcterms:modified xsi:type="dcterms:W3CDTF">2023-03-11T02:39:00Z</dcterms:modified>
</cp:coreProperties>
</file>