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hanging="2"/>
        <w:rPr>
          <w:rFonts w:ascii="Open Sans" w:cs="Open Sans" w:eastAsia="Open Sans" w:hAnsi="Open Sans"/>
          <w:b w:val="1"/>
        </w:rPr>
      </w:pPr>
      <w:bookmarkStart w:colFirst="0" w:colLast="0" w:name="_heading=h.p4pdf849lmgu" w:id="0"/>
      <w:bookmarkEnd w:id="0"/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tabs>
          <w:tab w:val="right" w:leader="none" w:pos="8307"/>
        </w:tabs>
        <w:spacing w:line="276" w:lineRule="auto"/>
        <w:ind w:left="2" w:hanging="4"/>
        <w:jc w:val="center"/>
        <w:rPr>
          <w:rFonts w:ascii="Open Sans" w:cs="Open Sans" w:eastAsia="Open Sans" w:hAnsi="Open Sans"/>
          <w:b w:val="1"/>
          <w:sz w:val="44"/>
          <w:szCs w:val="44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TÍTULO:  Instrução da comunidade do município de Araguaína sobre a importância do exame ultrassonográfico em cadela e gatas gestantes.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1" w:hanging="3"/>
        <w:jc w:val="right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1" w:hanging="3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Grasiella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 Firmino Ribeiro, Universidade Federal do Norte do Tocantins, </w:t>
      </w:r>
      <w:hyperlink r:id="rId7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sz w:val="28"/>
            <w:szCs w:val="28"/>
            <w:u w:val="single"/>
            <w:rtl w:val="0"/>
          </w:rPr>
          <w:t xml:space="preserve">grasiella.ribeiro@ufnt.edu.br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color w:val="1155cc"/>
          <w:sz w:val="28"/>
          <w:szCs w:val="28"/>
          <w:u w:val="single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Emanuely Carneiro Costa, Universidade Federal do Norte do Tocantins, </w:t>
      </w:r>
      <w:hyperlink r:id="rId8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sz w:val="28"/>
            <w:szCs w:val="28"/>
            <w:u w:val="single"/>
            <w:rtl w:val="0"/>
          </w:rPr>
          <w:t xml:space="preserve">emanuely.costa@ufnt.edu.br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Beatriz Gomes Santos, Universidade Federal do Norte do Tocantins, </w:t>
      </w:r>
      <w:hyperlink r:id="rId9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sz w:val="28"/>
            <w:szCs w:val="28"/>
            <w:u w:val="single"/>
            <w:rtl w:val="0"/>
          </w:rPr>
          <w:t xml:space="preserve">beatriz.gomes@ufnt.edu.br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 Priscilla Macedo de Souza, Universidade Federal do Norte do Tocantins, </w:t>
      </w:r>
      <w:r w:rsidDel="00000000" w:rsidR="00000000" w:rsidRPr="00000000">
        <w:rPr>
          <w:rFonts w:ascii="Open Sans" w:cs="Open Sans" w:eastAsia="Open Sans" w:hAnsi="Open Sans"/>
          <w:b w:val="1"/>
          <w:color w:val="1155cc"/>
          <w:sz w:val="28"/>
          <w:szCs w:val="28"/>
          <w:u w:val="single"/>
          <w:rtl w:val="0"/>
        </w:rPr>
        <w:t xml:space="preserve">priscilla.souza@ufnt.edu.br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80" w:before="0" w:lineRule="auto"/>
        <w:ind w:left="1" w:hanging="3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Resumo</w:t>
      </w:r>
    </w:p>
    <w:p w:rsidR="00000000" w:rsidDel="00000000" w:rsidP="00000000" w:rsidRDefault="00000000" w:rsidRPr="00000000" w14:paraId="00000007">
      <w:pPr>
        <w:spacing w:after="240" w:before="240" w:line="360" w:lineRule="auto"/>
        <w:ind w:firstLine="0"/>
        <w:rPr>
          <w:rFonts w:ascii="Open Sans" w:cs="Open Sans" w:eastAsia="Open Sans" w:hAnsi="Open Sans"/>
          <w:color w:val="1b1c1d"/>
        </w:rPr>
      </w:pPr>
      <w:r w:rsidDel="00000000" w:rsidR="00000000" w:rsidRPr="00000000">
        <w:rPr>
          <w:rFonts w:ascii="Open Sans" w:cs="Open Sans" w:eastAsia="Open Sans" w:hAnsi="Open Sans"/>
          <w:color w:val="1b1c1d"/>
          <w:rtl w:val="0"/>
        </w:rPr>
        <w:t xml:space="preserve">O presente relato descreve a experiência vivenciada no projeto de extensão universitária PIBEX-NORTE, intitulado "Instrução à comunidade do município de Araguaína sobre a importância do exame ultrassonográfico em cadelas e gatas gestantes", desenvolvido na Universidade Federal do Norte do Tocantins (UFNT) no período de agosto de 2024 a agosto de 2025. A iniciativa objetivou reduzir o desconhecimento da população sobre os benefícios do acompanhamento gestacional por ultrassonografia em pequenos animais, uma técnica segura, não invasiva e crucial para a detecção precoce de complicações e para a saúde materno-fetal. As atividades iniciais envolveram revisão bibliográfica e a elaboração de uma cartilha informativa. Posteriormente, o projeto focou na aplicação de questionários de pesquisa em escolas (Colégio Guilherme Dourado e Colégio Imperium) para avaliar o nível de conhecimento prévio e, principalmente, na realização de eventos abertos ao público em locais estratégicos de Araguaína, como no Parque Cimba, a Via Lago e o Parque de Exposições (EXPOARA). Nestas ações, foram distribuídos os folders, e a equipe realizou tirando dúvidas. O projeto teve um impacto significativo, alcançando cerca de 910 pessoas e contribuindo para a conscientização sobre a importância do exame. A principal facilidade encontrada foi a alta receptividade do público, enquanto a maior dificuldade foi o custo logístico com transporte (combustível e serviços de mobilidade por aplicativo) para o deslocamento da equipe e material aos diversos pontos de extensão. Conclui-se que o projeto cumpriu seu objetivo de levar o conhecimento técnico-científico da Medicina Veterinária à comunidade, fortalecendo o papel social da extensão universitária.</w:t>
      </w:r>
    </w:p>
    <w:p w:rsidR="00000000" w:rsidDel="00000000" w:rsidP="00000000" w:rsidRDefault="00000000" w:rsidRPr="00000000" w14:paraId="00000008">
      <w:pPr>
        <w:spacing w:after="240" w:before="240" w:line="360" w:lineRule="auto"/>
        <w:ind w:firstLine="0"/>
        <w:rPr>
          <w:rFonts w:ascii="Open Sans" w:cs="Open Sans" w:eastAsia="Open Sans" w:hAnsi="Open Sans"/>
        </w:rPr>
        <w:sectPr>
          <w:headerReference r:id="rId10" w:type="default"/>
          <w:headerReference r:id="rId11" w:type="first"/>
          <w:headerReference r:id="rId12" w:type="even"/>
          <w:footerReference r:id="rId13" w:type="default"/>
          <w:footerReference r:id="rId14" w:type="first"/>
          <w:footerReference r:id="rId15" w:type="even"/>
          <w:pgSz w:h="16838" w:w="11906" w:orient="portrait"/>
          <w:pgMar w:bottom="1440" w:top="1440" w:left="1800" w:right="1800" w:header="720" w:footer="720"/>
          <w:pgNumType w:start="1"/>
        </w:sect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Palavras-chave: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1b1c1d"/>
          <w:rtl w:val="0"/>
        </w:rPr>
        <w:t xml:space="preserve">Ultrassonografia, Gestação, Extensão Universitária, Medicina Veterinária, Saúde Animal.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80" w:before="0" w:lineRule="auto"/>
        <w:ind w:left="1" w:hanging="3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Introdução</w:t>
      </w:r>
    </w:p>
    <w:p w:rsidR="00000000" w:rsidDel="00000000" w:rsidP="00000000" w:rsidRDefault="00000000" w:rsidRPr="00000000" w14:paraId="0000000A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gestação é um período muito importante no desenvolvimento fetal no qual é preciso sempre se atentar a qualquer problema que a fêmea ou os fetos possam desenvolver. Um destes pode ocorrer no final do período gestacional, durante o parto. Algumas cadelas e gatas têm dificuldades para realizar o parto normal, seja por distocia materna ou fetal. A partir disso, o animal pode correr sérios riscos, juntamente com seu feto, que está prestes a nascer. Para evitar a morte dos animais devido a distocia, recomenda-se a realização do acompanhamento gestacional por meio de exames ultrassonográficos, exame não invasivo, que oferece informações valiosas, sobre o número de filhotes, a posição deles no útero, a saúde fetal e a data provável do parto. (BUZO;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et al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p. 1, 2019).</w:t>
      </w:r>
    </w:p>
    <w:p w:rsidR="00000000" w:rsidDel="00000000" w:rsidP="00000000" w:rsidRDefault="00000000" w:rsidRPr="00000000" w14:paraId="0000000C">
      <w:pPr>
        <w:spacing w:after="0" w:before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importância do acompanhamento gestacional vai além da simples monitorização da gestação, sendo um processo abrangente que envolve avaliações médicas, exames, orientações nutricionais e educativas. A efetividade desse acompanhamento regular se reflete não apenas na saúde da gestante, mas também na promoção de um ambiente propício para o desenvolvimento adequado do feto, prevenindo potenciais riscos e complicações que podem impactar negativamente o desfecho da gestação. (URBANEJA; et al, p 2, 2024) </w:t>
      </w:r>
    </w:p>
    <w:p w:rsidR="00000000" w:rsidDel="00000000" w:rsidP="00000000" w:rsidRDefault="00000000" w:rsidRPr="00000000" w14:paraId="0000000D">
      <w:pPr>
        <w:spacing w:after="0" w:before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Assim, segundo Silva et al, (2020) A ultrassonografia gestacional em pequenos animais permite, além da confirmação e do monitoramento da prenhez, a identificação precoce de malformações e anormalidades fetais, constituindo uma importante ferramenta no acompanhamento pré-natal. Médicos veterinários, tutores e criadores podem se beneficiar desse diagnóstico, já que o conhecimento antecipado de possíveis anormalidades fetais que demandem cirurgia ou intervenções neonatais possibilita um planejamento adequado por parte desses envolvidos.</w:t>
      </w:r>
    </w:p>
    <w:p w:rsidR="00000000" w:rsidDel="00000000" w:rsidP="00000000" w:rsidRDefault="00000000" w:rsidRPr="00000000" w14:paraId="0000000E">
      <w:pPr>
        <w:spacing w:after="0" w:before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1b1c1d"/>
          <w:rtl w:val="0"/>
        </w:rPr>
        <w:t xml:space="preserve">No município de Araguaína, Tocantins, observava-se uma lacuna no conhecimento da comunidade sobre a relevância deste procedimento, o que motivou a criação do projeto de extensão universitária.  A experiência foi vivenciada pela equipe de discentes voluntários e bolsistas, sob a coordenação docente, ligados à Universidade Federal do Norte do Tocantins (UFNT), com o apoio da Pró-Reitoria de Extensão (PROEX). O período de desenvolvimento e aplicação do relato abrangeu os meses de 28 de agosto de 2024 a 28 de agosto de 2025. Os procedimentos desenvolvidos incluíram a etapa de planejamento (revisão bibliográfica e reuniões semanais de alinhamento), a etapa de produção (elaboração e impressão de cartilhas/folders) e a etapa de execução, marcada por ações de pesquisa e extensão em campo.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ind w:firstLine="0"/>
        <w:rPr>
          <w:rFonts w:ascii="Open Sans" w:cs="Open Sans" w:eastAsia="Open Sans" w:hAnsi="Open Sans"/>
        </w:rPr>
      </w:pPr>
      <w:bookmarkStart w:colFirst="0" w:colLast="0" w:name="_heading=h.3znysh7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80" w:before="0" w:lineRule="auto"/>
        <w:ind w:left="1" w:hanging="3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Objetivos</w:t>
      </w:r>
    </w:p>
    <w:bookmarkStart w:colFirst="0" w:colLast="0" w:name="bookmark=id.2et92p0" w:id="2"/>
    <w:bookmarkEnd w:id="2"/>
    <w:p w:rsidR="00000000" w:rsidDel="00000000" w:rsidP="00000000" w:rsidRDefault="00000000" w:rsidRPr="00000000" w14:paraId="00000012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Objetivo Geral:</w:t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Avaliar o conhecimento da comunidade sobre o uso do exame ultrassonográfico em cadelas e gatas gestantes, considerando sua importância para a saúde reprodutiva da mãe, do feto e o bem-estar animal.</w:t>
      </w:r>
    </w:p>
    <w:p w:rsidR="00000000" w:rsidDel="00000000" w:rsidP="00000000" w:rsidRDefault="00000000" w:rsidRPr="00000000" w14:paraId="00000014">
      <w:pPr>
        <w:spacing w:after="240" w:before="240" w:line="360" w:lineRule="auto"/>
        <w:ind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Objetivos Específicos: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before="24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Informar os tutores sobre a importância dos exames pré-natais, incluindo o ultrassom, para o monitoramento da saúde das fêmeas e dos filhotes.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Destacar o papel do ultrassom na detecção precoce de problemas durante a gestação, como gestações não viáveis, número de fetos e possíveis complicações.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Investigar a compreensão da comunidade sobre as condições de saúde que podem ser identificadas por meio da ultrassonografia.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Identificar a frequência com que os proprietários de cães e gatos realizam exames ultrassonográficos preventivos.</w:t>
      </w:r>
    </w:p>
    <w:p w:rsidR="00000000" w:rsidDel="00000000" w:rsidP="00000000" w:rsidRDefault="00000000" w:rsidRPr="00000000" w14:paraId="00000019">
      <w:pPr>
        <w:spacing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80" w:before="0" w:lineRule="auto"/>
        <w:ind w:left="1" w:hanging="3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Título da seção</w:t>
      </w:r>
    </w:p>
    <w:p w:rsidR="00000000" w:rsidDel="00000000" w:rsidP="00000000" w:rsidRDefault="00000000" w:rsidRPr="00000000" w14:paraId="0000001C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hanging="2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IV. A Experiência de Extensão em Campo</w:t>
      </w:r>
    </w:p>
    <w:p w:rsidR="00000000" w:rsidDel="00000000" w:rsidP="00000000" w:rsidRDefault="00000000" w:rsidRPr="00000000" w14:paraId="0000001E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 relato das atividades de extensão evidenciou uma rica interface entre a expectativa inicial do projeto e o que foi de fato vivenciado em campo. A expectativa, centrada na produção de material didático, realização de pesquisas e abrangência de comunidades mais carentes de informação, evoluiu para uma intensa atuação prática, com foco na interação direta com o público e na aplicação do conhecimento gerado na universidade. Entretanto, algumas limitações acabaram impactando o alcance das ações previstas.</w:t>
      </w:r>
    </w:p>
    <w:p w:rsidR="00000000" w:rsidDel="00000000" w:rsidP="00000000" w:rsidRDefault="00000000" w:rsidRPr="00000000" w14:paraId="0000001F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Apesar desses desafios, a jornada foi muito enriquecedora em todos os sentidos. Desde o primeiro momento, o aprendizado ocorreu em diversas frentes: aprofundamos o conhecimento teórico sobre o tema e, ao mesmo tempo, desenvolvemos habilidades práticas essenciais, como a elaboração de folders informativos. No contato com a comunidade, conseguimos perder a timidez na abordagem e fortalecer nossa autonomia, buscando informações para sanar as dúvidas das pessoas. Além disso, vivenciamos uma verdadeira imersão na área de organização de eventos, compreendendo seu funcionamento e adquirindo experiência na parte logística e na construção de parcerias.</w:t>
      </w:r>
    </w:p>
    <w:p w:rsidR="00000000" w:rsidDel="00000000" w:rsidP="00000000" w:rsidRDefault="00000000" w:rsidRPr="00000000" w14:paraId="00000020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Em resumo, todo esse processo foi extremamente valioso, contribuindo significativamente para o nosso crescimento, tanto como estudantes quanto como pessoas.</w:t>
      </w:r>
    </w:p>
    <w:p w:rsidR="00000000" w:rsidDel="00000000" w:rsidP="00000000" w:rsidRDefault="00000000" w:rsidRPr="00000000" w14:paraId="00000021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360" w:lineRule="auto"/>
        <w:ind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4.1. Produção e Pesquisa</w:t>
      </w:r>
    </w:p>
    <w:p w:rsidR="00000000" w:rsidDel="00000000" w:rsidP="00000000" w:rsidRDefault="00000000" w:rsidRPr="00000000" w14:paraId="00000023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primeira fase do projeto concentrou-se na revisão bibliográfica e na elaboração da cartilha. Esse processo exigiu diversas correções constantes, apesar disso, a produção da cartilha se mostrou positiva, sendo utilizada nas escolas com boa receptividade por parte de estudantes e professores. A pesquisa aplicada para medir o nível de conhecimento do público demonstrou que, apesar de não ter gerado gráficos detalhados, foi útil para ajustar a linguagem e o foco do material, mas sua relevância estatística foi limitada, uma vez que o nível de conhecimento entre escolas públicas e particulares mostrou pouca diferença entre os alunos da mesma faixa etária.</w:t>
      </w:r>
    </w:p>
    <w:p w:rsidR="00000000" w:rsidDel="00000000" w:rsidP="00000000" w:rsidRDefault="00000000" w:rsidRPr="00000000" w14:paraId="00000024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Foi identificado que o projeto, focado majoritariamente na cartilha, poderia ter sido mais diversificado, oferecendo formas alternativas de apresentação do conteúdo. Essa limitação ocorreu principalmente devido à falta de apoio da universidade, que impossibilitou a realização de ações mais amplas e criativas.</w:t>
      </w:r>
    </w:p>
    <w:p w:rsidR="00000000" w:rsidDel="00000000" w:rsidP="00000000" w:rsidRDefault="00000000" w:rsidRPr="00000000" w14:paraId="00000025">
      <w:pPr>
        <w:spacing w:after="240" w:before="240" w:line="360" w:lineRule="auto"/>
        <w:ind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4.2. Atividades de Extensão e Interface com a Comunidade</w:t>
      </w:r>
    </w:p>
    <w:p w:rsidR="00000000" w:rsidDel="00000000" w:rsidP="00000000" w:rsidRDefault="00000000" w:rsidRPr="00000000" w14:paraId="00000026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As atividades de extensão realizadas em campo permitiram contato direto com o público, distribuição de material informativo e sessões de esclarecimento de dúvidas. A experiência evidenciou que o conhecimento gerado na universidade, quando aplicado, gera resultados imediatos e mensuráveis, consolidando a extensão como processo educativo, cultural e científico que articula Ensino e Pesquisa de forma indissociável.</w:t>
      </w:r>
    </w:p>
    <w:p w:rsidR="00000000" w:rsidDel="00000000" w:rsidP="00000000" w:rsidRDefault="00000000" w:rsidRPr="00000000" w14:paraId="00000027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Apesar do impacto positivo, a experiência foi significativamente limitada pela falta de apoio do campus/CCA. Solicitações de recursos básicos, como caixa de som, banners e outros materiais para eventos, não foram atendidas, mesmo quando feitas com antecedência. Essa ausência de suporte institucional gerou desgaste, maior esforço financeiro e logística improvisada, com deslocamentos realizados via transporte por aplicativo, aumentando os custos. A situação se tornou frustrante, especialmente considerando que o projeto representava o nome da faculdade perante a comunidade, mas não recebia suporte mínimo necessário.</w:t>
      </w:r>
    </w:p>
    <w:p w:rsidR="00000000" w:rsidDel="00000000" w:rsidP="00000000" w:rsidRDefault="00000000" w:rsidRPr="00000000" w14:paraId="00000028">
      <w:pPr>
        <w:spacing w:after="240" w:before="240" w:line="360" w:lineRule="auto"/>
        <w:ind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4.3. Facilidades e Dificuldades</w:t>
      </w:r>
    </w:p>
    <w:p w:rsidR="00000000" w:rsidDel="00000000" w:rsidP="00000000" w:rsidRDefault="00000000" w:rsidRPr="00000000" w14:paraId="00000029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Entre as facilidades, destacam-se a excelente receptividade da comunidade e das instituições de ensino, que proporcionaram motivação à equipe e sucesso nos eventos realizados.</w:t>
      </w:r>
    </w:p>
    <w:p w:rsidR="00000000" w:rsidDel="00000000" w:rsidP="00000000" w:rsidRDefault="00000000" w:rsidRPr="00000000" w14:paraId="0000002A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As dificuldades foram diversas: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0" w:before="24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Limitações financeiras que restringiram algumas ações do projeto e causaram frustração;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Falta de apoio do campus/CCA, tornando o trabalho mais cansativo e burocrático;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Restrições quanto ao uso de recursos financeiros e materiais;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Prazo curto para submissão do relatório, dificultando a organização e revisão final do trabalho;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24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Falta de bolsas para todos os extensionistas, apesar de todos trabalharem igualmente, o que gerou sensação de injustiça.</w:t>
      </w:r>
    </w:p>
    <w:p w:rsidR="00000000" w:rsidDel="00000000" w:rsidP="00000000" w:rsidRDefault="00000000" w:rsidRPr="00000000" w14:paraId="00000030">
      <w:pPr>
        <w:spacing w:after="240" w:before="240" w:line="360" w:lineRule="auto"/>
        <w:ind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4.4. Descobertas e Recomendações</w:t>
      </w:r>
    </w:p>
    <w:p w:rsidR="00000000" w:rsidDel="00000000" w:rsidP="00000000" w:rsidRDefault="00000000" w:rsidRPr="00000000" w14:paraId="00000031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experiência evidenciou que, mesmo diante de limitações, a extensão permite gerar impacto positivo na comunidade. No entanto, para potencializar os resultados, recomenda-se: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before="24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Maior apoio institucional do campus/CCA para fornecer recursos logísticos e materiais necessários;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Flexibilização no uso do orçamento do projeto, garantindo autonomia financeira para ações de campo;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Concessão de bolsas para todos os extensionistas, assegurando igualdade e valorização do trabalho coletivo;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Maior prazo para submissão de relatórios e trabalhos, permitindo melhor organização e aprofundamento das análises;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240" w:before="0" w:line="360" w:lineRule="auto"/>
        <w:ind w:left="720" w:hanging="36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Exploração de atividades complementares à cartilha, diversificando as formas de comunicação e interação com o público.</w:t>
      </w:r>
    </w:p>
    <w:p w:rsidR="00000000" w:rsidDel="00000000" w:rsidP="00000000" w:rsidRDefault="00000000" w:rsidRPr="00000000" w14:paraId="00000037">
      <w:pPr>
        <w:spacing w:after="240" w:before="24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Em síntese, a experiência de extensão demonstrou a importância da articulação entre teoria e prática, evidenciando tanto os benefícios do engajamento comunitário quanto os desafios institucionais que ainda precisam ser superados para otimizar os resultados futuros.</w:t>
      </w:r>
    </w:p>
    <w:p w:rsidR="00000000" w:rsidDel="00000000" w:rsidP="00000000" w:rsidRDefault="00000000" w:rsidRPr="00000000" w14:paraId="00000038">
      <w:pPr>
        <w:spacing w:after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80" w:before="0" w:lineRule="auto"/>
        <w:ind w:left="1" w:hanging="3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Considerações Finais</w:t>
      </w:r>
    </w:p>
    <w:p w:rsidR="00000000" w:rsidDel="00000000" w:rsidP="00000000" w:rsidRDefault="00000000" w:rsidRPr="00000000" w14:paraId="0000003A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 projeto de extensão PIBEX-NORTE, da UFNT, destacou a importância da Universidade na transformação social ao conscientizar cerca de 910 pessoas em Araguaína sobre a relevância da ultrassonografia gestacional na saúde materno-fetal de cães e gatos. Além de informar, promoveu diálogo com a comunidade, avaliou conhecimentos e articulou ações com o mercado. Apesar dos desafios logísticos, os resultados foram positivos, reforçando o papel da Extensão na formação acadêmica, na saúde pública e no bem-estar animal. Recomenda-se também que este projeto seja ampliado e aplicado em outras regiões do município, incluindo mais áreas rurais, e que sejam realizadas edições periódicas, de forma a consolidar o conhecimento da população e incentivar a prática regular da medicina veterinária preventiva.</w:t>
      </w:r>
    </w:p>
    <w:p w:rsidR="00000000" w:rsidDel="00000000" w:rsidP="00000000" w:rsidRDefault="00000000" w:rsidRPr="00000000" w14:paraId="0000003B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80" w:before="0" w:lineRule="auto"/>
        <w:ind w:left="1" w:hanging="3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Referências Bibliográficas</w:t>
      </w:r>
    </w:p>
    <w:p w:rsidR="00000000" w:rsidDel="00000000" w:rsidP="00000000" w:rsidRDefault="00000000" w:rsidRPr="00000000" w14:paraId="0000003D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BUZO, Ricardo de Souza; ANDRADE, Talita Franco; VALE, Luana Rillo do; TREMÉA, Jardel Felipe; OLIVEIRA, Bruna Silva; KOIVISTO, Marion Burkhardt de; PINOTI, Luciana Del Rio. Acompanhamento por exames imagiológicos de fêmeas caninas e felinas gestantes. Veterinária e Zootecnia, São Paulo, v. 26, p. 1–11, 2019. ISSN 2178-3764. Disponível em: </w:t>
      </w:r>
      <w:hyperlink r:id="rId16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https://rvz.emnuvens.com.br/rvz/article/view/363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Acesso em: 08 out. 2025.</w:t>
      </w:r>
    </w:p>
    <w:p w:rsidR="00000000" w:rsidDel="00000000" w:rsidP="00000000" w:rsidRDefault="00000000" w:rsidRPr="00000000" w14:paraId="0000003F">
      <w:pPr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SILVA, Cinthia Itaborahy Ferreira; GOMES, Priscilla Parreira Rocha; COUTINHO, Acacia Rebello; SOUZA, Izabela Patrício de; PAULA, Thaís de; PRESTES, Rafaela da Silveira; TORRES, Renato Cesar Sacchetto; NEPOMUCENO, Anelise Carvalho. Ultrassonografia gestacional no diagnóstico de anormalidades fetais em pequenos animais. Revista Brasileira de Reprodução Animal, v. 44, n. 2, p. 50–56, 2020. Disponível em: </w:t>
      </w:r>
      <w:hyperlink r:id="rId1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https://www.cbra.org.br/portal/downloads/publicacoes/rbra/v44/n2/P.50-56%20(RB%208845)%20Silva.pdf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Acesso em: 08 out. 2025.</w:t>
      </w:r>
    </w:p>
    <w:p w:rsidR="00000000" w:rsidDel="00000000" w:rsidP="00000000" w:rsidRDefault="00000000" w:rsidRPr="00000000" w14:paraId="00000040">
      <w:pPr>
        <w:spacing w:after="0" w:before="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type w:val="nextPage"/>
      <w:pgSz w:h="16838" w:w="11906" w:orient="portrait"/>
      <w:pgMar w:bottom="1440" w:top="1440" w:left="1800" w:right="18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ind w:hanging="2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ind w:hanging="2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ind w:hanging="2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-69848</wp:posOffset>
          </wp:positionV>
          <wp:extent cx="6416675" cy="1997075"/>
          <wp:effectExtent b="0" l="0" r="0" t="0"/>
          <wp:wrapSquare wrapText="bothSides" distB="0" distT="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16675" cy="1997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5" w:hanging="7"/>
      <w:jc w:val="center"/>
      <w:rPr>
        <w:rFonts w:ascii="Open Sans" w:cs="Open Sans" w:eastAsia="Open Sans" w:hAnsi="Open Sans"/>
        <w:color w:val="bfbfbf"/>
        <w:sz w:val="72"/>
        <w:szCs w:val="72"/>
      </w:rPr>
    </w:pPr>
    <w:r w:rsidDel="00000000" w:rsidR="00000000" w:rsidRPr="00000000">
      <w:rPr>
        <w:rFonts w:ascii="Open Sans" w:cs="Open Sans" w:eastAsia="Open Sans" w:hAnsi="Open Sans"/>
        <w:color w:val="bfbfbf"/>
        <w:sz w:val="72"/>
        <w:szCs w:val="72"/>
        <w:rtl w:val="0"/>
      </w:rPr>
      <w:t xml:space="preserve">Relato de Experiência</w:t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0"/>
        <w:sz w:val="6"/>
        <w:szCs w:val="6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-69848</wp:posOffset>
          </wp:positionV>
          <wp:extent cx="6416675" cy="1997075"/>
          <wp:effectExtent b="0" l="0" r="0" t="0"/>
          <wp:wrapSquare wrapText="bothSides" distB="0" distT="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16675" cy="1997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5" w:hanging="7"/>
      <w:jc w:val="center"/>
      <w:rPr>
        <w:rFonts w:ascii="Open Sans" w:cs="Open Sans" w:eastAsia="Open Sans" w:hAnsi="Open Sans"/>
        <w:color w:val="bfbfbf"/>
        <w:sz w:val="72"/>
        <w:szCs w:val="72"/>
      </w:rPr>
    </w:pPr>
    <w:r w:rsidDel="00000000" w:rsidR="00000000" w:rsidRPr="00000000">
      <w:rPr>
        <w:rFonts w:ascii="Open Sans" w:cs="Open Sans" w:eastAsia="Open Sans" w:hAnsi="Open Sans"/>
        <w:color w:val="bfbfbf"/>
        <w:sz w:val="72"/>
        <w:szCs w:val="72"/>
        <w:rtl w:val="0"/>
      </w:rPr>
      <w:t xml:space="preserve">Relato de Experiência</w:t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0"/>
        <w:sz w:val="6"/>
        <w:szCs w:val="6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vertAlign w:val="subscript"/>
        <w:lang w:val="pt_BR"/>
      </w:rPr>
    </w:rPrDefault>
    <w:pPrDefault>
      <w:pPr>
        <w:spacing w:after="60" w:before="60" w:lineRule="auto"/>
        <w:ind w:hanging="1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lineRule="auto"/>
    </w:pPr>
    <w:rPr>
      <w:color w:val="000000"/>
      <w:sz w:val="44"/>
      <w:szCs w:val="44"/>
    </w:rPr>
  </w:style>
  <w:style w:type="paragraph" w:styleId="Heading2">
    <w:name w:val="heading 2"/>
    <w:basedOn w:val="Normal"/>
    <w:next w:val="Normal"/>
    <w:pPr>
      <w:spacing w:after="120" w:before="240" w:lineRule="auto"/>
      <w:ind w:left="274" w:hanging="274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0" w:before="120" w:lineRule="auto"/>
      <w:ind w:left="720" w:firstLine="0"/>
    </w:pPr>
    <w:rPr>
      <w:rFonts w:ascii="Arial" w:cs="Arial" w:eastAsia="Arial" w:hAnsi="Arial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spacing w:before="240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WW8Num2z0" w:customStyle="1">
    <w:name w:val="WW8Num2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z0" w:customStyle="1">
    <w:name w:val="WW8Num3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4z0" w:customStyle="1">
    <w:name w:val="WW8Num4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5z0" w:customStyle="1">
    <w:name w:val="WW8Num5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6z0" w:customStyle="1">
    <w:name w:val="WW8Num6z0"/>
    <w:qFormat w:val="1"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styleId="WW8Num7z0" w:customStyle="1">
    <w:name w:val="WW8Num7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8z0" w:customStyle="1">
    <w:name w:val="WW8Num8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8z1" w:customStyle="1">
    <w:name w:val="WW8Num8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9z0" w:customStyle="1">
    <w:name w:val="WW8Num9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9z1" w:customStyle="1">
    <w:name w:val="WW8Num9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0z0" w:customStyle="1">
    <w:name w:val="WW8Num10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0z1" w:customStyle="1">
    <w:name w:val="WW8Num10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1z0" w:customStyle="1">
    <w:name w:val="WW8Num11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1z1" w:customStyle="1">
    <w:name w:val="WW8Num11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2z0" w:customStyle="1">
    <w:name w:val="WW8Num12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2z1" w:customStyle="1">
    <w:name w:val="WW8Num12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3z0" w:customStyle="1">
    <w:name w:val="WW8Num13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3z1" w:customStyle="1">
    <w:name w:val="WW8Num13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4z0" w:customStyle="1">
    <w:name w:val="WW8Num14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4z1" w:customStyle="1">
    <w:name w:val="WW8Num14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Absatz-Standardschriftart" w:customStyle="1">
    <w:name w:val="Absatz-Standardschriftart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WW8Num15z0" w:customStyle="1">
    <w:name w:val="WW8Num15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5z1" w:customStyle="1">
    <w:name w:val="WW8Num15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WW8Num2z1" w:customStyle="1">
    <w:name w:val="WW8Num2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z2" w:customStyle="1">
    <w:name w:val="WW8Num2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z1" w:customStyle="1">
    <w:name w:val="WW8Num3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z2" w:customStyle="1">
    <w:name w:val="WW8Num3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4z1" w:customStyle="1">
    <w:name w:val="WW8Num4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4z2" w:customStyle="1">
    <w:name w:val="WW8Num4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5z1" w:customStyle="1">
    <w:name w:val="WW8Num5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5z2" w:customStyle="1">
    <w:name w:val="WW8Num5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7z1" w:customStyle="1">
    <w:name w:val="WW8Num7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7z2" w:customStyle="1">
    <w:name w:val="WW8Num7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8z2" w:customStyle="1">
    <w:name w:val="WW8Num8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9z2" w:customStyle="1">
    <w:name w:val="WW8Num9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0z2" w:customStyle="1">
    <w:name w:val="WW8Num10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1z2" w:customStyle="1">
    <w:name w:val="WW8Num11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2z2" w:customStyle="1">
    <w:name w:val="WW8Num12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3z2" w:customStyle="1">
    <w:name w:val="WW8Num13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4z2" w:customStyle="1">
    <w:name w:val="WW8Num14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5z2" w:customStyle="1">
    <w:name w:val="WW8Num15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7z0" w:customStyle="1">
    <w:name w:val="WW8Num17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7z1" w:customStyle="1">
    <w:name w:val="WW8Num17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7z2" w:customStyle="1">
    <w:name w:val="WW8Num17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8z0" w:customStyle="1">
    <w:name w:val="WW8Num18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8z1" w:customStyle="1">
    <w:name w:val="WW8Num18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8z2" w:customStyle="1">
    <w:name w:val="WW8Num18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19z0" w:customStyle="1">
    <w:name w:val="WW8Num19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19z1" w:customStyle="1">
    <w:name w:val="WW8Num19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19z2" w:customStyle="1">
    <w:name w:val="WW8Num19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0z0" w:customStyle="1">
    <w:name w:val="WW8Num20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0z1" w:customStyle="1">
    <w:name w:val="WW8Num20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0z2" w:customStyle="1">
    <w:name w:val="WW8Num20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1z0" w:customStyle="1">
    <w:name w:val="WW8Num21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1z1" w:customStyle="1">
    <w:name w:val="WW8Num21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1z2" w:customStyle="1">
    <w:name w:val="WW8Num21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2z0" w:customStyle="1">
    <w:name w:val="WW8Num22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2z1" w:customStyle="1">
    <w:name w:val="WW8Num22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2z2" w:customStyle="1">
    <w:name w:val="WW8Num22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3z0" w:customStyle="1">
    <w:name w:val="WW8Num23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3z1" w:customStyle="1">
    <w:name w:val="WW8Num23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3z2" w:customStyle="1">
    <w:name w:val="WW8Num23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4z0" w:customStyle="1">
    <w:name w:val="WW8Num24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4z1" w:customStyle="1">
    <w:name w:val="WW8Num24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4z2" w:customStyle="1">
    <w:name w:val="WW8Num24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5z0" w:customStyle="1">
    <w:name w:val="WW8Num25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5z1" w:customStyle="1">
    <w:name w:val="WW8Num25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5z2" w:customStyle="1">
    <w:name w:val="WW8Num25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6z0" w:customStyle="1">
    <w:name w:val="WW8Num26z0"/>
    <w:qFormat w:val="1"/>
    <w:rPr>
      <w:rFonts w:ascii="Symbol" w:hAnsi="Symbol"/>
      <w:color w:val="auto"/>
      <w:w w:val="100"/>
      <w:position w:val="0"/>
      <w:sz w:val="20"/>
      <w:effect w:val="none"/>
      <w:vertAlign w:val="baseline"/>
      <w:em w:val="none"/>
    </w:rPr>
  </w:style>
  <w:style w:type="character" w:styleId="WW8Num26z1" w:customStyle="1">
    <w:name w:val="WW8Num26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6z2" w:customStyle="1">
    <w:name w:val="WW8Num26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6z3" w:customStyle="1">
    <w:name w:val="WW8Num26z3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7z0" w:customStyle="1">
    <w:name w:val="WW8Num27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7z1" w:customStyle="1">
    <w:name w:val="WW8Num27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7z2" w:customStyle="1">
    <w:name w:val="WW8Num27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8z0" w:customStyle="1">
    <w:name w:val="WW8Num28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8z1" w:customStyle="1">
    <w:name w:val="WW8Num28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8z2" w:customStyle="1">
    <w:name w:val="WW8Num28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29z0" w:customStyle="1">
    <w:name w:val="WW8Num29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29z1" w:customStyle="1">
    <w:name w:val="WW8Num29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29z2" w:customStyle="1">
    <w:name w:val="WW8Num29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0z0" w:customStyle="1">
    <w:name w:val="WW8Num30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0z1" w:customStyle="1">
    <w:name w:val="WW8Num30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0z2" w:customStyle="1">
    <w:name w:val="WW8Num30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1z0" w:customStyle="1">
    <w:name w:val="WW8Num31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1z1" w:customStyle="1">
    <w:name w:val="WW8Num31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1z2" w:customStyle="1">
    <w:name w:val="WW8Num31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2z0" w:customStyle="1">
    <w:name w:val="WW8Num32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2z1" w:customStyle="1">
    <w:name w:val="WW8Num32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2z2" w:customStyle="1">
    <w:name w:val="WW8Num32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3z0" w:customStyle="1">
    <w:name w:val="WW8Num33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3z1" w:customStyle="1">
    <w:name w:val="WW8Num33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3z2" w:customStyle="1">
    <w:name w:val="WW8Num33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4z0" w:customStyle="1">
    <w:name w:val="WW8Num34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4z1" w:customStyle="1">
    <w:name w:val="WW8Num34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4z2" w:customStyle="1">
    <w:name w:val="WW8Num34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5z0" w:customStyle="1">
    <w:name w:val="WW8Num35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5z1" w:customStyle="1">
    <w:name w:val="WW8Num35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5z2" w:customStyle="1">
    <w:name w:val="WW8Num35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6z1" w:customStyle="1">
    <w:name w:val="WW8Num36z1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7z0" w:customStyle="1">
    <w:name w:val="WW8Num37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7z1" w:customStyle="1">
    <w:name w:val="WW8Num37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7z2" w:customStyle="1">
    <w:name w:val="WW8Num37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8z0" w:customStyle="1">
    <w:name w:val="WW8Num38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8z1" w:customStyle="1">
    <w:name w:val="WW8Num38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8z2" w:customStyle="1">
    <w:name w:val="WW8Num38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39z0" w:customStyle="1">
    <w:name w:val="WW8Num39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39z1" w:customStyle="1">
    <w:name w:val="WW8Num39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39z2" w:customStyle="1">
    <w:name w:val="WW8Num39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40z0" w:customStyle="1">
    <w:name w:val="WW8Num40z0"/>
    <w:qFormat w:val="1"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styleId="WW8Num40z1" w:customStyle="1">
    <w:name w:val="WW8Num40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40z2" w:customStyle="1">
    <w:name w:val="WW8Num40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40z3" w:customStyle="1">
    <w:name w:val="WW8Num40z3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42z0" w:customStyle="1">
    <w:name w:val="WW8Num42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42z1" w:customStyle="1">
    <w:name w:val="WW8Num42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42z2" w:customStyle="1">
    <w:name w:val="WW8Num42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43z0" w:customStyle="1">
    <w:name w:val="WW8Num43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43z1" w:customStyle="1">
    <w:name w:val="WW8Num43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43z2" w:customStyle="1">
    <w:name w:val="WW8Num43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44z0" w:customStyle="1">
    <w:name w:val="WW8Num44z0"/>
    <w:qFormat w:val="1"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styleId="WW8Num44z1" w:customStyle="1">
    <w:name w:val="WW8Num44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44z2" w:customStyle="1">
    <w:name w:val="WW8Num44z2"/>
    <w:qFormat w:val="1"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styleId="Fontepargpadro1" w:customStyle="1">
    <w:name w:val="Fonte parág. padrã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Ttulo1Char" w:customStyle="1">
    <w:name w:val="Título 1 Char"/>
    <w:qFormat w:val="1"/>
    <w:rPr>
      <w:rFonts w:ascii="Century Gothic" w:cs="Arial" w:hAnsi="Century Gothic"/>
      <w:w w:val="100"/>
      <w:position w:val="0"/>
      <w:sz w:val="44"/>
      <w:szCs w:val="44"/>
      <w:effect w:val="none"/>
      <w:vertAlign w:val="baseline"/>
      <w:em w:val="none"/>
      <w:lang w:bidi="ar-SA" w:eastAsia="ar-SA" w:val="en-US"/>
    </w:rPr>
  </w:style>
  <w:style w:type="character" w:styleId="ProposalChar" w:customStyle="1">
    <w:name w:val="Proposal Char"/>
    <w:qFormat w:val="1"/>
    <w:rPr>
      <w:rFonts w:ascii="Century Gothic" w:cs="Arial" w:hAnsi="Century Gothic"/>
      <w:color w:val="c0c0c0"/>
      <w:w w:val="100"/>
      <w:position w:val="0"/>
      <w:sz w:val="88"/>
      <w:szCs w:val="44"/>
      <w:effect w:val="none"/>
      <w:vertAlign w:val="baseline"/>
      <w:em w:val="none"/>
      <w:lang w:bidi="ar-SA" w:eastAsia="ar-SA" w:val="en-US"/>
    </w:rPr>
  </w:style>
  <w:style w:type="character" w:styleId="Hyperlink">
    <w:name w:val="Hyperlink"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Nmerodepgina">
    <w:name w:val="page number"/>
    <w:qFormat w:val="1"/>
    <w:rPr>
      <w:rFonts w:ascii="Century Gothic" w:hAnsi="Century Gothic"/>
      <w:w w:val="100"/>
      <w:position w:val="0"/>
      <w:sz w:val="18"/>
      <w:effect w:val="none"/>
      <w:vertAlign w:val="baseline"/>
      <w:em w:val="none"/>
    </w:rPr>
  </w:style>
  <w:style w:type="character" w:styleId="FootnoteCharacters" w:customStyle="1">
    <w:name w:val="Footnote Characters"/>
    <w:qFormat w:val="1"/>
    <w:rPr>
      <w:w w:val="100"/>
      <w:effect w:val="none"/>
      <w:vertAlign w:val="superscript"/>
      <w:em w:val="none"/>
    </w:rPr>
  </w:style>
  <w:style w:type="character" w:styleId="Forte">
    <w:name w:val="Strong"/>
    <w:qFormat w:val="1"/>
    <w:rPr>
      <w:b w:val="1"/>
      <w:bCs w:val="1"/>
      <w:w w:val="100"/>
      <w:position w:val="0"/>
      <w:sz w:val="20"/>
      <w:effect w:val="none"/>
      <w:vertAlign w:val="baseline"/>
      <w:em w:val="none"/>
    </w:rPr>
  </w:style>
  <w:style w:type="character" w:styleId="Pr-formataoHTMLChar" w:customStyle="1">
    <w:name w:val="Pré-formatação HTML Char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  <w:lang w:bidi="ar-SA" w:eastAsia="ar-SA" w:val="pt-BR"/>
    </w:rPr>
  </w:style>
  <w:style w:type="character" w:styleId="RodapChar" w:customStyle="1">
    <w:name w:val="Rodapé Char"/>
    <w:qFormat w:val="1"/>
    <w:rPr>
      <w:rFonts w:ascii="Century Gothic" w:hAnsi="Century Gothic"/>
      <w:w w:val="100"/>
      <w:position w:val="0"/>
      <w:sz w:val="20"/>
      <w:effect w:val="none"/>
      <w:vertAlign w:val="baseline"/>
      <w:em w:val="none"/>
      <w:lang w:bidi="ar-SA" w:eastAsia="ar-SA" w:val="en-US"/>
    </w:rPr>
  </w:style>
  <w:style w:type="character" w:styleId="Ttulo2Char" w:customStyle="1">
    <w:name w:val="Título 2 Char"/>
    <w:qFormat w:val="1"/>
    <w:rPr>
      <w:rFonts w:ascii="Century Gothic" w:cs="Arial" w:hAnsi="Century Gothic"/>
      <w:w w:val="100"/>
      <w:position w:val="0"/>
      <w:sz w:val="32"/>
      <w:szCs w:val="32"/>
      <w:effect w:val="none"/>
      <w:vertAlign w:val="baseline"/>
      <w:em w:val="none"/>
      <w:lang w:val="en-US"/>
    </w:rPr>
  </w:style>
  <w:style w:type="character" w:styleId="Pr-formataoHTMLChar1" w:customStyle="1">
    <w:name w:val="Pré-formatação HTML Char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Ttulo3Char" w:customStyle="1">
    <w:name w:val="Título 3 Char"/>
    <w:qFormat w:val="1"/>
    <w:rPr>
      <w:rFonts w:ascii="Century Gothic" w:cs="Arial" w:hAnsi="Century Gothic"/>
      <w:b w:val="1"/>
      <w:bCs w:val="1"/>
      <w:w w:val="100"/>
      <w:position w:val="0"/>
      <w:sz w:val="26"/>
      <w:szCs w:val="26"/>
      <w:effect w:val="none"/>
      <w:vertAlign w:val="baseline"/>
      <w:em w:val="none"/>
    </w:rPr>
  </w:style>
  <w:style w:type="character" w:styleId="TextodenotaderodapChar" w:customStyle="1">
    <w:name w:val="Texto de nota de rodapé Char"/>
    <w:qFormat w:val="1"/>
    <w:rPr>
      <w:rFonts w:ascii="Arial" w:hAnsi="Arial"/>
      <w:color w:val="000000"/>
      <w:w w:val="100"/>
      <w:position w:val="0"/>
      <w:sz w:val="18"/>
      <w:effect w:val="none"/>
      <w:vertAlign w:val="baseline"/>
      <w:em w:val="none"/>
    </w:rPr>
  </w:style>
  <w:style w:type="character" w:styleId="WW-FootnoteCharacters" w:customStyle="1">
    <w:name w:val="WW-Footnote Characters"/>
    <w:qFormat w:val="1"/>
    <w:rPr>
      <w:w w:val="100"/>
      <w:effect w:val="none"/>
      <w:vertAlign w:val="superscript"/>
      <w:em w:val="none"/>
    </w:rPr>
  </w:style>
  <w:style w:type="character" w:styleId="MTDisplayEquationChar" w:customStyle="1">
    <w:name w:val="MTDisplayEquation Char"/>
    <w:qFormat w:val="1"/>
    <w:rPr>
      <w:rFonts w:ascii="Century Gothic" w:hAnsi="Century Gothic"/>
      <w:w w:val="100"/>
      <w:position w:val="0"/>
      <w:sz w:val="20"/>
      <w:effect w:val="none"/>
      <w:vertAlign w:val="baseline"/>
      <w:em w:val="none"/>
    </w:rPr>
  </w:style>
  <w:style w:type="character" w:styleId="nfakpe" w:customStyle="1">
    <w:name w:val="nfakpe"/>
    <w:basedOn w:val="Fontepargpadr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TtuloChar" w:customStyle="1">
    <w:name w:val="Título Char"/>
    <w:qFormat w:val="1"/>
    <w:rPr>
      <w:rFonts w:ascii="Cambria" w:cs="Times New Roman" w:eastAsia="Times New Roman" w:hAnsi="Cambria"/>
      <w:b w:val="1"/>
      <w:bCs w:val="1"/>
      <w:w w:val="100"/>
      <w:kern w:val="2"/>
      <w:position w:val="0"/>
      <w:sz w:val="32"/>
      <w:szCs w:val="32"/>
      <w:effect w:val="none"/>
      <w:vertAlign w:val="baseline"/>
      <w:em w:val="none"/>
      <w:lang w:val="en-US"/>
    </w:rPr>
  </w:style>
  <w:style w:type="character" w:styleId="SubttuloChar" w:customStyle="1">
    <w:name w:val="Subtítulo Char"/>
    <w:qFormat w:val="1"/>
    <w:rPr>
      <w:rFonts w:ascii="Cambria" w:cs="Times New Roman" w:eastAsia="Times New Roman" w:hAnsi="Cambria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styleId="nfase">
    <w:name w:val="Emphasis"/>
    <w:qFormat w:val="1"/>
    <w:rPr>
      <w:iCs w:val="1"/>
      <w:w w:val="100"/>
      <w:position w:val="0"/>
      <w:sz w:val="16"/>
      <w:szCs w:val="16"/>
      <w:effect w:val="none"/>
      <w:vertAlign w:val="baseline"/>
      <w:em w:val="none"/>
    </w:rPr>
  </w:style>
  <w:style w:type="character" w:styleId="FootnoteChar" w:customStyle="1">
    <w:name w:val="Footnote Char"/>
    <w:qFormat w:val="1"/>
    <w:rPr>
      <w:rFonts w:ascii="Arial" w:hAnsi="Arial"/>
      <w:color w:val="000000"/>
      <w:w w:val="100"/>
      <w:position w:val="0"/>
      <w:sz w:val="18"/>
      <w:effect w:val="none"/>
      <w:vertAlign w:val="baseline"/>
      <w:em w:val="none"/>
      <w:lang w:val="en-US"/>
    </w:rPr>
  </w:style>
  <w:style w:type="character" w:styleId="texto" w:customStyle="1">
    <w:name w:val="texto"/>
    <w:basedOn w:val="Fontepargpadr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text1" w:customStyle="1">
    <w:name w:val="text1"/>
    <w:basedOn w:val="Fontepargpadr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style41" w:customStyle="1">
    <w:name w:val="style41"/>
    <w:basedOn w:val="Fontepargpadr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TabeladeGrade1Clara1" w:customStyle="1">
    <w:name w:val="Tabela de Grade 1 Clara1"/>
    <w:qFormat w:val="1"/>
    <w:rPr>
      <w:b w:val="1"/>
      <w:bCs w:val="1"/>
      <w:smallCaps w:val="1"/>
      <w:spacing w:val="5"/>
      <w:w w:val="100"/>
      <w:position w:val="0"/>
      <w:sz w:val="20"/>
      <w:effect w:val="none"/>
      <w:vertAlign w:val="baseline"/>
      <w:em w:val="none"/>
    </w:rPr>
  </w:style>
  <w:style w:type="character" w:styleId="longtext" w:customStyle="1">
    <w:name w:val="long_text"/>
    <w:basedOn w:val="Fontepargpadr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mediumtext" w:customStyle="1">
    <w:name w:val="medium_text"/>
    <w:basedOn w:val="Fontepargpadro1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Bullets" w:customStyle="1">
    <w:name w:val="Bullets"/>
    <w:qFormat w:val="1"/>
    <w:rPr>
      <w:rFonts w:ascii="OpenSymbol" w:cs="OpenSymbol" w:eastAsia="OpenSymbol" w:hAnsi="OpenSymbol"/>
      <w:w w:val="100"/>
      <w:position w:val="0"/>
      <w:sz w:val="20"/>
      <w:effect w:val="none"/>
      <w:vertAlign w:val="baseline"/>
      <w:em w:val="none"/>
    </w:rPr>
  </w:style>
  <w:style w:type="character" w:styleId="Smbolosdenumerao" w:customStyle="1">
    <w:name w:val="Símbolos de numeração"/>
    <w:qFormat w:val="1"/>
    <w:rPr>
      <w:w w:val="100"/>
      <w:position w:val="0"/>
      <w:sz w:val="20"/>
      <w:effect w:val="none"/>
      <w:vertAlign w:val="baseline"/>
      <w:em w:val="none"/>
    </w:rPr>
  </w:style>
  <w:style w:type="character" w:styleId="TextodenotadefimChar" w:customStyle="1">
    <w:name w:val="Texto de nota de fim Char"/>
    <w:qFormat w:val="1"/>
    <w:rPr>
      <w:rFonts w:ascii="Century Gothic" w:hAnsi="Century Gothic"/>
      <w:w w:val="100"/>
      <w:position w:val="0"/>
      <w:sz w:val="20"/>
      <w:effect w:val="none"/>
      <w:vertAlign w:val="baseline"/>
      <w:em w:val="none"/>
      <w:lang w:eastAsia="ar-SA" w:val="en-US"/>
    </w:rPr>
  </w:style>
  <w:style w:type="character" w:styleId="Refdenotadefim">
    <w:name w:val="endnote reference"/>
    <w:rPr>
      <w:w w:val="100"/>
      <w:effect w:val="none"/>
      <w:vertAlign w:val="superscript"/>
      <w:em w:val="none"/>
    </w:rPr>
  </w:style>
  <w:style w:type="character" w:styleId="EndnoteCharacters" w:customStyle="1">
    <w:name w:val="Endnote Characters"/>
    <w:qFormat w:val="1"/>
    <w:rPr>
      <w:w w:val="100"/>
      <w:effect w:val="none"/>
      <w:vertAlign w:val="superscript"/>
      <w:em w:val="none"/>
    </w:rPr>
  </w:style>
  <w:style w:type="character" w:styleId="Refdenotaderodap">
    <w:name w:val="footnote reference"/>
    <w:rPr>
      <w:w w:val="100"/>
      <w:effect w:val="none"/>
      <w:vertAlign w:val="superscript"/>
      <w:em w:val="none"/>
    </w:rPr>
  </w:style>
  <w:style w:type="character" w:styleId="Refdecomentrio">
    <w:name w:val="annotation reference"/>
    <w:qFormat w:val="1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TextodecomentrioChar" w:customStyle="1">
    <w:name w:val="Texto de comentário Char"/>
    <w:qFormat w:val="1"/>
    <w:rPr>
      <w:rFonts w:ascii="Century Gothic" w:hAnsi="Century Gothic"/>
      <w:w w:val="100"/>
      <w:position w:val="0"/>
      <w:sz w:val="20"/>
      <w:effect w:val="none"/>
      <w:vertAlign w:val="baseline"/>
      <w:em w:val="none"/>
      <w:lang w:eastAsia="ar-SA" w:val="en-US"/>
    </w:rPr>
  </w:style>
  <w:style w:type="character" w:styleId="AssuntodocomentrioChar" w:customStyle="1">
    <w:name w:val="Assunto do comentário Char"/>
    <w:qFormat w:val="1"/>
    <w:rPr>
      <w:rFonts w:ascii="Century Gothic" w:hAnsi="Century Gothic"/>
      <w:b w:val="1"/>
      <w:bCs w:val="1"/>
      <w:w w:val="100"/>
      <w:position w:val="0"/>
      <w:sz w:val="20"/>
      <w:effect w:val="none"/>
      <w:vertAlign w:val="baseline"/>
      <w:em w:val="none"/>
      <w:lang w:eastAsia="ar-SA" w:val="en-US"/>
    </w:rPr>
  </w:style>
  <w:style w:type="character" w:styleId="CabealhoChar" w:customStyle="1">
    <w:name w:val="Cabeçalho Char"/>
    <w:qFormat w:val="1"/>
    <w:rPr>
      <w:rFonts w:ascii="Century Gothic" w:hAnsi="Century Gothic"/>
      <w:w w:val="100"/>
      <w:position w:val="0"/>
      <w:sz w:val="20"/>
      <w:effect w:val="none"/>
      <w:vertAlign w:val="baseline"/>
      <w:em w:val="none"/>
      <w:lang w:eastAsia="ar-SA" w:val="en-US"/>
    </w:rPr>
  </w:style>
  <w:style w:type="paragraph" w:styleId="Ttulo10" w:customStyle="1">
    <w:name w:val="Título1"/>
    <w:basedOn w:val="Normal"/>
    <w:next w:val="Corpodetexto"/>
    <w:qFormat w:val="1"/>
    <w:pPr>
      <w:keepNext w:val="1"/>
      <w:spacing w:after="120" w:before="240"/>
    </w:pPr>
    <w:rPr>
      <w:rFonts w:ascii="Arial" w:cs="DejaVu Sans" w:eastAsia="DejaVu Sans" w:hAnsi="Arial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  <w:spacing w:after="0" w:before="120" w:line="360" w:lineRule="auto"/>
      <w:ind w:left="-1" w:firstLine="709"/>
    </w:pPr>
    <w:rPr>
      <w:rFonts w:ascii="Arial" w:cs="Tahoma" w:hAnsi="Arial"/>
      <w:sz w:val="24"/>
      <w:szCs w:val="24"/>
    </w:rPr>
  </w:style>
  <w:style w:type="paragraph" w:styleId="Caption1" w:customStyle="1">
    <w:name w:val="Caption1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Proposal" w:customStyle="1">
    <w:name w:val="Proposal"/>
    <w:qFormat w:val="1"/>
    <w:pPr>
      <w:pBdr>
        <w:top w:color="c0c0c0" w:space="0" w:sz="8" w:val="single"/>
      </w:pBdr>
      <w:suppressAutoHyphens w:val="1"/>
      <w:spacing w:before="1100" w:line="1" w:lineRule="atLeast"/>
      <w:ind w:left="-1"/>
      <w:textAlignment w:val="top"/>
      <w:outlineLvl w:val="0"/>
    </w:pPr>
    <w:rPr>
      <w:rFonts w:cs="Arial" w:eastAsia="Arial"/>
      <w:color w:val="c0c0c0"/>
      <w:sz w:val="88"/>
      <w:szCs w:val="44"/>
      <w:lang w:eastAsia="ar-SA" w:val="en-US"/>
    </w:rPr>
  </w:style>
  <w:style w:type="paragraph" w:styleId="OrgNameandDate" w:customStyle="1">
    <w:name w:val="Org Name and Date"/>
    <w:qFormat w:val="1"/>
    <w:pPr>
      <w:suppressAutoHyphens w:val="1"/>
      <w:spacing w:line="1" w:lineRule="atLeast"/>
      <w:ind w:left="-1"/>
      <w:textAlignment w:val="top"/>
      <w:outlineLvl w:val="0"/>
    </w:pPr>
    <w:rPr>
      <w:rFonts w:eastAsia="Arial"/>
      <w:sz w:val="28"/>
      <w:szCs w:val="28"/>
      <w:lang w:eastAsia="ar-SA" w:val="en-US"/>
    </w:rPr>
  </w:style>
  <w:style w:type="paragraph" w:styleId="ProjectName" w:customStyle="1">
    <w:name w:val="Project Name"/>
    <w:qFormat w:val="1"/>
    <w:pPr>
      <w:suppressAutoHyphens w:val="1"/>
      <w:spacing w:before="100" w:line="1" w:lineRule="atLeast"/>
      <w:ind w:left="-1"/>
      <w:textAlignment w:val="top"/>
      <w:outlineLvl w:val="0"/>
    </w:pPr>
    <w:rPr>
      <w:rFonts w:eastAsia="Arial"/>
      <w:sz w:val="44"/>
      <w:lang w:eastAsia="ar-SA" w:val="en-US"/>
    </w:rPr>
  </w:style>
  <w:style w:type="paragraph" w:styleId="CabealhoeRodap" w:customStyle="1">
    <w:name w:val="Cabeçalho e Rodapé"/>
    <w:basedOn w:val="Normal"/>
    <w:qFormat w:val="1"/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uppressAutoHyphens w:val="1"/>
      <w:spacing w:before="360" w:line="1" w:lineRule="atLeast"/>
      <w:ind w:left="-1"/>
      <w:textAlignment w:val="top"/>
      <w:outlineLvl w:val="0"/>
    </w:pPr>
    <w:rPr>
      <w:rFonts w:cs="Arial" w:eastAsia="Arial"/>
      <w:bCs w:val="1"/>
      <w:caps w:val="1"/>
      <w:lang w:eastAsia="ar-SA" w:val="en-US"/>
    </w:rPr>
  </w:style>
  <w:style w:type="paragraph" w:styleId="TableText" w:customStyle="1">
    <w:name w:val="Table Text"/>
    <w:qFormat w:val="1"/>
    <w:pPr>
      <w:suppressAutoHyphens w:val="1"/>
      <w:spacing w:line="1" w:lineRule="atLeast"/>
      <w:ind w:left="-1"/>
      <w:textAlignment w:val="top"/>
      <w:outlineLvl w:val="0"/>
    </w:pPr>
    <w:rPr>
      <w:rFonts w:eastAsia="Arial"/>
      <w:sz w:val="16"/>
      <w:lang w:eastAsia="ar-SA" w:val="en-US"/>
    </w:rPr>
  </w:style>
  <w:style w:type="paragraph" w:styleId="Total" w:customStyle="1">
    <w:name w:val="Total"/>
    <w:basedOn w:val="TableText"/>
    <w:qFormat w:val="1"/>
    <w:pPr>
      <w:jc w:val="right"/>
    </w:pPr>
    <w:rPr>
      <w:b w:val="1"/>
      <w:bCs w:val="1"/>
    </w:rPr>
  </w:style>
  <w:style w:type="paragraph" w:styleId="Sumrio2">
    <w:name w:val="toc 2"/>
    <w:basedOn w:val="Normal"/>
    <w:next w:val="Normal"/>
    <w:pPr>
      <w:spacing w:before="240"/>
    </w:pPr>
    <w:rPr>
      <w:b w:val="1"/>
      <w:bCs w:val="1"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qFormat w:val="1"/>
    <w:rPr>
      <w:rFonts w:ascii="Tahoma" w:cs="Tahoma" w:hAnsi="Tahoma"/>
      <w:sz w:val="16"/>
      <w:szCs w:val="16"/>
    </w:rPr>
  </w:style>
  <w:style w:type="paragraph" w:styleId="Commarcadores1" w:customStyle="1">
    <w:name w:val="Com marcadores1"/>
    <w:basedOn w:val="Normal"/>
    <w:qFormat w:val="1"/>
    <w:pPr>
      <w:numPr>
        <w:numId w:val="2"/>
      </w:numPr>
      <w:ind w:left="1152" w:firstLine="720"/>
    </w:pPr>
  </w:style>
  <w:style w:type="paragraph" w:styleId="TableTextBold" w:customStyle="1">
    <w:name w:val="Table Text Bold"/>
    <w:basedOn w:val="TableText"/>
    <w:qFormat w:val="1"/>
    <w:rPr>
      <w:b w:val="1"/>
      <w:color w:val="000000"/>
      <w:szCs w:val="16"/>
    </w:rPr>
  </w:style>
  <w:style w:type="paragraph" w:styleId="Textodenotaderodap">
    <w:name w:val="footnote text"/>
    <w:basedOn w:val="Normal"/>
    <w:pPr>
      <w:spacing w:after="0" w:before="120"/>
    </w:pPr>
    <w:rPr>
      <w:rFonts w:ascii="Arial" w:hAnsi="Arial"/>
      <w:color w:val="000000"/>
      <w:sz w:val="18"/>
    </w:rPr>
  </w:style>
  <w:style w:type="paragraph" w:styleId="Legenda1" w:customStyle="1">
    <w:name w:val="Legenda1"/>
    <w:basedOn w:val="Normal"/>
    <w:next w:val="Normal"/>
    <w:qFormat w:val="1"/>
    <w:pPr>
      <w:ind w:left="-1" w:firstLine="0"/>
      <w:jc w:val="center"/>
    </w:pPr>
    <w:rPr>
      <w:b w:val="1"/>
      <w:bCs w:val="1"/>
    </w:rPr>
  </w:style>
  <w:style w:type="paragraph" w:styleId="StyleCaptionCentered" w:customStyle="1">
    <w:name w:val="Style Caption + Centered"/>
    <w:basedOn w:val="Legenda1"/>
    <w:qFormat w:val="1"/>
  </w:style>
  <w:style w:type="paragraph" w:styleId="Pr-formataoHTML">
    <w:name w:val="HTML Preformatted"/>
    <w:basedOn w:val="Normal"/>
    <w:qFormat w:val="1"/>
    <w:pPr>
      <w:spacing w:after="0" w:before="0"/>
      <w:ind w:left="-1" w:firstLine="0"/>
      <w:jc w:val="left"/>
    </w:pPr>
    <w:rPr>
      <w:rFonts w:ascii="Courier New" w:cs="Courier New" w:hAnsi="Courier New"/>
    </w:rPr>
  </w:style>
  <w:style w:type="paragraph" w:styleId="Rodap">
    <w:name w:val="footer"/>
    <w:basedOn w:val="Normal"/>
  </w:style>
  <w:style w:type="paragraph" w:styleId="WW-Default" w:customStyle="1">
    <w:name w:val="WW-Default"/>
    <w:qFormat w:val="1"/>
    <w:pPr>
      <w:suppressAutoHyphens w:val="1"/>
      <w:spacing w:line="1" w:lineRule="atLeast"/>
      <w:ind w:left="-1"/>
      <w:textAlignment w:val="top"/>
      <w:outlineLvl w:val="0"/>
    </w:pPr>
    <w:rPr>
      <w:color w:val="000000"/>
      <w:sz w:val="24"/>
      <w:szCs w:val="24"/>
      <w:lang w:eastAsia="ar-SA"/>
    </w:rPr>
  </w:style>
  <w:style w:type="paragraph" w:styleId="ListParagraph1" w:customStyle="1">
    <w:name w:val="List Paragraph1"/>
    <w:basedOn w:val="Normal"/>
    <w:qFormat w:val="1"/>
    <w:pPr>
      <w:spacing w:after="0" w:before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styleId="MTDisplayEquation" w:customStyle="1">
    <w:name w:val="MTDisplayEquation"/>
    <w:basedOn w:val="Normal"/>
    <w:next w:val="Normal"/>
    <w:qFormat w:val="1"/>
  </w:style>
  <w:style w:type="paragraph" w:styleId="WW-Footnote" w:customStyle="1">
    <w:name w:val="WW-Footnote"/>
    <w:basedOn w:val="Textodenotaderodap"/>
    <w:qFormat w:val="1"/>
  </w:style>
  <w:style w:type="paragraph" w:styleId="NormalWeb">
    <w:name w:val="Normal (Web)"/>
    <w:basedOn w:val="Normal"/>
    <w:qFormat w:val="1"/>
    <w:rPr>
      <w:rFonts w:ascii="Times New Roman" w:hAnsi="Times New Roman"/>
      <w:sz w:val="24"/>
      <w:szCs w:val="24"/>
    </w:rPr>
  </w:style>
  <w:style w:type="paragraph" w:styleId="StyleNormalWebArialNotBold" w:customStyle="1">
    <w:name w:val="Style Normal (Web) + Arial Not Bold"/>
    <w:basedOn w:val="NormalWeb"/>
    <w:qFormat w:val="1"/>
    <w:pPr>
      <w:spacing w:after="120" w:before="280" w:line="360" w:lineRule="auto"/>
      <w:ind w:left="-1" w:firstLine="706"/>
    </w:pPr>
    <w:rPr>
      <w:rFonts w:ascii="Arial" w:cs="Arial" w:hAnsi="Arial"/>
      <w:color w:val="000000"/>
    </w:rPr>
  </w:style>
  <w:style w:type="paragraph" w:styleId="StyletituloArial14pt" w:customStyle="1">
    <w:name w:val="Style titulo + Arial 14 pt"/>
    <w:basedOn w:val="Normal"/>
    <w:qFormat w:val="1"/>
    <w:pPr>
      <w:spacing w:after="120" w:before="240" w:line="336" w:lineRule="atLeast"/>
      <w:ind w:left="-1" w:firstLine="0"/>
    </w:pPr>
    <w:rPr>
      <w:rFonts w:ascii="Arial" w:cs="Arial" w:hAnsi="Arial"/>
      <w:b w:val="1"/>
      <w:bCs w:val="1"/>
      <w:color w:val="000000"/>
      <w:sz w:val="28"/>
      <w:szCs w:val="24"/>
    </w:rPr>
  </w:style>
  <w:style w:type="paragraph" w:styleId="StyleStyleNormalWebArialNotBoldLinespacingsingle" w:customStyle="1">
    <w:name w:val="Style Style Normal (Web) + Arial Not Bold + Line spacing:  single"/>
    <w:basedOn w:val="StyleNormalWebArialNotBold"/>
    <w:qFormat w:val="1"/>
    <w:pPr>
      <w:tabs>
        <w:tab w:val="left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styleId="ListaColorida-nfase11" w:customStyle="1">
    <w:name w:val="Lista Colorida - Ênfase 11"/>
    <w:basedOn w:val="Normal"/>
    <w:qFormat w:val="1"/>
    <w:pPr>
      <w:spacing w:after="200" w:before="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styleId="Sumrio10" w:customStyle="1">
    <w:name w:val="Sumário 10"/>
    <w:basedOn w:val="ndice"/>
    <w:qFormat w:val="1"/>
    <w:pPr>
      <w:ind w:left="2547" w:firstLine="0"/>
    </w:pPr>
  </w:style>
  <w:style w:type="paragraph" w:styleId="Contedodoquadro" w:customStyle="1">
    <w:name w:val="Conteúdo do quadro"/>
    <w:basedOn w:val="Corpodetexto"/>
    <w:qFormat w:val="1"/>
  </w:style>
  <w:style w:type="paragraph" w:styleId="Contedodatabela" w:customStyle="1">
    <w:name w:val="Conteúdo da tabela"/>
    <w:basedOn w:val="Normal"/>
    <w:qFormat w:val="1"/>
    <w:pPr>
      <w:suppressLineNumbers w:val="1"/>
    </w:pPr>
  </w:style>
  <w:style w:type="paragraph" w:styleId="Ttulodetabela" w:customStyle="1">
    <w:name w:val="Título de tabela"/>
    <w:basedOn w:val="Contedodatabela"/>
    <w:qFormat w:val="1"/>
    <w:pPr>
      <w:jc w:val="center"/>
    </w:pPr>
    <w:rPr>
      <w:b w:val="1"/>
      <w:bCs w:val="1"/>
    </w:rPr>
  </w:style>
  <w:style w:type="paragraph" w:styleId="Tabela" w:customStyle="1">
    <w:name w:val="Tabela"/>
    <w:basedOn w:val="Caption1"/>
    <w:qFormat w:val="1"/>
  </w:style>
  <w:style w:type="paragraph" w:styleId="Ilustrao" w:customStyle="1">
    <w:name w:val="Ilustração"/>
    <w:basedOn w:val="Caption1"/>
    <w:qFormat w:val="1"/>
  </w:style>
  <w:style w:type="paragraph" w:styleId="Figura" w:customStyle="1">
    <w:name w:val="Figura"/>
    <w:basedOn w:val="Caption1"/>
    <w:qFormat w:val="1"/>
  </w:style>
  <w:style w:type="paragraph" w:styleId="Textodenotadefim">
    <w:name w:val="endnote text"/>
    <w:basedOn w:val="Normal"/>
    <w:qFormat w:val="1"/>
  </w:style>
  <w:style w:type="paragraph" w:styleId="Textodecomentrio">
    <w:name w:val="annotation text"/>
    <w:basedOn w:val="Normal"/>
    <w:qFormat w:val="1"/>
  </w:style>
  <w:style w:type="paragraph" w:styleId="Assuntodocomentrio">
    <w:name w:val="annotation subject"/>
    <w:basedOn w:val="Textodecomentrio"/>
    <w:next w:val="Textodecomentrio"/>
    <w:qFormat w:val="1"/>
    <w:rPr>
      <w:b w:val="1"/>
      <w:bCs w:val="1"/>
    </w:rPr>
  </w:style>
  <w:style w:type="paragraph" w:styleId="Default" w:customStyle="1">
    <w:name w:val="Default"/>
    <w:qFormat w:val="1"/>
    <w:pPr>
      <w:suppressAutoHyphens w:val="1"/>
      <w:spacing w:after="0" w:before="0"/>
      <w:jc w:val="left"/>
    </w:pPr>
    <w:rPr>
      <w:rFonts w:ascii="Times New Roman" w:hAnsi="Times New Roman"/>
      <w:color w:val="000000"/>
      <w:sz w:val="24"/>
      <w:lang w:val="en-US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beatriz.gomes@ufnt.edu.br" TargetMode="External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17" Type="http://schemas.openxmlformats.org/officeDocument/2006/relationships/hyperlink" Target="https://www.cbra.org.br/portal/downloads/publicacoes/rbra/v44/n2/P.50-56%20(RB%208845)%20Silva.pdf" TargetMode="External"/><Relationship Id="rId16" Type="http://schemas.openxmlformats.org/officeDocument/2006/relationships/hyperlink" Target="https://rvz.emnuvens.com.br/rvz/article/view/363" TargetMode="External"/><Relationship Id="rId5" Type="http://schemas.openxmlformats.org/officeDocument/2006/relationships/styles" Target="styles.xml"/><Relationship Id="rId19" Type="http://schemas.openxmlformats.org/officeDocument/2006/relationships/footer" Target="footer4.xml"/><Relationship Id="rId6" Type="http://schemas.openxmlformats.org/officeDocument/2006/relationships/customXml" Target="../customXML/item1.xml"/><Relationship Id="rId18" Type="http://schemas.openxmlformats.org/officeDocument/2006/relationships/header" Target="header4.xml"/><Relationship Id="rId7" Type="http://schemas.openxmlformats.org/officeDocument/2006/relationships/hyperlink" Target="mailto:grasiella.ribeiro@ufnt.edu.br" TargetMode="External"/><Relationship Id="rId8" Type="http://schemas.openxmlformats.org/officeDocument/2006/relationships/hyperlink" Target="mailto:emanuely.costa@ufnt.edu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S68V89gDDp1LT8nxgRsAKCLlcA==">CgMxLjAyDmgucDRwZGY4NDlsbWd1MgloLjN6bnlzaDcyCmlkLjJldDkycDA4AHIhMWdZbDJtcWg5clVLTmhDZkNrVDVxZ0JicXV3eFIzeE1y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2025-10-09T13:56:00Z</dcterms:created>
  <dc:creator>Kenia Gonçalves Costa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false</vt:bool>
  </property>
  <property fmtid="{D5CDD505-2E9C-101B-9397-08002B2CF9AE}" pid="3" name="_TemplateID">
    <vt:lpwstr>TC060891651033</vt:lpwstr>
  </property>
</Properties>
</file>