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2C" w:rsidRDefault="00472BA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1" behindDoc="1" locked="0" layoutInCell="0" hidden="0" allowOverlap="1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543800" cy="2080895"/>
            <wp:effectExtent l="0" t="0" r="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/>
                      <a:extLst>
                        <a:ext uri="smNativeData">
  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m="smNativeData" xmlns:w="http://schemas.openxmlformats.org/wordprocessingml/2006/main" xmlns:w10="urn:schemas-microsoft-com:office:word" xmlns:v="urn:schemas-microsoft-com:vml" xmlns:o="urn:schemas-microsoft-com:office:office" xmlns="" val="SMDATA_14_2J9m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IAAAAAAAAAAAAAAAAAAAAgAAAGr5//8AAAAAAgAAAHf6//9oLgAAzQwAAAAAAADY/f//HAE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08089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D44D2C" w:rsidRDefault="00D44D2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4D2C" w:rsidRDefault="00D44D2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4D2C" w:rsidRDefault="00D44D2C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4D2C" w:rsidRDefault="00D44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60C17" w:rsidRPr="00460C17" w:rsidRDefault="00460C17" w:rsidP="00460C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SEMINÁRIO: IMPORTANTE FERRAMENTA PARA QUE O ALUNO SEJA PARTICIPATIVO E ATIVO DURANTE AS AULAS</w:t>
      </w:r>
    </w:p>
    <w:p w:rsidR="00D44D2C" w:rsidRDefault="00D44D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44D2C" w:rsidRDefault="00460C17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Ilidiano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Braz Silva</w:t>
      </w:r>
    </w:p>
    <w:p w:rsidR="00D44D2C" w:rsidRDefault="00460C1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Mestrando</w:t>
      </w:r>
      <w:r w:rsidR="00472BA6">
        <w:rPr>
          <w:rFonts w:ascii="Times New Roman" w:eastAsia="Times New Roman" w:hAnsi="Times New Roman"/>
          <w:color w:val="000000"/>
          <w:sz w:val="24"/>
          <w:szCs w:val="24"/>
        </w:rPr>
        <w:t xml:space="preserve"> em Educação - UNIMONTES</w:t>
      </w:r>
    </w:p>
    <w:p w:rsidR="00D44D2C" w:rsidRDefault="00D15DD8">
      <w:pPr>
        <w:spacing w:after="0" w:line="240" w:lineRule="auto"/>
        <w:jc w:val="right"/>
        <w:rPr>
          <w:rStyle w:val="Hyperlink"/>
          <w:rFonts w:ascii="Times New Roman" w:eastAsia="Times New Roman" w:hAnsi="Times New Roman"/>
          <w:color w:val="000000"/>
          <w:sz w:val="24"/>
          <w:szCs w:val="24"/>
        </w:rPr>
      </w:pPr>
      <w:hyperlink r:id="rId8" w:history="1">
        <w:r w:rsidR="00460C17" w:rsidRPr="00E46551">
          <w:rPr>
            <w:rStyle w:val="Hyperlink"/>
            <w:rFonts w:ascii="Times New Roman" w:eastAsia="Times New Roman" w:hAnsi="Times New Roman"/>
            <w:sz w:val="24"/>
            <w:szCs w:val="24"/>
          </w:rPr>
          <w:t>dydymg@gmail.com</w:t>
        </w:r>
      </w:hyperlink>
    </w:p>
    <w:p w:rsidR="00D44D2C" w:rsidRDefault="00472BA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Francely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Aparecida dos Santos</w:t>
      </w:r>
    </w:p>
    <w:p w:rsidR="00D44D2C" w:rsidRDefault="00EE2A9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A7C3B">
        <w:rPr>
          <w:rFonts w:ascii="Times New Roman" w:eastAsia="Times New Roman" w:hAnsi="Times New Roman"/>
          <w:color w:val="000000" w:themeColor="text1"/>
          <w:sz w:val="24"/>
          <w:szCs w:val="24"/>
        </w:rPr>
        <w:t>Professora do Mestrado em Educação</w:t>
      </w:r>
      <w:r w:rsidR="00472BA6" w:rsidRPr="001A7C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72BA6">
        <w:rPr>
          <w:rFonts w:ascii="Times New Roman" w:eastAsia="Times New Roman" w:hAnsi="Times New Roman"/>
          <w:color w:val="000000"/>
          <w:sz w:val="24"/>
          <w:szCs w:val="24"/>
        </w:rPr>
        <w:t>– UNIMONTES</w:t>
      </w:r>
    </w:p>
    <w:p w:rsidR="00D44D2C" w:rsidRDefault="00472B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francely.santos@unimontes.br</w:t>
      </w:r>
    </w:p>
    <w:p w:rsidR="00D44D2C" w:rsidRDefault="00D44D2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4D2C" w:rsidRPr="00C64EB6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64E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Resumo </w:t>
      </w:r>
    </w:p>
    <w:p w:rsidR="00C64EB6" w:rsidRPr="00C64EB6" w:rsidRDefault="00C64EB6" w:rsidP="00C64EB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64EB6">
        <w:rPr>
          <w:rFonts w:ascii="Times New Roman" w:hAnsi="Times New Roman"/>
          <w:bCs/>
          <w:sz w:val="24"/>
          <w:szCs w:val="24"/>
        </w:rPr>
        <w:t xml:space="preserve">Ao longo do percurso histórico do trabalho docente é possível perceber a centralidade do </w:t>
      </w:r>
      <w:r w:rsidR="00EE2A95">
        <w:rPr>
          <w:rFonts w:ascii="Times New Roman" w:hAnsi="Times New Roman"/>
          <w:bCs/>
          <w:sz w:val="24"/>
          <w:szCs w:val="24"/>
        </w:rPr>
        <w:t xml:space="preserve">professor no processo de ensino </w:t>
      </w:r>
      <w:r w:rsidR="00EE2A95" w:rsidRPr="001A7C3B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EE2A95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C64EB6">
        <w:rPr>
          <w:rFonts w:ascii="Times New Roman" w:hAnsi="Times New Roman"/>
          <w:bCs/>
          <w:sz w:val="24"/>
          <w:szCs w:val="24"/>
        </w:rPr>
        <w:t xml:space="preserve">aprendizagem dos </w:t>
      </w:r>
      <w:r w:rsidR="00EE2A95" w:rsidRPr="001A7C3B">
        <w:rPr>
          <w:rFonts w:ascii="Times New Roman" w:hAnsi="Times New Roman"/>
          <w:bCs/>
          <w:color w:val="000000" w:themeColor="text1"/>
          <w:sz w:val="24"/>
          <w:szCs w:val="24"/>
        </w:rPr>
        <w:t>estudantes</w:t>
      </w:r>
      <w:r w:rsidRPr="00C64EB6">
        <w:rPr>
          <w:rFonts w:ascii="Times New Roman" w:hAnsi="Times New Roman"/>
          <w:bCs/>
          <w:sz w:val="24"/>
          <w:szCs w:val="24"/>
        </w:rPr>
        <w:t xml:space="preserve"> e como detentor do saber. Contudo, com a evolução das discussões acerca dos processos de construção do conhecimento é possível notar que as metodologias foram se aperfeiçoando e descentralizando a figura do professor. Sendo assim, professores e estudantes passam a serem os responsáveis por construir mutuamente o conhecimento e, com isso, o seminário torna-se uma importante ferramenta para que o </w:t>
      </w:r>
      <w:r w:rsidR="00EE2A95" w:rsidRPr="001A7C3B">
        <w:rPr>
          <w:rFonts w:ascii="Times New Roman" w:hAnsi="Times New Roman"/>
          <w:bCs/>
          <w:color w:val="000000" w:themeColor="text1"/>
          <w:sz w:val="24"/>
          <w:szCs w:val="24"/>
        </w:rPr>
        <w:t>estudante</w:t>
      </w:r>
      <w:r w:rsidRPr="00C64EB6">
        <w:rPr>
          <w:rFonts w:ascii="Times New Roman" w:hAnsi="Times New Roman"/>
          <w:bCs/>
          <w:sz w:val="24"/>
          <w:szCs w:val="24"/>
        </w:rPr>
        <w:t xml:space="preserve"> seja cada vez mais participativo e ativo durante as aulas. Tendo isso em vista, o objetivo deste trabalho é </w:t>
      </w:r>
      <w:r w:rsidRPr="00C64EB6">
        <w:rPr>
          <w:rFonts w:ascii="Times New Roman" w:hAnsi="Times New Roman"/>
          <w:sz w:val="24"/>
          <w:szCs w:val="24"/>
        </w:rPr>
        <w:t xml:space="preserve">relatar como o seminário foi utilizado como ferramenta de reflexão entre a teoria crítica e as Pesquisas em Educação, apresentando o percurso de organização da fala e recursos metodológicos dos </w:t>
      </w:r>
      <w:r w:rsidR="00EE2A95" w:rsidRPr="001A7C3B">
        <w:rPr>
          <w:rFonts w:ascii="Times New Roman" w:hAnsi="Times New Roman"/>
          <w:bCs/>
          <w:color w:val="000000" w:themeColor="text1"/>
          <w:sz w:val="24"/>
          <w:szCs w:val="24"/>
        </w:rPr>
        <w:t>estudantes</w:t>
      </w:r>
      <w:r w:rsidRPr="001A7C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4EB6">
        <w:rPr>
          <w:rFonts w:ascii="Times New Roman" w:hAnsi="Times New Roman"/>
          <w:sz w:val="24"/>
          <w:szCs w:val="24"/>
        </w:rPr>
        <w:t>para conseguirem relacionar as teorias sobreditas. Para isso, empregou-se como metodologia</w:t>
      </w:r>
      <w:r w:rsidR="00EE2A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E2A95" w:rsidRPr="001A7C3B">
        <w:rPr>
          <w:rFonts w:ascii="Times New Roman" w:hAnsi="Times New Roman"/>
          <w:color w:val="000000" w:themeColor="text1"/>
          <w:sz w:val="24"/>
          <w:szCs w:val="24"/>
        </w:rPr>
        <w:t>participativa ativa</w:t>
      </w:r>
      <w:r w:rsidRPr="00C64EB6">
        <w:rPr>
          <w:rFonts w:ascii="Times New Roman" w:hAnsi="Times New Roman"/>
          <w:sz w:val="24"/>
          <w:szCs w:val="24"/>
        </w:rPr>
        <w:t xml:space="preserve">. As referências foram encontradas a partir do roteiro disponibilizado no início da disciplina, além de buscas feitas através do Google Acadêmico. Já a </w:t>
      </w:r>
      <w:r w:rsidR="00EE2A95" w:rsidRPr="001A7C3B">
        <w:rPr>
          <w:rFonts w:ascii="Times New Roman" w:hAnsi="Times New Roman"/>
          <w:color w:val="000000" w:themeColor="text1"/>
          <w:sz w:val="24"/>
          <w:szCs w:val="24"/>
        </w:rPr>
        <w:t xml:space="preserve">participação </w:t>
      </w:r>
      <w:proofErr w:type="gramStart"/>
      <w:r w:rsidR="00EE2A95" w:rsidRPr="001A7C3B">
        <w:rPr>
          <w:rFonts w:ascii="Times New Roman" w:hAnsi="Times New Roman"/>
          <w:color w:val="000000" w:themeColor="text1"/>
          <w:sz w:val="24"/>
          <w:szCs w:val="24"/>
        </w:rPr>
        <w:t xml:space="preserve">ativa </w:t>
      </w:r>
      <w:r w:rsidRPr="001A7C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4EB6">
        <w:rPr>
          <w:rFonts w:ascii="Times New Roman" w:hAnsi="Times New Roman"/>
          <w:sz w:val="24"/>
          <w:szCs w:val="24"/>
        </w:rPr>
        <w:t>durante</w:t>
      </w:r>
      <w:proofErr w:type="gramEnd"/>
      <w:r w:rsidRPr="00C64EB6">
        <w:rPr>
          <w:rFonts w:ascii="Times New Roman" w:hAnsi="Times New Roman"/>
          <w:sz w:val="24"/>
          <w:szCs w:val="24"/>
        </w:rPr>
        <w:t xml:space="preserve"> as aulas permitiu que fosse realizado a comparação entre os postulados teóricos e as situações vividas dentro do programa de Pós-Graduação em Educação da Universidade Estadual de Montes Claros- UNIMONTES. Por fim, constatou-se que, por meio da elaboração dos encaminhamentos da professora responsável pela disciplina, os pós-graduandos conseguiram elaborar reflexões úteis ao programa, revelando a necessidade de discussões e leituras que amparem e deem prosseguimento às Pesquisas em Educação. </w:t>
      </w:r>
    </w:p>
    <w:p w:rsidR="00D44D2C" w:rsidRPr="00C64EB6" w:rsidRDefault="00D44D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D44D2C" w:rsidRPr="00C64EB6" w:rsidRDefault="00472B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64EB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Palavras-chave: </w:t>
      </w:r>
      <w:r w:rsidR="00C64EB6" w:rsidRPr="00C64EB6">
        <w:rPr>
          <w:rFonts w:ascii="Times New Roman" w:hAnsi="Times New Roman"/>
          <w:bCs/>
          <w:sz w:val="24"/>
          <w:szCs w:val="24"/>
        </w:rPr>
        <w:t>Seminário. Pesquisas em Educação. Teoria Crítica. Reflexão.</w:t>
      </w:r>
    </w:p>
    <w:p w:rsidR="00D44D2C" w:rsidRDefault="00D44D2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Introdução</w:t>
      </w:r>
    </w:p>
    <w:p w:rsidR="00C64EB6" w:rsidRPr="00C64EB6" w:rsidRDefault="00C64EB6" w:rsidP="00C64E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C64E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Durante o primeiro semestre de 2022, os </w:t>
      </w:r>
      <w:r w:rsidR="00EE2A95" w:rsidRPr="001A7C3B">
        <w:rPr>
          <w:rFonts w:ascii="Times New Roman" w:hAnsi="Times New Roman"/>
          <w:bCs/>
          <w:color w:val="000000" w:themeColor="text1"/>
          <w:sz w:val="24"/>
          <w:szCs w:val="24"/>
        </w:rPr>
        <w:t>estudantes</w:t>
      </w:r>
      <w:r w:rsidRPr="00C64E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do Programa de Pós-Graduação em Educação (PPGE), da Universidade Estadual de Montes Claros- UNIMONTES, tiveram a disciplina de “Epistemologia e Pesquisa em Educação”. Essa disciplina é de suma importância para que os acadêmicos reflitam sobre as epistemologias existentes e possam reformular os projetos aprovados no último processo seletivo do programa. </w:t>
      </w:r>
    </w:p>
    <w:p w:rsidR="00C64EB6" w:rsidRPr="00C64EB6" w:rsidRDefault="00C64EB6" w:rsidP="00C64E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C64EB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Como todo processo educativo é marcado por estratégias, nesse caso não seria diferente. Sendo assim, como requisito parcial de avaliação, o seminário foi utilizado como uma importante ferramenta nas construções reflexivas dos estudantes deste referido semestre. Logo, nota-se que enunciar em um seminário possibilita aos mestrandos desenvolver-se academicamente e vivenciar a exposição oral pautada em postulados teóricos de renome.  </w:t>
      </w:r>
    </w:p>
    <w:p w:rsidR="00460C17" w:rsidRPr="00460C17" w:rsidRDefault="00460C17" w:rsidP="00460C1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Dessa forma, este resumo</w:t>
      </w:r>
      <w:r w:rsidRPr="00460C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tem como principal objetivo relatar como o seminário foi utilizado como ferramenta de reflexão entre a teoria crítica e as pesquisas em educação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60C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4EB6" w:rsidRDefault="00C64EB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Justificativa e problema da pesquisa</w:t>
      </w:r>
    </w:p>
    <w:p w:rsidR="00C64EB6" w:rsidRPr="008077D4" w:rsidRDefault="00C64EB6" w:rsidP="00A975BE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8077D4">
        <w:rPr>
          <w:rFonts w:ascii="Times New Roman" w:hAnsi="Times New Roman"/>
          <w:sz w:val="24"/>
        </w:rPr>
        <w:t>Esse estudo se faz necessário para verificar a utilização do seminário como ferramenta de reflexão entre Teoria Crítica e entender que as pesquisas em educação requer um encaminhamento bem estruturado, tendo em vista que os estudantes sigam as instruções fornecidas inicialmente, mas que consigam inferir seus próprios conheciment</w:t>
      </w:r>
      <w:r w:rsidR="00EE2A95">
        <w:rPr>
          <w:rFonts w:ascii="Times New Roman" w:hAnsi="Times New Roman"/>
          <w:sz w:val="24"/>
        </w:rPr>
        <w:t xml:space="preserve">os dentro do processo de ensino </w:t>
      </w:r>
      <w:r w:rsidR="00EE2A95" w:rsidRPr="00BA088C">
        <w:rPr>
          <w:rFonts w:ascii="Times New Roman" w:hAnsi="Times New Roman"/>
          <w:sz w:val="24"/>
        </w:rPr>
        <w:t xml:space="preserve">e de </w:t>
      </w:r>
      <w:r w:rsidRPr="008077D4">
        <w:rPr>
          <w:rFonts w:ascii="Times New Roman" w:hAnsi="Times New Roman"/>
          <w:sz w:val="24"/>
        </w:rPr>
        <w:t xml:space="preserve">aprendizagem. Além disso, utilizar o seminário revela a possibilidade de busca por novas fontes, que visam a expansão teórica dos acadêmicos inseridos no contexto da Pós-Graduação. </w:t>
      </w:r>
    </w:p>
    <w:p w:rsidR="00D44D2C" w:rsidRDefault="00D44D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Objetivos da pesquisa</w:t>
      </w:r>
    </w:p>
    <w:p w:rsidR="00460C17" w:rsidRDefault="008077D4">
      <w:pPr>
        <w:pStyle w:val="PargrafodaLista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077D4">
        <w:rPr>
          <w:rFonts w:ascii="Times New Roman" w:hAnsi="Times New Roman"/>
          <w:sz w:val="24"/>
          <w:szCs w:val="24"/>
        </w:rPr>
        <w:t>Relatar como o seminário foi utilizado como ferramenta de reflexão entre a teoria crítica e as pesquisas em educação</w:t>
      </w:r>
      <w:r w:rsidRPr="008077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D44D2C" w:rsidRPr="008077D4" w:rsidRDefault="00460C17">
      <w:pPr>
        <w:pStyle w:val="PargrafodaLista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Apresentar</w:t>
      </w:r>
      <w:r w:rsidRPr="00C64EB6">
        <w:rPr>
          <w:rFonts w:ascii="Times New Roman" w:hAnsi="Times New Roman"/>
          <w:sz w:val="24"/>
          <w:szCs w:val="24"/>
        </w:rPr>
        <w:t xml:space="preserve"> o percurso de organização da fala e recursos metodológicos dos discentes para conseguirem relacionar as teorias sobreditas.</w:t>
      </w:r>
    </w:p>
    <w:p w:rsidR="00D44D2C" w:rsidRDefault="00D44D2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Referencial teórico que fundamenta a pesquisa</w:t>
      </w:r>
    </w:p>
    <w:p w:rsidR="00D44D2C" w:rsidRDefault="00807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077D4">
        <w:rPr>
          <w:rFonts w:ascii="Times New Roman" w:eastAsia="Times New Roman" w:hAnsi="Times New Roman"/>
          <w:bCs/>
          <w:color w:val="000000"/>
          <w:sz w:val="24"/>
          <w:szCs w:val="24"/>
        </w:rPr>
        <w:t>As referências foram encontradas a partir do roteiro disponibilizado no início da disciplina, além de buscas feitas através do Google Acadêmico.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 seminário foi realizado a partir das</w:t>
      </w:r>
      <w:r w:rsidR="00472BA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ideias trazidas no livro Pesquisa Social: teoria, método e criatividade, organizado pela pesquisadora Maria Cecília de Souza </w:t>
      </w:r>
      <w:proofErr w:type="spellStart"/>
      <w:r w:rsidR="00472BA6">
        <w:rPr>
          <w:rFonts w:ascii="Times New Roman" w:eastAsia="Times New Roman" w:hAnsi="Times New Roman"/>
          <w:bCs/>
          <w:color w:val="000000"/>
          <w:sz w:val="24"/>
          <w:szCs w:val="24"/>
        </w:rPr>
        <w:t>Minayo</w:t>
      </w:r>
      <w:proofErr w:type="spellEnd"/>
      <w:r w:rsidR="00472BA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(2016)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 de outros autores apresentados no cronograma da disciplina de Epistemologia </w:t>
      </w:r>
    </w:p>
    <w:p w:rsidR="008077D4" w:rsidRDefault="00807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Procedimentos metodológicos</w:t>
      </w:r>
    </w:p>
    <w:p w:rsidR="008077D4" w:rsidRDefault="00EE2A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C64EB6">
        <w:rPr>
          <w:rFonts w:ascii="Times New Roman" w:hAnsi="Times New Roman"/>
          <w:sz w:val="24"/>
          <w:szCs w:val="24"/>
        </w:rPr>
        <w:t>etodologia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7C3B">
        <w:rPr>
          <w:rFonts w:ascii="Times New Roman" w:hAnsi="Times New Roman"/>
          <w:color w:val="000000" w:themeColor="text1"/>
          <w:sz w:val="24"/>
          <w:szCs w:val="24"/>
        </w:rPr>
        <w:t>participativa ativa</w:t>
      </w:r>
    </w:p>
    <w:p w:rsidR="00EE2A95" w:rsidRDefault="00EE2A9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Análise dos dados e resultados finais da pesquisa</w:t>
      </w:r>
    </w:p>
    <w:p w:rsidR="008B68DC" w:rsidRPr="008B68DC" w:rsidRDefault="008B68DC" w:rsidP="008B68D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>ota-se que o s</w:t>
      </w:r>
      <w:r>
        <w:rPr>
          <w:rFonts w:ascii="Times New Roman" w:eastAsia="Times New Roman" w:hAnsi="Times New Roman"/>
          <w:color w:val="000000"/>
          <w:sz w:val="24"/>
          <w:szCs w:val="24"/>
        </w:rPr>
        <w:t>eminário aqui analisado conseguiu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>, em sua organização e desenvolvimento, atingir uma didática que transparece o comprometiment</w:t>
      </w:r>
      <w:r w:rsidR="00096F2A">
        <w:rPr>
          <w:rFonts w:ascii="Times New Roman" w:eastAsia="Times New Roman" w:hAnsi="Times New Roman"/>
          <w:color w:val="000000"/>
          <w:sz w:val="24"/>
          <w:szCs w:val="24"/>
        </w:rPr>
        <w:t>o da docente para com os alunos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>. Sendo assim, a docente ao pensar est</w:t>
      </w:r>
      <w:r>
        <w:rPr>
          <w:rFonts w:ascii="Times New Roman" w:eastAsia="Times New Roman" w:hAnsi="Times New Roman"/>
          <w:color w:val="000000"/>
          <w:sz w:val="24"/>
          <w:szCs w:val="24"/>
        </w:rPr>
        <w:t>e seminário para a turma de 2022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 xml:space="preserve"> levou em consideração didáticas que foram exitosas, o que contribuiu para a aplicação com sucesso neste semestre e, para além disso, ajudar a formar sujeitos que pensem sobre suas próprias ações e superem as dificu</w:t>
      </w:r>
      <w:r w:rsidR="00EE2A95">
        <w:rPr>
          <w:rFonts w:ascii="Times New Roman" w:eastAsia="Times New Roman" w:hAnsi="Times New Roman"/>
          <w:color w:val="000000"/>
          <w:sz w:val="24"/>
          <w:szCs w:val="24"/>
        </w:rPr>
        <w:t xml:space="preserve">ldades em se tornar professores </w:t>
      </w:r>
      <w:r w:rsidR="00EE2A95" w:rsidRPr="001A7C3B">
        <w:rPr>
          <w:rFonts w:ascii="Times New Roman" w:eastAsia="Times New Roman" w:hAnsi="Times New Roman"/>
          <w:color w:val="000000" w:themeColor="text1"/>
          <w:sz w:val="24"/>
          <w:szCs w:val="24"/>
        </w:rPr>
        <w:t>e</w:t>
      </w:r>
      <w:r w:rsidR="00EE2A9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 xml:space="preserve">pesquisadores (ANDRÉ, 2015). </w:t>
      </w:r>
    </w:p>
    <w:p w:rsidR="008B68DC" w:rsidRPr="008B68DC" w:rsidRDefault="008B68DC" w:rsidP="008B68D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>No que se refere à postura dos discentes da disciplina de Epistemologia, é perceptível que houveram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algumas dificuldades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>. Contudo, sabe-se o aprender é permeado</w:t>
      </w:r>
      <w:r w:rsidRPr="001A7C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E2A95" w:rsidRPr="001A7C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também 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 xml:space="preserve">por </w:t>
      </w:r>
      <w:r w:rsidR="00EE2A95" w:rsidRPr="001A7C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algumas 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 xml:space="preserve">dificuldades que são </w:t>
      </w:r>
      <w:r w:rsidR="00EE2A95" w:rsidRPr="001A7C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trabalhadas 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>ao longo do processo. Dessa forma, o encaminhamento disponibilizado pela professora facilitou, em grande medida, na realização de discussões pertinentes para todos. Ademais, o objetivo do seminário é alcançado, tendo em vista que todos os participantes realizaram uma reflexão aprofundada sobre o problema, fizeram uma 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eitura </w:t>
      </w:r>
      <w:r w:rsidR="00EE2A95" w:rsidRPr="001A7C3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atenciosa e reflexiva </w:t>
      </w:r>
      <w:r>
        <w:rPr>
          <w:rFonts w:ascii="Times New Roman" w:eastAsia="Times New Roman" w:hAnsi="Times New Roman"/>
          <w:color w:val="000000"/>
          <w:sz w:val="24"/>
          <w:szCs w:val="24"/>
        </w:rPr>
        <w:t>dos textos, elaboram mapas conceituais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fizeram excelentes apresentações.</w:t>
      </w:r>
      <w:r w:rsidRPr="008B68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8B68DC" w:rsidRDefault="008B68D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A088C" w:rsidRDefault="00BA08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Relação do objeto de estudo com a pesquisa em Educação e Grupo de Trabalho do COPED</w:t>
      </w:r>
    </w:p>
    <w:p w:rsidR="00A975BE" w:rsidRPr="00AC0AC7" w:rsidRDefault="00A975BE" w:rsidP="00A975B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C0AC7">
        <w:rPr>
          <w:rFonts w:ascii="Times New Roman" w:hAnsi="Times New Roman"/>
          <w:sz w:val="24"/>
          <w:szCs w:val="24"/>
          <w:shd w:val="clear" w:color="auto" w:fill="FFFFFF"/>
        </w:rPr>
        <w:t xml:space="preserve">O uso do seminário como ferramenta de reflexão pode ser considerado como uma forma de encaminhamento necessário dentro das aulas da Pós-graduação, visto que fornece a todos os participantes diversos pontos a serem pensados. </w:t>
      </w:r>
      <w:r w:rsidRPr="00AC0AC7">
        <w:rPr>
          <w:rFonts w:ascii="Times New Roman" w:hAnsi="Times New Roman"/>
          <w:sz w:val="24"/>
        </w:rPr>
        <w:t xml:space="preserve">O processo de ensino e </w:t>
      </w:r>
      <w:r w:rsidR="00EE2A95" w:rsidRPr="001A7C3B">
        <w:rPr>
          <w:rFonts w:ascii="Times New Roman" w:hAnsi="Times New Roman"/>
          <w:color w:val="000000" w:themeColor="text1"/>
          <w:sz w:val="24"/>
        </w:rPr>
        <w:t>de</w:t>
      </w:r>
      <w:r w:rsidR="00EE2A95">
        <w:rPr>
          <w:rFonts w:ascii="Times New Roman" w:hAnsi="Times New Roman"/>
          <w:color w:val="FF0000"/>
          <w:sz w:val="24"/>
        </w:rPr>
        <w:t xml:space="preserve"> </w:t>
      </w:r>
      <w:r w:rsidRPr="00AC0AC7">
        <w:rPr>
          <w:rFonts w:ascii="Times New Roman" w:hAnsi="Times New Roman"/>
          <w:sz w:val="24"/>
        </w:rPr>
        <w:t>aprendizagem na Pós-Graduação deve ser visto como uma forma de corrobor</w:t>
      </w:r>
      <w:r w:rsidR="00EE2A95">
        <w:rPr>
          <w:rFonts w:ascii="Times New Roman" w:hAnsi="Times New Roman"/>
          <w:sz w:val="24"/>
        </w:rPr>
        <w:t xml:space="preserve">ar para a formação do professor </w:t>
      </w:r>
      <w:r w:rsidR="00EE2A95" w:rsidRPr="001A7C3B">
        <w:rPr>
          <w:rFonts w:ascii="Times New Roman" w:hAnsi="Times New Roman"/>
          <w:color w:val="000000" w:themeColor="text1"/>
          <w:sz w:val="24"/>
        </w:rPr>
        <w:t xml:space="preserve">que também </w:t>
      </w:r>
      <w:proofErr w:type="gramStart"/>
      <w:r w:rsidR="00EE2A95" w:rsidRPr="001A7C3B">
        <w:rPr>
          <w:rFonts w:ascii="Times New Roman" w:hAnsi="Times New Roman"/>
          <w:color w:val="000000" w:themeColor="text1"/>
          <w:sz w:val="24"/>
        </w:rPr>
        <w:t>é</w:t>
      </w:r>
      <w:r w:rsidR="00EE2A95">
        <w:rPr>
          <w:rFonts w:ascii="Times New Roman" w:hAnsi="Times New Roman"/>
          <w:color w:val="FF0000"/>
          <w:sz w:val="24"/>
        </w:rPr>
        <w:t xml:space="preserve"> </w:t>
      </w:r>
      <w:r w:rsidR="00EE2A95" w:rsidRPr="00EE2A95">
        <w:rPr>
          <w:rFonts w:ascii="Times New Roman" w:hAnsi="Times New Roman"/>
          <w:color w:val="FF0000"/>
          <w:sz w:val="24"/>
        </w:rPr>
        <w:t xml:space="preserve"> </w:t>
      </w:r>
      <w:r w:rsidRPr="00AC0AC7">
        <w:rPr>
          <w:rFonts w:ascii="Times New Roman" w:hAnsi="Times New Roman"/>
          <w:sz w:val="24"/>
        </w:rPr>
        <w:t>pesquisador</w:t>
      </w:r>
      <w:proofErr w:type="gramEnd"/>
      <w:r w:rsidRPr="00AC0AC7">
        <w:rPr>
          <w:rFonts w:ascii="Times New Roman" w:hAnsi="Times New Roman"/>
          <w:sz w:val="24"/>
        </w:rPr>
        <w:t>.</w:t>
      </w:r>
    </w:p>
    <w:p w:rsidR="00D44D2C" w:rsidRPr="00460C17" w:rsidRDefault="00472BA6" w:rsidP="0046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Considerações finais</w:t>
      </w:r>
    </w:p>
    <w:p w:rsidR="00A975BE" w:rsidRPr="00A975BE" w:rsidRDefault="00A975BE" w:rsidP="00A975BE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A975BE">
        <w:rPr>
          <w:rFonts w:ascii="Times New Roman" w:hAnsi="Times New Roman"/>
          <w:sz w:val="24"/>
        </w:rPr>
        <w:t xml:space="preserve">O seminário proposto pela professora que ministra a disciplina favoreceu para o desenvolvimento da autonomia intelectual dos pós-graduandos, de maneira que todos conseguiram se expressar a partir de um aporte teórico definido e pesquisado. </w:t>
      </w:r>
    </w:p>
    <w:p w:rsidR="00D44D2C" w:rsidRDefault="00472BA6" w:rsidP="00460C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Referências</w:t>
      </w:r>
    </w:p>
    <w:p w:rsidR="00A975BE" w:rsidRDefault="00A975BE" w:rsidP="00A975BE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975B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ANDRÉ, Marli. Desafios na formação do pesquisador da prática pedagógica. </w:t>
      </w:r>
      <w:r w:rsidRPr="00A975B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Didática e a prática de ensino: </w:t>
      </w:r>
      <w:r w:rsidRPr="0022111C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 xml:space="preserve">diálogos sobre a escola, a formação de professores e a sociedade. Fortaleza, CE: </w:t>
      </w:r>
      <w:proofErr w:type="spellStart"/>
      <w:r w:rsidRPr="0022111C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EdUECE</w:t>
      </w:r>
      <w:proofErr w:type="spellEnd"/>
      <w:r w:rsidRPr="00A975B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p. 148-159, 2015.</w:t>
      </w:r>
    </w:p>
    <w:p w:rsidR="00460C17" w:rsidRPr="00460C17" w:rsidRDefault="00460C17" w:rsidP="00A975BE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44D2C" w:rsidRDefault="00472B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MINAYO, M.C.S.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Pesquisa Social: </w:t>
      </w:r>
      <w:r w:rsidRPr="0022111C">
        <w:rPr>
          <w:rFonts w:ascii="Times New Roman" w:eastAsia="Times New Roman" w:hAnsi="Times New Roman"/>
          <w:bCs/>
          <w:color w:val="000000"/>
          <w:sz w:val="24"/>
          <w:szCs w:val="24"/>
        </w:rPr>
        <w:t>teoria, método e criatividade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Petrópolis, RJ: Vozes, 2016. (Série Manuais Acadêmicos).</w:t>
      </w:r>
    </w:p>
    <w:p w:rsidR="00D44D2C" w:rsidRDefault="00D44D2C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sectPr w:rsidR="00D44D2C">
      <w:headerReference w:type="default" r:id="rId9"/>
      <w:footerReference w:type="default" r:id="rId10"/>
      <w:endnotePr>
        <w:numFmt w:val="decimal"/>
      </w:endnotePr>
      <w:pgSz w:w="11906" w:h="16838"/>
      <w:pgMar w:top="1701" w:right="1134" w:bottom="1701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D8" w:rsidRDefault="00D15DD8">
      <w:pPr>
        <w:spacing w:after="0" w:line="240" w:lineRule="auto"/>
      </w:pPr>
      <w:r>
        <w:separator/>
      </w:r>
    </w:p>
  </w:endnote>
  <w:endnote w:type="continuationSeparator" w:id="0">
    <w:p w:rsidR="00D15DD8" w:rsidRDefault="00D1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2C" w:rsidRDefault="00472BA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5" behindDoc="1" locked="0" layoutInCell="0" hidden="0" allowOverlap="1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680" cy="921385"/>
          <wp:effectExtent l="0" t="0" r="0" b="0"/>
          <wp:wrapNone/>
          <wp:docPr id="102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4"/>
                  <pic:cNvPicPr>
                    <a:picLocks noChangeAspect="1"/>
                    <a:extLst>
                      <a:ext uri="smNativeData">
                        <sm:smNativeData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m="smNativeData" xmlns:w="http://schemas.openxmlformats.org/wordprocessingml/2006/main" xmlns:w10="urn:schemas-microsoft-com:office:word" xmlns:v="urn:schemas-microsoft-com:vml" xmlns:o="urn:schemas-microsoft-com:office:office" xmlns="" val="SMDATA_14_2J9m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CQIAAAAAAAAAAAAAAAAAAAAgAAAGr5//8AAAAAAgAAACn+///ALgAAqwUAAAAAAADY/f//Hjw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80" cy="92138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D8" w:rsidRDefault="00D15DD8">
      <w:pPr>
        <w:spacing w:after="0" w:line="240" w:lineRule="auto"/>
      </w:pPr>
      <w:r>
        <w:separator/>
      </w:r>
    </w:p>
  </w:footnote>
  <w:footnote w:type="continuationSeparator" w:id="0">
    <w:p w:rsidR="00D15DD8" w:rsidRDefault="00D15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2C" w:rsidRDefault="00D44D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C3FCD"/>
    <w:multiLevelType w:val="hybridMultilevel"/>
    <w:tmpl w:val="FFFFFFFF"/>
    <w:name w:val="Lista numerada 6"/>
    <w:lvl w:ilvl="0" w:tplc="BD0E6DF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DF84B8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B02A1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6F61EE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81A33D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D6ECC5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A042C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20088C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6E540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31AE141D"/>
    <w:multiLevelType w:val="hybridMultilevel"/>
    <w:tmpl w:val="FFFFFFFF"/>
    <w:name w:val="Lista numerada 1"/>
    <w:lvl w:ilvl="0" w:tplc="B71EA9C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1F863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AA4A88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600C2ED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CB813B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AC8CE18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3330023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2B40BA4C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A4525BF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">
    <w:nsid w:val="4A7C2D62"/>
    <w:multiLevelType w:val="hybridMultilevel"/>
    <w:tmpl w:val="FFFFFFFF"/>
    <w:name w:val="Lista numerada 5"/>
    <w:lvl w:ilvl="0" w:tplc="6BC024EE">
      <w:start w:val="1"/>
      <w:numFmt w:val="decimal"/>
      <w:lvlText w:val="%1."/>
      <w:lvlJc w:val="left"/>
      <w:pPr>
        <w:ind w:left="360" w:firstLine="0"/>
      </w:pPr>
    </w:lvl>
    <w:lvl w:ilvl="1" w:tplc="455C5628">
      <w:start w:val="1"/>
      <w:numFmt w:val="lowerLetter"/>
      <w:lvlText w:val="%2."/>
      <w:lvlJc w:val="left"/>
      <w:pPr>
        <w:ind w:left="1080" w:firstLine="0"/>
      </w:pPr>
    </w:lvl>
    <w:lvl w:ilvl="2" w:tplc="93743EC8">
      <w:start w:val="1"/>
      <w:numFmt w:val="lowerRoman"/>
      <w:lvlText w:val="%3."/>
      <w:lvlJc w:val="left"/>
      <w:pPr>
        <w:ind w:left="1980" w:firstLine="0"/>
      </w:pPr>
    </w:lvl>
    <w:lvl w:ilvl="3" w:tplc="E6C82D58">
      <w:start w:val="1"/>
      <w:numFmt w:val="decimal"/>
      <w:lvlText w:val="%4."/>
      <w:lvlJc w:val="left"/>
      <w:pPr>
        <w:ind w:left="2520" w:firstLine="0"/>
      </w:pPr>
    </w:lvl>
    <w:lvl w:ilvl="4" w:tplc="F17A77A4">
      <w:start w:val="1"/>
      <w:numFmt w:val="lowerLetter"/>
      <w:lvlText w:val="%5."/>
      <w:lvlJc w:val="left"/>
      <w:pPr>
        <w:ind w:left="3240" w:firstLine="0"/>
      </w:pPr>
    </w:lvl>
    <w:lvl w:ilvl="5" w:tplc="428ECCBE">
      <w:start w:val="1"/>
      <w:numFmt w:val="lowerRoman"/>
      <w:lvlText w:val="%6."/>
      <w:lvlJc w:val="left"/>
      <w:pPr>
        <w:ind w:left="4140" w:firstLine="0"/>
      </w:pPr>
    </w:lvl>
    <w:lvl w:ilvl="6" w:tplc="30209C48">
      <w:start w:val="1"/>
      <w:numFmt w:val="decimal"/>
      <w:lvlText w:val="%7."/>
      <w:lvlJc w:val="left"/>
      <w:pPr>
        <w:ind w:left="4680" w:firstLine="0"/>
      </w:pPr>
    </w:lvl>
    <w:lvl w:ilvl="7" w:tplc="0B3C7478">
      <w:start w:val="1"/>
      <w:numFmt w:val="lowerLetter"/>
      <w:lvlText w:val="%8."/>
      <w:lvlJc w:val="left"/>
      <w:pPr>
        <w:ind w:left="5400" w:firstLine="0"/>
      </w:pPr>
    </w:lvl>
    <w:lvl w:ilvl="8" w:tplc="B2BA0222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63DF343A"/>
    <w:multiLevelType w:val="hybridMultilevel"/>
    <w:tmpl w:val="FFFFFFFF"/>
    <w:name w:val="Lista numerada 4"/>
    <w:lvl w:ilvl="0" w:tplc="B86A339E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AF56E23A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89CCBB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9C60826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A778284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69DCA24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808CB7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F41EAB72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CC1CD9C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>
    <w:nsid w:val="69244F36"/>
    <w:multiLevelType w:val="hybridMultilevel"/>
    <w:tmpl w:val="FFFFFFFF"/>
    <w:name w:val="Lista numerada 3"/>
    <w:lvl w:ilvl="0" w:tplc="01D0010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06928F18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2446EBE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4DC055E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32482AA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53B6F2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1BCA5D6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A1A3E3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3A9A875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">
    <w:nsid w:val="74E968F5"/>
    <w:multiLevelType w:val="hybridMultilevel"/>
    <w:tmpl w:val="FFFFFFFF"/>
    <w:lvl w:ilvl="0" w:tplc="7E70FA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F309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0C6638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ABC79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4E512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AD68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7487CF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5D04A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C82B0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74F93DA2"/>
    <w:multiLevelType w:val="hybridMultilevel"/>
    <w:tmpl w:val="FFFFFFFF"/>
    <w:name w:val="Lista numerada 2"/>
    <w:lvl w:ilvl="0" w:tplc="5810DC6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E9F64720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EE5E09B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FD3A529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280388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822CE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E1BEBA2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D0586C0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7BB420C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2C"/>
    <w:rsid w:val="00096F2A"/>
    <w:rsid w:val="001A7C3B"/>
    <w:rsid w:val="0022111C"/>
    <w:rsid w:val="00460C17"/>
    <w:rsid w:val="00472BA6"/>
    <w:rsid w:val="0067671A"/>
    <w:rsid w:val="006D4715"/>
    <w:rsid w:val="008077D4"/>
    <w:rsid w:val="008B68DC"/>
    <w:rsid w:val="00A46EEA"/>
    <w:rsid w:val="00A975BE"/>
    <w:rsid w:val="00BA088C"/>
    <w:rsid w:val="00BB180E"/>
    <w:rsid w:val="00C64EB6"/>
    <w:rsid w:val="00CC2931"/>
    <w:rsid w:val="00D15DD8"/>
    <w:rsid w:val="00D44D2C"/>
    <w:rsid w:val="00E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835C8-D5EC-421C-8ABD-06973C28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dym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1054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DIDI</cp:lastModifiedBy>
  <cp:revision>5</cp:revision>
  <dcterms:created xsi:type="dcterms:W3CDTF">2022-05-02T22:56:00Z</dcterms:created>
  <dcterms:modified xsi:type="dcterms:W3CDTF">2022-05-13T18:41:00Z</dcterms:modified>
</cp:coreProperties>
</file>