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BD55" w14:textId="7BBFD358" w:rsidR="00CA7B44" w:rsidRPr="00D919BF" w:rsidRDefault="00D919BF" w:rsidP="006B532F">
      <w:pPr>
        <w:pStyle w:val="BodyText"/>
      </w:pPr>
      <w:r>
        <w:rPr>
          <w:b/>
          <w:bCs/>
          <w:sz w:val="28"/>
          <w:szCs w:val="28"/>
        </w:rPr>
        <w:t>PROMOTING INDUSTRIAL DEVELOPMENT</w:t>
      </w:r>
      <w:r w:rsidRPr="00D919BF">
        <w:rPr>
          <w:b/>
          <w:bCs/>
          <w:sz w:val="28"/>
          <w:szCs w:val="28"/>
        </w:rPr>
        <w:t xml:space="preserve"> </w:t>
      </w:r>
      <w:r>
        <w:rPr>
          <w:b/>
          <w:bCs/>
          <w:sz w:val="28"/>
          <w:szCs w:val="28"/>
        </w:rPr>
        <w:t>FOR THE</w:t>
      </w:r>
      <w:r w:rsidRPr="00D919BF">
        <w:rPr>
          <w:b/>
          <w:bCs/>
          <w:sz w:val="28"/>
          <w:szCs w:val="28"/>
        </w:rPr>
        <w:t xml:space="preserve"> ENERGY TRANSITION IN LATIN AMERICA: LESSONS FROM THE WIND </w:t>
      </w:r>
      <w:r>
        <w:rPr>
          <w:b/>
          <w:bCs/>
          <w:sz w:val="28"/>
          <w:szCs w:val="28"/>
        </w:rPr>
        <w:t xml:space="preserve">ENERGY </w:t>
      </w:r>
      <w:r w:rsidRPr="00D919BF">
        <w:rPr>
          <w:b/>
          <w:bCs/>
          <w:sz w:val="28"/>
          <w:szCs w:val="28"/>
        </w:rPr>
        <w:t xml:space="preserve">AND </w:t>
      </w:r>
      <w:r>
        <w:rPr>
          <w:b/>
          <w:bCs/>
          <w:sz w:val="28"/>
          <w:szCs w:val="28"/>
        </w:rPr>
        <w:t xml:space="preserve">THE GREEN </w:t>
      </w:r>
      <w:r w:rsidRPr="00D919BF">
        <w:rPr>
          <w:b/>
          <w:bCs/>
          <w:sz w:val="28"/>
          <w:szCs w:val="28"/>
        </w:rPr>
        <w:t xml:space="preserve">HYDROGEN </w:t>
      </w:r>
      <w:r>
        <w:rPr>
          <w:b/>
          <w:bCs/>
          <w:sz w:val="28"/>
          <w:szCs w:val="28"/>
        </w:rPr>
        <w:t xml:space="preserve">SECTORS </w:t>
      </w:r>
      <w:r w:rsidRPr="00D919BF">
        <w:rPr>
          <w:b/>
          <w:bCs/>
          <w:sz w:val="28"/>
          <w:szCs w:val="28"/>
        </w:rPr>
        <w:t>IN ARGENTINA</w:t>
      </w:r>
      <w:r w:rsidR="00000000" w:rsidRPr="00D919BF">
        <w:br w:type="column"/>
      </w:r>
    </w:p>
    <w:p w14:paraId="69570EE8" w14:textId="77777777" w:rsidR="006B532F" w:rsidRPr="00D919BF" w:rsidRDefault="006B532F" w:rsidP="006B532F">
      <w:pPr>
        <w:pStyle w:val="BodyText"/>
      </w:pPr>
    </w:p>
    <w:p w14:paraId="7D339062" w14:textId="77777777" w:rsidR="006B532F" w:rsidRPr="00D919BF" w:rsidRDefault="006B532F" w:rsidP="006B532F">
      <w:pPr>
        <w:pStyle w:val="BodyText"/>
      </w:pPr>
    </w:p>
    <w:p w14:paraId="3EEEE94A" w14:textId="77777777" w:rsidR="006B532F" w:rsidRPr="00D919BF" w:rsidRDefault="006B532F" w:rsidP="006B532F">
      <w:pPr>
        <w:pStyle w:val="BodyText"/>
        <w:rPr>
          <w:sz w:val="23"/>
        </w:rPr>
      </w:pPr>
    </w:p>
    <w:p w14:paraId="3EB25E51" w14:textId="3294BF8F" w:rsidR="003A4545" w:rsidRPr="0039394F" w:rsidRDefault="003A4545">
      <w:pPr>
        <w:pStyle w:val="BodyText"/>
        <w:spacing w:before="1"/>
        <w:ind w:left="112" w:right="103" w:firstLine="64"/>
        <w:jc w:val="right"/>
        <w:rPr>
          <w:lang w:val="es-AR"/>
        </w:rPr>
      </w:pPr>
      <w:r w:rsidRPr="003A4545">
        <w:rPr>
          <w:lang w:val="es-AR"/>
        </w:rPr>
        <w:t>María Eugenia Castelao Caruana, Fundación Bar</w:t>
      </w:r>
      <w:r>
        <w:rPr>
          <w:lang w:val="es-AR"/>
        </w:rPr>
        <w:t>i</w:t>
      </w:r>
      <w:r w:rsidRPr="003A4545">
        <w:rPr>
          <w:lang w:val="es-AR"/>
        </w:rPr>
        <w:t xml:space="preserve">loche- CONICET, </w:t>
      </w:r>
      <w:hyperlink r:id="rId5" w:history="1">
        <w:r w:rsidRPr="0039394F">
          <w:rPr>
            <w:rStyle w:val="Hyperlink"/>
            <w:color w:val="auto"/>
            <w:lang w:val="es-AR"/>
          </w:rPr>
          <w:t>eugeniacastelao@conicet.gov.ar</w:t>
        </w:r>
      </w:hyperlink>
    </w:p>
    <w:p w14:paraId="59E4619E" w14:textId="3EC53B0F" w:rsidR="005058AB" w:rsidRPr="0039394F" w:rsidRDefault="0039394F">
      <w:pPr>
        <w:pStyle w:val="BodyText"/>
        <w:spacing w:before="1"/>
        <w:ind w:left="112" w:right="103" w:firstLine="64"/>
        <w:jc w:val="right"/>
      </w:pPr>
      <w:r w:rsidRPr="0039394F">
        <w:t xml:space="preserve">Carolina </w:t>
      </w:r>
      <w:proofErr w:type="spellStart"/>
      <w:r w:rsidRPr="0039394F">
        <w:t>Pasciaroni</w:t>
      </w:r>
      <w:proofErr w:type="spellEnd"/>
      <w:r w:rsidRPr="0039394F">
        <w:t xml:space="preserve">, </w:t>
      </w:r>
      <w:proofErr w:type="spellStart"/>
      <w:r w:rsidRPr="0039394F">
        <w:t>Departamento</w:t>
      </w:r>
      <w:proofErr w:type="spellEnd"/>
      <w:r w:rsidRPr="0039394F">
        <w:t xml:space="preserve"> de Economía UNS, IIESS-CONICET, </w:t>
      </w:r>
      <w:r w:rsidRPr="00180A20">
        <w:rPr>
          <w:rStyle w:val="Hyperlink"/>
          <w:color w:val="auto"/>
          <w:lang w:val="pt-BR"/>
        </w:rPr>
        <w:t>carolina.pasciaroni@uns.edu.ar</w:t>
      </w:r>
    </w:p>
    <w:p w14:paraId="7A86A8A6" w14:textId="331F5673" w:rsidR="005058AB" w:rsidRPr="0039394F" w:rsidRDefault="005058AB">
      <w:pPr>
        <w:pStyle w:val="BodyText"/>
        <w:spacing w:before="1"/>
        <w:ind w:left="112" w:right="103" w:firstLine="64"/>
        <w:jc w:val="right"/>
        <w:rPr>
          <w:lang w:val="pt-BR"/>
        </w:rPr>
      </w:pPr>
      <w:r w:rsidRPr="0039394F">
        <w:rPr>
          <w:lang w:val="pt-BR"/>
        </w:rPr>
        <w:t xml:space="preserve">Carina Guzowski, Departamento de Economía UNS, IIESS-CONICET, </w:t>
      </w:r>
      <w:r w:rsidRPr="0039394F">
        <w:rPr>
          <w:lang w:val="pt-BR"/>
        </w:rPr>
        <w:fldChar w:fldCharType="begin"/>
      </w:r>
      <w:r w:rsidRPr="0039394F">
        <w:rPr>
          <w:lang w:val="pt-BR"/>
        </w:rPr>
        <w:instrText>HYPERLINK "mailto:cguzow@criba.edu.ar"</w:instrText>
      </w:r>
      <w:r w:rsidRPr="0039394F">
        <w:rPr>
          <w:lang w:val="pt-BR"/>
        </w:rPr>
      </w:r>
      <w:r w:rsidRPr="0039394F">
        <w:rPr>
          <w:lang w:val="pt-BR"/>
        </w:rPr>
        <w:fldChar w:fldCharType="separate"/>
      </w:r>
      <w:r w:rsidRPr="0039394F">
        <w:rPr>
          <w:rStyle w:val="Hyperlink"/>
          <w:color w:val="auto"/>
          <w:lang w:val="pt-BR"/>
        </w:rPr>
        <w:t>cguzow@criba.edu.ar</w:t>
      </w:r>
      <w:r w:rsidRPr="0039394F">
        <w:rPr>
          <w:lang w:val="pt-BR"/>
        </w:rPr>
        <w:fldChar w:fldCharType="end"/>
      </w:r>
    </w:p>
    <w:p w14:paraId="397E0EE5" w14:textId="10F624C8" w:rsidR="002D0F5F" w:rsidRPr="00A11F92" w:rsidRDefault="008468D8">
      <w:pPr>
        <w:pStyle w:val="BodyText"/>
        <w:spacing w:before="1"/>
        <w:ind w:left="112" w:right="103" w:firstLine="64"/>
        <w:jc w:val="right"/>
        <w:rPr>
          <w:lang w:val="pt-BR"/>
        </w:rPr>
      </w:pPr>
      <w:r w:rsidRPr="00A11F92">
        <w:rPr>
          <w:lang w:val="pt-BR"/>
        </w:rPr>
        <w:t>Regina Vidosa, Centro de Estudios Urbanos y Regionales</w:t>
      </w:r>
      <w:r w:rsidR="0039394F" w:rsidRPr="00A11F92">
        <w:rPr>
          <w:lang w:val="pt-BR"/>
        </w:rPr>
        <w:t xml:space="preserve"> </w:t>
      </w:r>
      <w:r w:rsidRPr="00A11F92">
        <w:rPr>
          <w:lang w:val="pt-BR"/>
        </w:rPr>
        <w:t xml:space="preserve">- CONICET, </w:t>
      </w:r>
      <w:hyperlink r:id="rId6" w:history="1">
        <w:r w:rsidRPr="00A11F92">
          <w:rPr>
            <w:rStyle w:val="Hyperlink"/>
            <w:color w:val="auto"/>
            <w:lang w:val="pt-BR"/>
          </w:rPr>
          <w:t>reginavidosa@gmail.com</w:t>
        </w:r>
      </w:hyperlink>
    </w:p>
    <w:p w14:paraId="7191927E" w14:textId="121D541B" w:rsidR="005058AB" w:rsidRPr="00A11F92" w:rsidRDefault="002D0F5F">
      <w:pPr>
        <w:pStyle w:val="BodyText"/>
        <w:spacing w:before="1"/>
        <w:ind w:left="112" w:right="103" w:firstLine="64"/>
        <w:jc w:val="right"/>
        <w:rPr>
          <w:lang w:val="pt-BR"/>
        </w:rPr>
      </w:pPr>
      <w:r w:rsidRPr="00A11F92">
        <w:rPr>
          <w:lang w:val="pt-BR"/>
        </w:rPr>
        <w:t>Mariana Zilio</w:t>
      </w:r>
      <w:r w:rsidR="00A11F92">
        <w:rPr>
          <w:lang w:val="pt-BR"/>
        </w:rPr>
        <w:t>,</w:t>
      </w:r>
      <w:r w:rsidR="00A11F92" w:rsidRPr="00A11F92">
        <w:rPr>
          <w:lang w:val="pt-BR"/>
        </w:rPr>
        <w:t xml:space="preserve"> </w:t>
      </w:r>
      <w:r w:rsidR="00A11F92" w:rsidRPr="0039394F">
        <w:rPr>
          <w:lang w:val="pt-BR"/>
        </w:rPr>
        <w:t xml:space="preserve">Departamento de Economía UNS, IIESS-CONICET, </w:t>
      </w:r>
      <w:r w:rsidR="00A11F92" w:rsidRPr="00180A20">
        <w:rPr>
          <w:rStyle w:val="Hyperlink"/>
          <w:color w:val="auto"/>
          <w:lang w:val="pt-BR"/>
        </w:rPr>
        <w:fldChar w:fldCharType="begin"/>
      </w:r>
      <w:r w:rsidR="00A11F92" w:rsidRPr="00180A20">
        <w:rPr>
          <w:rStyle w:val="Hyperlink"/>
          <w:color w:val="auto"/>
          <w:lang w:val="pt-BR"/>
        </w:rPr>
        <w:instrText>HYPERLINK "mailto:mzilio@uns.edu.ar"</w:instrText>
      </w:r>
      <w:r w:rsidR="00A11F92" w:rsidRPr="00180A20">
        <w:rPr>
          <w:rStyle w:val="Hyperlink"/>
          <w:color w:val="auto"/>
          <w:lang w:val="pt-BR"/>
        </w:rPr>
      </w:r>
      <w:r w:rsidR="00A11F92" w:rsidRPr="00180A20">
        <w:rPr>
          <w:rStyle w:val="Hyperlink"/>
          <w:color w:val="auto"/>
          <w:lang w:val="pt-BR"/>
        </w:rPr>
        <w:fldChar w:fldCharType="separate"/>
      </w:r>
      <w:r w:rsidR="00A11F92" w:rsidRPr="00180A20">
        <w:rPr>
          <w:rStyle w:val="Hyperlink"/>
          <w:color w:val="auto"/>
          <w:lang w:val="pt-BR"/>
        </w:rPr>
        <w:t>mzilio@uns.edu.ar</w:t>
      </w:r>
      <w:r w:rsidR="00A11F92" w:rsidRPr="00180A20">
        <w:rPr>
          <w:rStyle w:val="Hyperlink"/>
          <w:color w:val="auto"/>
          <w:lang w:val="pt-BR"/>
        </w:rPr>
        <w:fldChar w:fldCharType="end"/>
      </w:r>
    </w:p>
    <w:p w14:paraId="3C26F494" w14:textId="4DEDC84C" w:rsidR="00CA7B44" w:rsidRDefault="0039394F">
      <w:pPr>
        <w:jc w:val="right"/>
        <w:sectPr w:rsidR="00CA7B44" w:rsidSect="003B5757">
          <w:type w:val="continuous"/>
          <w:pgSz w:w="12240" w:h="15840"/>
          <w:pgMar w:top="1240" w:right="620" w:bottom="280" w:left="600" w:header="720" w:footer="720" w:gutter="0"/>
          <w:cols w:num="2" w:space="720" w:equalWidth="0">
            <w:col w:w="6778" w:space="49"/>
            <w:col w:w="4193"/>
          </w:cols>
        </w:sectPr>
      </w:pPr>
      <w:r w:rsidRPr="0039394F">
        <w:rPr>
          <w:sz w:val="20"/>
          <w:szCs w:val="20"/>
        </w:rPr>
        <w:t xml:space="preserve">Jesica Sarmiento, Centro </w:t>
      </w:r>
      <w:proofErr w:type="spellStart"/>
      <w:r w:rsidRPr="0039394F">
        <w:rPr>
          <w:sz w:val="20"/>
          <w:szCs w:val="20"/>
        </w:rPr>
        <w:t>Interdisciplinario</w:t>
      </w:r>
      <w:proofErr w:type="spellEnd"/>
      <w:r w:rsidRPr="0039394F">
        <w:rPr>
          <w:sz w:val="20"/>
          <w:szCs w:val="20"/>
        </w:rPr>
        <w:t xml:space="preserve"> de </w:t>
      </w:r>
      <w:proofErr w:type="spellStart"/>
      <w:r w:rsidRPr="0039394F">
        <w:rPr>
          <w:sz w:val="20"/>
          <w:szCs w:val="20"/>
        </w:rPr>
        <w:t>Estudios</w:t>
      </w:r>
      <w:proofErr w:type="spellEnd"/>
      <w:r w:rsidRPr="0039394F">
        <w:rPr>
          <w:sz w:val="20"/>
          <w:szCs w:val="20"/>
        </w:rPr>
        <w:t xml:space="preserve"> </w:t>
      </w:r>
      <w:proofErr w:type="spellStart"/>
      <w:r w:rsidRPr="0039394F">
        <w:rPr>
          <w:sz w:val="20"/>
          <w:szCs w:val="20"/>
        </w:rPr>
        <w:t>sobre</w:t>
      </w:r>
      <w:proofErr w:type="spellEnd"/>
      <w:r w:rsidRPr="0039394F">
        <w:rPr>
          <w:sz w:val="20"/>
          <w:szCs w:val="20"/>
        </w:rPr>
        <w:t xml:space="preserve"> </w:t>
      </w:r>
      <w:proofErr w:type="spellStart"/>
      <w:r w:rsidRPr="0039394F">
        <w:rPr>
          <w:sz w:val="20"/>
          <w:szCs w:val="20"/>
        </w:rPr>
        <w:t>Territorio</w:t>
      </w:r>
      <w:proofErr w:type="spellEnd"/>
      <w:r w:rsidRPr="0039394F">
        <w:rPr>
          <w:sz w:val="20"/>
          <w:szCs w:val="20"/>
        </w:rPr>
        <w:t>, Economia y Sociedad (UNRN)</w:t>
      </w:r>
      <w:r>
        <w:rPr>
          <w:sz w:val="20"/>
          <w:szCs w:val="20"/>
        </w:rPr>
        <w:t xml:space="preserve"> -</w:t>
      </w:r>
      <w:r w:rsidRPr="0039394F">
        <w:rPr>
          <w:sz w:val="20"/>
          <w:szCs w:val="20"/>
        </w:rPr>
        <w:t xml:space="preserve"> CONICET, </w:t>
      </w:r>
      <w:r w:rsidRPr="00D919BF">
        <w:rPr>
          <w:rStyle w:val="Hyperlink"/>
          <w:color w:val="auto"/>
        </w:rPr>
        <w:t>jsarmiento@unrn.edu.ar</w:t>
      </w:r>
    </w:p>
    <w:p w14:paraId="0D9FF645" w14:textId="77777777" w:rsidR="00CA7B44" w:rsidRDefault="00CA7B44">
      <w:pPr>
        <w:pStyle w:val="BodyText"/>
        <w:rPr>
          <w:sz w:val="22"/>
        </w:rPr>
      </w:pPr>
    </w:p>
    <w:p w14:paraId="33F30581" w14:textId="48768E73" w:rsidR="00CA7B44" w:rsidRPr="00DE3924" w:rsidRDefault="00DE3924" w:rsidP="00DE3924">
      <w:pPr>
        <w:pStyle w:val="BodyText"/>
        <w:spacing w:before="4"/>
        <w:ind w:firstLine="851"/>
        <w:rPr>
          <w:rFonts w:ascii="Arial" w:hAnsi="Arial" w:cs="Arial"/>
          <w:b/>
          <w:bCs/>
          <w:sz w:val="24"/>
          <w:szCs w:val="22"/>
        </w:rPr>
      </w:pPr>
      <w:r w:rsidRPr="00DE3924">
        <w:rPr>
          <w:rFonts w:ascii="Arial" w:hAnsi="Arial" w:cs="Arial"/>
          <w:b/>
          <w:bCs/>
          <w:sz w:val="24"/>
          <w:szCs w:val="22"/>
        </w:rPr>
        <w:t>Overview</w:t>
      </w:r>
    </w:p>
    <w:p w14:paraId="7AB8A62E" w14:textId="25315EA3" w:rsidR="004B4F06" w:rsidRDefault="00AD1952" w:rsidP="004B4F06">
      <w:pPr>
        <w:pStyle w:val="BodyText"/>
        <w:ind w:left="851"/>
        <w:jc w:val="both"/>
        <w:rPr>
          <w:rFonts w:eastAsia="Arial"/>
          <w:shd w:val="clear" w:color="auto" w:fill="FFFFFF"/>
        </w:rPr>
      </w:pPr>
      <w:r>
        <w:rPr>
          <w:rFonts w:eastAsia="Arial"/>
          <w:shd w:val="clear" w:color="auto" w:fill="FFFFFF"/>
        </w:rPr>
        <w:t>F</w:t>
      </w:r>
      <w:r w:rsidR="004B4F06" w:rsidRPr="004B4F06">
        <w:rPr>
          <w:rFonts w:eastAsia="Arial"/>
          <w:shd w:val="clear" w:color="auto" w:fill="FFFFFF"/>
        </w:rPr>
        <w:t xml:space="preserve">or some decades now, the energy transition has emerged as a global trend that demands an active strategy from </w:t>
      </w:r>
      <w:r>
        <w:rPr>
          <w:rFonts w:eastAsia="Arial"/>
          <w:shd w:val="clear" w:color="auto" w:fill="FFFFFF"/>
        </w:rPr>
        <w:t>S</w:t>
      </w:r>
      <w:r w:rsidR="004B4F06" w:rsidRPr="004B4F06">
        <w:rPr>
          <w:rFonts w:eastAsia="Arial"/>
          <w:shd w:val="clear" w:color="auto" w:fill="FFFFFF"/>
        </w:rPr>
        <w:t>tates to transform the challenges of this process into opportunities for development</w:t>
      </w:r>
      <w:r>
        <w:rPr>
          <w:rFonts w:eastAsia="Arial"/>
          <w:shd w:val="clear" w:color="auto" w:fill="FFFFFF"/>
        </w:rPr>
        <w:t xml:space="preserve"> in emerging countries</w:t>
      </w:r>
      <w:r w:rsidR="004B4F06" w:rsidRPr="004B4F06">
        <w:rPr>
          <w:rFonts w:eastAsia="Arial"/>
          <w:shd w:val="clear" w:color="auto" w:fill="FFFFFF"/>
        </w:rPr>
        <w:t xml:space="preserve">. This trend </w:t>
      </w:r>
      <w:r w:rsidR="00F5285D">
        <w:rPr>
          <w:rFonts w:eastAsia="Arial"/>
          <w:shd w:val="clear" w:color="auto" w:fill="FFFFFF"/>
        </w:rPr>
        <w:t>demands</w:t>
      </w:r>
      <w:r w:rsidR="004B4F06" w:rsidRPr="004B4F06">
        <w:rPr>
          <w:rFonts w:eastAsia="Arial"/>
          <w:shd w:val="clear" w:color="auto" w:fill="FFFFFF"/>
        </w:rPr>
        <w:t xml:space="preserve"> a profound transformation of the energy matrix</w:t>
      </w:r>
      <w:r w:rsidR="00856DAF">
        <w:rPr>
          <w:rFonts w:eastAsia="Arial"/>
          <w:shd w:val="clear" w:color="auto" w:fill="FFFFFF"/>
        </w:rPr>
        <w:t xml:space="preserve">, </w:t>
      </w:r>
      <w:r w:rsidR="00F5285D">
        <w:rPr>
          <w:rFonts w:eastAsia="Arial"/>
          <w:shd w:val="clear" w:color="auto" w:fill="FFFFFF"/>
        </w:rPr>
        <w:t xml:space="preserve">that </w:t>
      </w:r>
      <w:r w:rsidR="004B4F06" w:rsidRPr="004B4F06">
        <w:rPr>
          <w:rFonts w:eastAsia="Arial"/>
          <w:shd w:val="clear" w:color="auto" w:fill="FFFFFF"/>
        </w:rPr>
        <w:t xml:space="preserve">implies the gradual elimination of fossil fuels (United Nations, 2023) and the incorporation of </w:t>
      </w:r>
      <w:r w:rsidR="00856DAF">
        <w:rPr>
          <w:rFonts w:eastAsia="Arial"/>
          <w:shd w:val="clear" w:color="auto" w:fill="FFFFFF"/>
        </w:rPr>
        <w:t>diverse</w:t>
      </w:r>
      <w:r w:rsidR="004B4F06" w:rsidRPr="004B4F06">
        <w:rPr>
          <w:rFonts w:eastAsia="Arial"/>
          <w:shd w:val="clear" w:color="auto" w:fill="FFFFFF"/>
        </w:rPr>
        <w:t xml:space="preserve"> technologies for energy generation from renewable sources (EFR)</w:t>
      </w:r>
      <w:r w:rsidR="00856DAF">
        <w:rPr>
          <w:rFonts w:eastAsia="Arial"/>
          <w:shd w:val="clear" w:color="auto" w:fill="FFFFFF"/>
        </w:rPr>
        <w:t xml:space="preserve">. These technologies </w:t>
      </w:r>
      <w:r w:rsidR="004B4F06" w:rsidRPr="004B4F06">
        <w:rPr>
          <w:rFonts w:eastAsia="Arial"/>
          <w:shd w:val="clear" w:color="auto" w:fill="FFFFFF"/>
        </w:rPr>
        <w:t>are in different stages of development</w:t>
      </w:r>
      <w:r w:rsidR="00856DAF">
        <w:rPr>
          <w:rFonts w:eastAsia="Arial"/>
          <w:shd w:val="clear" w:color="auto" w:fill="FFFFFF"/>
        </w:rPr>
        <w:t xml:space="preserve"> and, even though their </w:t>
      </w:r>
      <w:r w:rsidR="004B4F06" w:rsidRPr="004B4F06">
        <w:rPr>
          <w:rFonts w:eastAsia="Arial"/>
          <w:shd w:val="clear" w:color="auto" w:fill="FFFFFF"/>
        </w:rPr>
        <w:t xml:space="preserve">adoption and diffusion can enhance the comparative advantages of the energy sector, </w:t>
      </w:r>
      <w:r w:rsidR="00856DAF">
        <w:rPr>
          <w:rFonts w:eastAsia="Arial"/>
          <w:shd w:val="clear" w:color="auto" w:fill="FFFFFF"/>
        </w:rPr>
        <w:t xml:space="preserve">their </w:t>
      </w:r>
      <w:r w:rsidR="004B4F06" w:rsidRPr="004B4F06">
        <w:rPr>
          <w:rFonts w:eastAsia="Arial"/>
          <w:shd w:val="clear" w:color="auto" w:fill="FFFFFF"/>
        </w:rPr>
        <w:t xml:space="preserve">impact on the technological dynamism of </w:t>
      </w:r>
      <w:r w:rsidR="006B71C1">
        <w:rPr>
          <w:rFonts w:eastAsia="Arial"/>
          <w:shd w:val="clear" w:color="auto" w:fill="FFFFFF"/>
        </w:rPr>
        <w:t xml:space="preserve">its </w:t>
      </w:r>
      <w:r w:rsidR="004B4F06" w:rsidRPr="004B4F06">
        <w:rPr>
          <w:rFonts w:eastAsia="Arial"/>
          <w:shd w:val="clear" w:color="auto" w:fill="FFFFFF"/>
        </w:rPr>
        <w:t>associated industries is not clear.</w:t>
      </w:r>
      <w:r w:rsidR="00856DAF">
        <w:rPr>
          <w:rFonts w:eastAsia="Arial"/>
          <w:shd w:val="clear" w:color="auto" w:fill="FFFFFF"/>
        </w:rPr>
        <w:t xml:space="preserve"> </w:t>
      </w:r>
      <w:r w:rsidR="004B4F06" w:rsidRPr="004B4F06">
        <w:rPr>
          <w:rFonts w:eastAsia="Arial"/>
          <w:shd w:val="clear" w:color="auto" w:fill="FFFFFF"/>
        </w:rPr>
        <w:t xml:space="preserve">For example, wind energy has a high penetration rate in South American </w:t>
      </w:r>
      <w:r w:rsidR="006B71C1">
        <w:rPr>
          <w:rFonts w:eastAsia="Arial"/>
          <w:shd w:val="clear" w:color="auto" w:fill="FFFFFF"/>
        </w:rPr>
        <w:t>energy markets</w:t>
      </w:r>
      <w:r w:rsidR="004B4F06" w:rsidRPr="004B4F06">
        <w:rPr>
          <w:rFonts w:eastAsia="Arial"/>
          <w:shd w:val="clear" w:color="auto" w:fill="FFFFFF"/>
        </w:rPr>
        <w:t xml:space="preserve"> (IRENA, 2023) and its diffusion, within an appropriate institutional and economic framework, has facilitated the installation of factories for blade production in Brazil and tower production in Argentina. </w:t>
      </w:r>
      <w:r w:rsidR="00856DAF">
        <w:rPr>
          <w:rFonts w:eastAsia="Arial"/>
          <w:shd w:val="clear" w:color="auto" w:fill="FFFFFF"/>
        </w:rPr>
        <w:t>At the same time</w:t>
      </w:r>
      <w:r w:rsidR="004B4F06" w:rsidRPr="004B4F06">
        <w:rPr>
          <w:rFonts w:eastAsia="Arial"/>
          <w:shd w:val="clear" w:color="auto" w:fill="FFFFFF"/>
        </w:rPr>
        <w:t xml:space="preserve">, green hydrogen is in a phase of feedback between technology development and demonstration on a global scale, </w:t>
      </w:r>
      <w:r w:rsidR="006B71C1">
        <w:rPr>
          <w:rFonts w:eastAsia="Arial"/>
          <w:shd w:val="clear" w:color="auto" w:fill="FFFFFF"/>
        </w:rPr>
        <w:t>but</w:t>
      </w:r>
      <w:r w:rsidR="004B4F06" w:rsidRPr="004B4F06">
        <w:rPr>
          <w:rFonts w:eastAsia="Arial"/>
          <w:shd w:val="clear" w:color="auto" w:fill="FFFFFF"/>
        </w:rPr>
        <w:t xml:space="preserve"> countries in the region continue to outline their institutional frameworks without achieving significant technological advances, except in Chile where the country's first hydrogen fuel cell vehicle was homologated (OLADE, 2023).</w:t>
      </w:r>
    </w:p>
    <w:p w14:paraId="6455A7C6" w14:textId="64E4EC5A" w:rsidR="004A6C4E" w:rsidRDefault="004B4F06" w:rsidP="008822B3">
      <w:pPr>
        <w:pStyle w:val="BodyText"/>
        <w:ind w:left="851"/>
        <w:jc w:val="both"/>
        <w:rPr>
          <w:rFonts w:eastAsia="Arial"/>
          <w:shd w:val="clear" w:color="auto" w:fill="FFFFFF"/>
        </w:rPr>
      </w:pPr>
      <w:r w:rsidRPr="004B4F06">
        <w:rPr>
          <w:rFonts w:eastAsia="Arial"/>
          <w:shd w:val="clear" w:color="auto" w:fill="FFFFFF"/>
        </w:rPr>
        <w:t xml:space="preserve">In the last decade, within the framework of neo-Schumpeterian </w:t>
      </w:r>
      <w:r w:rsidR="006F5D1C">
        <w:rPr>
          <w:rFonts w:eastAsia="Arial"/>
          <w:shd w:val="clear" w:color="auto" w:fill="FFFFFF"/>
        </w:rPr>
        <w:t xml:space="preserve">and Evolutionist </w:t>
      </w:r>
      <w:r w:rsidRPr="004B4F06">
        <w:rPr>
          <w:rFonts w:eastAsia="Arial"/>
          <w:shd w:val="clear" w:color="auto" w:fill="FFFFFF"/>
        </w:rPr>
        <w:t xml:space="preserve">theories, various academic studies suggest that </w:t>
      </w:r>
      <w:r w:rsidR="006B71C1">
        <w:rPr>
          <w:rFonts w:eastAsia="Arial"/>
          <w:shd w:val="clear" w:color="auto" w:fill="FFFFFF"/>
        </w:rPr>
        <w:t>the process</w:t>
      </w:r>
      <w:r w:rsidR="006F5D1C">
        <w:rPr>
          <w:rFonts w:eastAsia="Arial"/>
          <w:shd w:val="clear" w:color="auto" w:fill="FFFFFF"/>
        </w:rPr>
        <w:t>es</w:t>
      </w:r>
      <w:r w:rsidR="006B71C1">
        <w:rPr>
          <w:rFonts w:eastAsia="Arial"/>
          <w:shd w:val="clear" w:color="auto" w:fill="FFFFFF"/>
        </w:rPr>
        <w:t xml:space="preserve"> of </w:t>
      </w:r>
      <w:r w:rsidRPr="004B4F06">
        <w:rPr>
          <w:rFonts w:eastAsia="Arial"/>
          <w:shd w:val="clear" w:color="auto" w:fill="FFFFFF"/>
        </w:rPr>
        <w:t>learning and innovation around industries based on the exploitation of natural resources (IBRN), such as those dedicated to the generation of EFR, are relevant for economic development</w:t>
      </w:r>
      <w:r w:rsidR="006F5D1C">
        <w:rPr>
          <w:rFonts w:eastAsia="Arial"/>
          <w:shd w:val="clear" w:color="auto" w:fill="FFFFFF"/>
        </w:rPr>
        <w:t xml:space="preserve">, although these processes </w:t>
      </w:r>
      <w:r w:rsidRPr="004B4F06">
        <w:rPr>
          <w:rFonts w:eastAsia="Arial"/>
          <w:shd w:val="clear" w:color="auto" w:fill="FFFFFF"/>
        </w:rPr>
        <w:t xml:space="preserve">qualitatively differ from those in other segments of the economy. These works highlight the role </w:t>
      </w:r>
      <w:r w:rsidR="006B71C1">
        <w:rPr>
          <w:rFonts w:eastAsia="Arial"/>
          <w:shd w:val="clear" w:color="auto" w:fill="FFFFFF"/>
        </w:rPr>
        <w:t>IBRN have</w:t>
      </w:r>
      <w:r w:rsidRPr="004B4F06">
        <w:rPr>
          <w:rFonts w:eastAsia="Arial"/>
          <w:shd w:val="clear" w:color="auto" w:fill="FFFFFF"/>
        </w:rPr>
        <w:t xml:space="preserve"> in the technological dynamism of the network of actors that </w:t>
      </w:r>
      <w:r w:rsidR="006F5D1C">
        <w:rPr>
          <w:rFonts w:eastAsia="Arial"/>
          <w:shd w:val="clear" w:color="auto" w:fill="FFFFFF"/>
        </w:rPr>
        <w:t xml:space="preserve">supplies them with equipment, services and knowledge </w:t>
      </w:r>
      <w:r w:rsidR="006B71C1">
        <w:rPr>
          <w:rFonts w:eastAsia="Arial"/>
          <w:shd w:val="clear" w:color="auto" w:fill="FFFFFF"/>
        </w:rPr>
        <w:t xml:space="preserve">and </w:t>
      </w:r>
      <w:r w:rsidR="006F5D1C">
        <w:rPr>
          <w:rFonts w:eastAsia="Arial"/>
          <w:shd w:val="clear" w:color="auto" w:fill="FFFFFF"/>
        </w:rPr>
        <w:t>their</w:t>
      </w:r>
      <w:r w:rsidRPr="004B4F06">
        <w:rPr>
          <w:rFonts w:eastAsia="Arial"/>
          <w:shd w:val="clear" w:color="auto" w:fill="FFFFFF"/>
        </w:rPr>
        <w:t xml:space="preserve"> economic and technological relevance in South American </w:t>
      </w:r>
      <w:r w:rsidR="006F5D1C" w:rsidRPr="004B4F06">
        <w:rPr>
          <w:rFonts w:eastAsia="Arial"/>
          <w:shd w:val="clear" w:color="auto" w:fill="FFFFFF"/>
        </w:rPr>
        <w:t>economies</w:t>
      </w:r>
      <w:r w:rsidRPr="004B4F06">
        <w:rPr>
          <w:rFonts w:eastAsia="Arial"/>
          <w:shd w:val="clear" w:color="auto" w:fill="FFFFFF"/>
        </w:rPr>
        <w:t xml:space="preserve">. However, they </w:t>
      </w:r>
      <w:r w:rsidR="006F5D1C">
        <w:rPr>
          <w:rFonts w:eastAsia="Arial"/>
          <w:shd w:val="clear" w:color="auto" w:fill="FFFFFF"/>
        </w:rPr>
        <w:t xml:space="preserve">also </w:t>
      </w:r>
      <w:r w:rsidRPr="004B4F06">
        <w:rPr>
          <w:rFonts w:eastAsia="Arial"/>
          <w:shd w:val="clear" w:color="auto" w:fill="FFFFFF"/>
        </w:rPr>
        <w:t xml:space="preserve">point out that there are conditions </w:t>
      </w:r>
      <w:r w:rsidR="006F5D1C">
        <w:rPr>
          <w:rFonts w:eastAsia="Arial"/>
          <w:shd w:val="clear" w:color="auto" w:fill="FFFFFF"/>
        </w:rPr>
        <w:t xml:space="preserve">that enable </w:t>
      </w:r>
      <w:r w:rsidRPr="004B4F06">
        <w:rPr>
          <w:rFonts w:eastAsia="Arial"/>
          <w:shd w:val="clear" w:color="auto" w:fill="FFFFFF"/>
        </w:rPr>
        <w:t>these processes</w:t>
      </w:r>
      <w:r w:rsidR="006F5D1C">
        <w:rPr>
          <w:rFonts w:eastAsia="Arial"/>
          <w:shd w:val="clear" w:color="auto" w:fill="FFFFFF"/>
        </w:rPr>
        <w:t>, which are</w:t>
      </w:r>
      <w:r w:rsidRPr="004B4F06">
        <w:rPr>
          <w:rFonts w:eastAsia="Arial"/>
          <w:shd w:val="clear" w:color="auto" w:fill="FFFFFF"/>
        </w:rPr>
        <w:t xml:space="preserve"> expressed in </w:t>
      </w:r>
      <w:r w:rsidR="006B71C1">
        <w:rPr>
          <w:rFonts w:eastAsia="Arial"/>
          <w:shd w:val="clear" w:color="auto" w:fill="FFFFFF"/>
        </w:rPr>
        <w:t xml:space="preserve">the </w:t>
      </w:r>
      <w:r w:rsidRPr="004B4F06">
        <w:rPr>
          <w:rFonts w:eastAsia="Arial"/>
          <w:shd w:val="clear" w:color="auto" w:fill="FFFFFF"/>
        </w:rPr>
        <w:t xml:space="preserve">demand configuration, </w:t>
      </w:r>
      <w:r w:rsidR="006F5D1C">
        <w:rPr>
          <w:rFonts w:eastAsia="Arial"/>
          <w:shd w:val="clear" w:color="auto" w:fill="FFFFFF"/>
        </w:rPr>
        <w:t xml:space="preserve">the </w:t>
      </w:r>
      <w:r w:rsidRPr="004B4F06">
        <w:rPr>
          <w:rFonts w:eastAsia="Arial"/>
          <w:shd w:val="clear" w:color="auto" w:fill="FFFFFF"/>
        </w:rPr>
        <w:t>industrial organization,</w:t>
      </w:r>
      <w:r w:rsidR="006F5D1C">
        <w:rPr>
          <w:rFonts w:eastAsia="Arial"/>
          <w:shd w:val="clear" w:color="auto" w:fill="FFFFFF"/>
        </w:rPr>
        <w:t xml:space="preserve"> the</w:t>
      </w:r>
      <w:r w:rsidRPr="004B4F06">
        <w:rPr>
          <w:rFonts w:eastAsia="Arial"/>
          <w:shd w:val="clear" w:color="auto" w:fill="FFFFFF"/>
        </w:rPr>
        <w:t xml:space="preserve"> technology cycles, and </w:t>
      </w:r>
      <w:r w:rsidR="006F5D1C">
        <w:rPr>
          <w:rFonts w:eastAsia="Arial"/>
          <w:shd w:val="clear" w:color="auto" w:fill="FFFFFF"/>
        </w:rPr>
        <w:t xml:space="preserve">the </w:t>
      </w:r>
      <w:r w:rsidRPr="004B4F06">
        <w:rPr>
          <w:rFonts w:eastAsia="Arial"/>
          <w:shd w:val="clear" w:color="auto" w:fill="FFFFFF"/>
        </w:rPr>
        <w:t xml:space="preserve">institutional (Andersen, Marín &amp; Simensen, 2018; Crespi, Katz &amp; Olivari, 2018; Katz &amp; </w:t>
      </w:r>
      <w:proofErr w:type="spellStart"/>
      <w:r w:rsidRPr="004B4F06">
        <w:rPr>
          <w:rFonts w:eastAsia="Arial"/>
          <w:shd w:val="clear" w:color="auto" w:fill="FFFFFF"/>
        </w:rPr>
        <w:t>Pietrobelli</w:t>
      </w:r>
      <w:proofErr w:type="spellEnd"/>
      <w:r w:rsidRPr="004B4F06">
        <w:rPr>
          <w:rFonts w:eastAsia="Arial"/>
          <w:shd w:val="clear" w:color="auto" w:fill="FFFFFF"/>
        </w:rPr>
        <w:t xml:space="preserve">, 2018). This work analyzes </w:t>
      </w:r>
      <w:r w:rsidR="008822B3">
        <w:rPr>
          <w:rFonts w:eastAsia="Arial"/>
          <w:shd w:val="clear" w:color="auto" w:fill="FFFFFF"/>
        </w:rPr>
        <w:t>the innovation trajectory of the wind energy industr</w:t>
      </w:r>
      <w:r w:rsidR="004A6C4E">
        <w:rPr>
          <w:rFonts w:eastAsia="Arial"/>
          <w:shd w:val="clear" w:color="auto" w:fill="FFFFFF"/>
        </w:rPr>
        <w:t xml:space="preserve">y </w:t>
      </w:r>
      <w:r w:rsidR="008822B3">
        <w:rPr>
          <w:rFonts w:eastAsia="Arial"/>
          <w:shd w:val="clear" w:color="auto" w:fill="FFFFFF"/>
        </w:rPr>
        <w:t>in Argentina</w:t>
      </w:r>
      <w:r w:rsidR="004A6C4E">
        <w:rPr>
          <w:rFonts w:eastAsia="Arial"/>
          <w:shd w:val="clear" w:color="auto" w:fill="FFFFFF"/>
        </w:rPr>
        <w:t xml:space="preserve"> and, after comparing its similarities and differences with the green hydrogen path, it </w:t>
      </w:r>
      <w:r w:rsidR="008822B3">
        <w:rPr>
          <w:rFonts w:eastAsia="Arial"/>
          <w:shd w:val="clear" w:color="auto" w:fill="FFFFFF"/>
        </w:rPr>
        <w:t>draw</w:t>
      </w:r>
      <w:r w:rsidR="004A6C4E">
        <w:rPr>
          <w:rFonts w:eastAsia="Arial"/>
          <w:shd w:val="clear" w:color="auto" w:fill="FFFFFF"/>
        </w:rPr>
        <w:t>s</w:t>
      </w:r>
      <w:r w:rsidR="008822B3">
        <w:rPr>
          <w:rFonts w:eastAsia="Arial"/>
          <w:shd w:val="clear" w:color="auto" w:fill="FFFFFF"/>
        </w:rPr>
        <w:t xml:space="preserve"> </w:t>
      </w:r>
      <w:r w:rsidRPr="004B4F06">
        <w:rPr>
          <w:rFonts w:eastAsia="Arial"/>
          <w:shd w:val="clear" w:color="auto" w:fill="FFFFFF"/>
        </w:rPr>
        <w:t xml:space="preserve">lessons </w:t>
      </w:r>
      <w:r w:rsidR="008822B3">
        <w:rPr>
          <w:rFonts w:eastAsia="Arial"/>
          <w:shd w:val="clear" w:color="auto" w:fill="FFFFFF"/>
        </w:rPr>
        <w:t>on</w:t>
      </w:r>
      <w:r w:rsidRPr="004B4F06">
        <w:rPr>
          <w:rFonts w:eastAsia="Arial"/>
          <w:shd w:val="clear" w:color="auto" w:fill="FFFFFF"/>
        </w:rPr>
        <w:t xml:space="preserve"> </w:t>
      </w:r>
      <w:r w:rsidR="004A6C4E">
        <w:rPr>
          <w:rFonts w:eastAsia="Arial"/>
          <w:shd w:val="clear" w:color="auto" w:fill="FFFFFF"/>
        </w:rPr>
        <w:t xml:space="preserve">the processes of </w:t>
      </w:r>
      <w:r w:rsidR="004A6C4E" w:rsidRPr="004B4F06">
        <w:rPr>
          <w:rFonts w:eastAsia="Arial"/>
          <w:shd w:val="clear" w:color="auto" w:fill="FFFFFF"/>
        </w:rPr>
        <w:t xml:space="preserve">learning and innovation around </w:t>
      </w:r>
      <w:r w:rsidR="008822B3" w:rsidRPr="004B4F06">
        <w:rPr>
          <w:rFonts w:eastAsia="Arial"/>
          <w:shd w:val="clear" w:color="auto" w:fill="FFFFFF"/>
        </w:rPr>
        <w:t>IBRN</w:t>
      </w:r>
      <w:r w:rsidR="00665688">
        <w:rPr>
          <w:rFonts w:eastAsia="Arial"/>
          <w:shd w:val="clear" w:color="auto" w:fill="FFFFFF"/>
        </w:rPr>
        <w:t xml:space="preserve"> and the opportunities and challenges the green hydrogen industry pose </w:t>
      </w:r>
      <w:r w:rsidR="003D1BF9">
        <w:rPr>
          <w:rFonts w:eastAsia="Arial"/>
          <w:shd w:val="clear" w:color="auto" w:fill="FFFFFF"/>
        </w:rPr>
        <w:t xml:space="preserve">to lever </w:t>
      </w:r>
      <w:r w:rsidR="00665688">
        <w:rPr>
          <w:rFonts w:eastAsia="Arial"/>
          <w:shd w:val="clear" w:color="auto" w:fill="FFFFFF"/>
        </w:rPr>
        <w:t>economic development in the region.</w:t>
      </w:r>
    </w:p>
    <w:p w14:paraId="271AC72A" w14:textId="77777777" w:rsidR="008822B3" w:rsidRDefault="008822B3" w:rsidP="008822B3">
      <w:pPr>
        <w:pStyle w:val="BodyText"/>
        <w:ind w:left="851"/>
        <w:jc w:val="both"/>
        <w:rPr>
          <w:rFonts w:eastAsia="Arial"/>
          <w:shd w:val="clear" w:color="auto" w:fill="FFFFFF"/>
        </w:rPr>
      </w:pPr>
    </w:p>
    <w:p w14:paraId="6BD8E7A7" w14:textId="4DD4A84F" w:rsidR="00CA7B44" w:rsidRPr="004B4F06" w:rsidRDefault="00000000" w:rsidP="008822B3">
      <w:pPr>
        <w:pStyle w:val="BodyText"/>
        <w:ind w:left="851"/>
        <w:jc w:val="both"/>
        <w:rPr>
          <w:rFonts w:ascii="Arial"/>
          <w:b/>
          <w:sz w:val="24"/>
        </w:rPr>
      </w:pPr>
      <w:r w:rsidRPr="004B4F06">
        <w:rPr>
          <w:rFonts w:ascii="Arial"/>
          <w:b/>
          <w:sz w:val="24"/>
        </w:rPr>
        <w:t>Methods</w:t>
      </w:r>
    </w:p>
    <w:p w14:paraId="557C5E1E" w14:textId="68575A7D" w:rsidR="004B4F06" w:rsidRPr="004B4F06" w:rsidRDefault="004B4F06" w:rsidP="005C2B2B">
      <w:pPr>
        <w:pStyle w:val="BodyText"/>
        <w:ind w:left="851"/>
        <w:jc w:val="both"/>
        <w:rPr>
          <w:rFonts w:eastAsia="Arial"/>
          <w:shd w:val="clear" w:color="auto" w:fill="FFFFFF"/>
        </w:rPr>
      </w:pPr>
      <w:r w:rsidRPr="004B4F06">
        <w:rPr>
          <w:rFonts w:eastAsia="Arial"/>
          <w:shd w:val="clear" w:color="auto" w:fill="FFFFFF"/>
        </w:rPr>
        <w:t>The research is based on the analysis of</w:t>
      </w:r>
      <w:r w:rsidR="005C2B2B">
        <w:rPr>
          <w:rFonts w:eastAsia="Arial"/>
          <w:shd w:val="clear" w:color="auto" w:fill="FFFFFF"/>
        </w:rPr>
        <w:t xml:space="preserve"> </w:t>
      </w:r>
      <w:r w:rsidR="00665688">
        <w:rPr>
          <w:rFonts w:eastAsia="Arial"/>
          <w:shd w:val="clear" w:color="auto" w:fill="FFFFFF"/>
        </w:rPr>
        <w:t xml:space="preserve">one </w:t>
      </w:r>
      <w:r w:rsidRPr="004B4F06">
        <w:rPr>
          <w:rFonts w:eastAsia="Arial"/>
          <w:shd w:val="clear" w:color="auto" w:fill="FFFFFF"/>
        </w:rPr>
        <w:t>case stud</w:t>
      </w:r>
      <w:r w:rsidR="00665688">
        <w:rPr>
          <w:rFonts w:eastAsia="Arial"/>
          <w:shd w:val="clear" w:color="auto" w:fill="FFFFFF"/>
        </w:rPr>
        <w:t>y</w:t>
      </w:r>
      <w:r w:rsidRPr="004B4F06">
        <w:rPr>
          <w:rFonts w:eastAsia="Arial"/>
          <w:shd w:val="clear" w:color="auto" w:fill="FFFFFF"/>
        </w:rPr>
        <w:t xml:space="preserve">: the wind energy industry in Argentina </w:t>
      </w:r>
      <w:r w:rsidR="005C2B2B">
        <w:rPr>
          <w:rFonts w:eastAsia="Arial"/>
          <w:shd w:val="clear" w:color="auto" w:fill="FFFFFF"/>
        </w:rPr>
        <w:t xml:space="preserve">and </w:t>
      </w:r>
      <w:r w:rsidR="00665688">
        <w:rPr>
          <w:rFonts w:eastAsia="Arial"/>
          <w:shd w:val="clear" w:color="auto" w:fill="FFFFFF"/>
        </w:rPr>
        <w:t>its</w:t>
      </w:r>
      <w:r w:rsidR="005C2B2B">
        <w:rPr>
          <w:rFonts w:eastAsia="Arial"/>
          <w:shd w:val="clear" w:color="auto" w:fill="FFFFFF"/>
        </w:rPr>
        <w:t xml:space="preserve"> </w:t>
      </w:r>
      <w:r w:rsidR="005C2B2B" w:rsidRPr="004B4F06">
        <w:rPr>
          <w:rFonts w:eastAsia="Arial"/>
          <w:shd w:val="clear" w:color="auto" w:fill="FFFFFF"/>
        </w:rPr>
        <w:t xml:space="preserve">evolution </w:t>
      </w:r>
      <w:r w:rsidRPr="004B4F06">
        <w:rPr>
          <w:rFonts w:eastAsia="Arial"/>
          <w:shd w:val="clear" w:color="auto" w:fill="FFFFFF"/>
        </w:rPr>
        <w:t xml:space="preserve">over the past two decades, including the global context in which </w:t>
      </w:r>
      <w:r w:rsidR="00665688">
        <w:rPr>
          <w:rFonts w:eastAsia="Arial"/>
          <w:shd w:val="clear" w:color="auto" w:fill="FFFFFF"/>
        </w:rPr>
        <w:t xml:space="preserve">it has </w:t>
      </w:r>
      <w:r w:rsidR="005C2B2B">
        <w:rPr>
          <w:rFonts w:eastAsia="Arial"/>
          <w:shd w:val="clear" w:color="auto" w:fill="FFFFFF"/>
        </w:rPr>
        <w:t xml:space="preserve">been </w:t>
      </w:r>
      <w:r w:rsidRPr="004B4F06">
        <w:rPr>
          <w:rFonts w:eastAsia="Arial"/>
          <w:shd w:val="clear" w:color="auto" w:fill="FFFFFF"/>
        </w:rPr>
        <w:t>embedded. Following Perez, Marín, and Navas-Aleman (2014), th</w:t>
      </w:r>
      <w:r w:rsidR="00665688">
        <w:rPr>
          <w:rFonts w:eastAsia="Arial"/>
          <w:shd w:val="clear" w:color="auto" w:fill="FFFFFF"/>
        </w:rPr>
        <w:t>is</w:t>
      </w:r>
      <w:r w:rsidRPr="004B4F06">
        <w:rPr>
          <w:rFonts w:eastAsia="Arial"/>
          <w:shd w:val="clear" w:color="auto" w:fill="FFFFFF"/>
        </w:rPr>
        <w:t xml:space="preserve"> case stud</w:t>
      </w:r>
      <w:r w:rsidR="00665688">
        <w:rPr>
          <w:rFonts w:eastAsia="Arial"/>
          <w:shd w:val="clear" w:color="auto" w:fill="FFFFFF"/>
        </w:rPr>
        <w:t>y is</w:t>
      </w:r>
      <w:r w:rsidRPr="004B4F06">
        <w:rPr>
          <w:rFonts w:eastAsia="Arial"/>
          <w:shd w:val="clear" w:color="auto" w:fill="FFFFFF"/>
        </w:rPr>
        <w:t xml:space="preserve"> not limited to firms that produce </w:t>
      </w:r>
      <w:r w:rsidR="00665688">
        <w:rPr>
          <w:rFonts w:eastAsia="Arial"/>
          <w:shd w:val="clear" w:color="auto" w:fill="FFFFFF"/>
        </w:rPr>
        <w:t xml:space="preserve">wind </w:t>
      </w:r>
      <w:r w:rsidRPr="004B4F06">
        <w:rPr>
          <w:rFonts w:eastAsia="Arial"/>
          <w:shd w:val="clear" w:color="auto" w:fill="FFFFFF"/>
        </w:rPr>
        <w:t xml:space="preserve">energy but encompass the entire range of actors, both public and private, involved in the transformation of </w:t>
      </w:r>
      <w:r w:rsidR="00665688">
        <w:rPr>
          <w:rFonts w:eastAsia="Arial"/>
          <w:shd w:val="clear" w:color="auto" w:fill="FFFFFF"/>
        </w:rPr>
        <w:t xml:space="preserve">a </w:t>
      </w:r>
      <w:r w:rsidRPr="004B4F06">
        <w:rPr>
          <w:rFonts w:eastAsia="Arial"/>
          <w:shd w:val="clear" w:color="auto" w:fill="FFFFFF"/>
        </w:rPr>
        <w:t>renewable natural resources</w:t>
      </w:r>
      <w:r w:rsidR="00665688">
        <w:rPr>
          <w:rFonts w:eastAsia="Arial"/>
          <w:shd w:val="clear" w:color="auto" w:fill="FFFFFF"/>
        </w:rPr>
        <w:t xml:space="preserve">, such as </w:t>
      </w:r>
      <w:r w:rsidRPr="004B4F06">
        <w:rPr>
          <w:rFonts w:eastAsia="Arial"/>
          <w:shd w:val="clear" w:color="auto" w:fill="FFFFFF"/>
        </w:rPr>
        <w:t>wind</w:t>
      </w:r>
      <w:r w:rsidR="00665688">
        <w:rPr>
          <w:rFonts w:eastAsia="Arial"/>
          <w:shd w:val="clear" w:color="auto" w:fill="FFFFFF"/>
        </w:rPr>
        <w:t>,</w:t>
      </w:r>
      <w:r w:rsidRPr="004B4F06">
        <w:rPr>
          <w:rFonts w:eastAsia="Arial"/>
          <w:shd w:val="clear" w:color="auto" w:fill="FFFFFF"/>
        </w:rPr>
        <w:t xml:space="preserve"> into energy. Although th</w:t>
      </w:r>
      <w:r w:rsidR="00665688">
        <w:rPr>
          <w:rFonts w:eastAsia="Arial"/>
          <w:shd w:val="clear" w:color="auto" w:fill="FFFFFF"/>
        </w:rPr>
        <w:t xml:space="preserve">is </w:t>
      </w:r>
      <w:r w:rsidR="005C2B2B">
        <w:rPr>
          <w:rFonts w:eastAsia="Arial"/>
          <w:shd w:val="clear" w:color="auto" w:fill="FFFFFF"/>
        </w:rPr>
        <w:t xml:space="preserve">case </w:t>
      </w:r>
      <w:r w:rsidRPr="004B4F06">
        <w:rPr>
          <w:rFonts w:eastAsia="Arial"/>
          <w:shd w:val="clear" w:color="auto" w:fill="FFFFFF"/>
        </w:rPr>
        <w:t>stud</w:t>
      </w:r>
      <w:r w:rsidR="00665688">
        <w:rPr>
          <w:rFonts w:eastAsia="Arial"/>
          <w:shd w:val="clear" w:color="auto" w:fill="FFFFFF"/>
        </w:rPr>
        <w:t>y</w:t>
      </w:r>
      <w:r w:rsidRPr="004B4F06">
        <w:rPr>
          <w:rFonts w:eastAsia="Arial"/>
          <w:shd w:val="clear" w:color="auto" w:fill="FFFFFF"/>
        </w:rPr>
        <w:t xml:space="preserve"> </w:t>
      </w:r>
      <w:r w:rsidR="00665688" w:rsidRPr="004B4F06">
        <w:rPr>
          <w:rFonts w:eastAsia="Arial"/>
          <w:shd w:val="clear" w:color="auto" w:fill="FFFFFF"/>
        </w:rPr>
        <w:t>does</w:t>
      </w:r>
      <w:r w:rsidRPr="004B4F06">
        <w:rPr>
          <w:rFonts w:eastAsia="Arial"/>
          <w:shd w:val="clear" w:color="auto" w:fill="FFFFFF"/>
        </w:rPr>
        <w:t xml:space="preserve"> not adopt a </w:t>
      </w:r>
      <w:r w:rsidR="005C2B2B">
        <w:rPr>
          <w:rFonts w:eastAsia="Arial"/>
          <w:shd w:val="clear" w:color="auto" w:fill="FFFFFF"/>
        </w:rPr>
        <w:t xml:space="preserve">comprehensive </w:t>
      </w:r>
      <w:r w:rsidRPr="004B4F06">
        <w:rPr>
          <w:rFonts w:eastAsia="Arial"/>
          <w:shd w:val="clear" w:color="auto" w:fill="FFFFFF"/>
        </w:rPr>
        <w:t xml:space="preserve">historical approach, </w:t>
      </w:r>
      <w:r w:rsidR="00665688">
        <w:rPr>
          <w:rFonts w:eastAsia="Arial"/>
          <w:shd w:val="clear" w:color="auto" w:fill="FFFFFF"/>
        </w:rPr>
        <w:t>it</w:t>
      </w:r>
      <w:r w:rsidRPr="004B4F06">
        <w:rPr>
          <w:rFonts w:eastAsia="Arial"/>
          <w:shd w:val="clear" w:color="auto" w:fill="FFFFFF"/>
        </w:rPr>
        <w:t xml:space="preserve"> </w:t>
      </w:r>
      <w:r w:rsidR="00665688">
        <w:rPr>
          <w:rFonts w:eastAsia="Arial"/>
          <w:shd w:val="clear" w:color="auto" w:fill="FFFFFF"/>
        </w:rPr>
        <w:t>analyzes</w:t>
      </w:r>
      <w:r w:rsidRPr="004B4F06">
        <w:rPr>
          <w:rFonts w:eastAsia="Arial"/>
          <w:shd w:val="clear" w:color="auto" w:fill="FFFFFF"/>
        </w:rPr>
        <w:t xml:space="preserve"> the institutional trajectory </w:t>
      </w:r>
      <w:r w:rsidR="005C2B2B">
        <w:rPr>
          <w:rFonts w:eastAsia="Arial"/>
          <w:shd w:val="clear" w:color="auto" w:fill="FFFFFF"/>
        </w:rPr>
        <w:t xml:space="preserve">and the </w:t>
      </w:r>
      <w:r w:rsidR="002022AD">
        <w:rPr>
          <w:rFonts w:eastAsia="Arial"/>
          <w:shd w:val="clear" w:color="auto" w:fill="FFFFFF"/>
        </w:rPr>
        <w:t xml:space="preserve">strategies and technological capabilities built along the years by the main local actors that comprise </w:t>
      </w:r>
      <w:r w:rsidR="005C2B2B">
        <w:rPr>
          <w:rFonts w:eastAsia="Arial"/>
          <w:shd w:val="clear" w:color="auto" w:fill="FFFFFF"/>
        </w:rPr>
        <w:t>th</w:t>
      </w:r>
      <w:r w:rsidR="00665688">
        <w:rPr>
          <w:rFonts w:eastAsia="Arial"/>
          <w:shd w:val="clear" w:color="auto" w:fill="FFFFFF"/>
        </w:rPr>
        <w:t xml:space="preserve">is </w:t>
      </w:r>
      <w:r w:rsidR="005C2B2B">
        <w:rPr>
          <w:rFonts w:eastAsia="Arial"/>
          <w:shd w:val="clear" w:color="auto" w:fill="FFFFFF"/>
        </w:rPr>
        <w:t>industr</w:t>
      </w:r>
      <w:r w:rsidR="00665688">
        <w:rPr>
          <w:rFonts w:eastAsia="Arial"/>
          <w:shd w:val="clear" w:color="auto" w:fill="FFFFFF"/>
        </w:rPr>
        <w:t>y</w:t>
      </w:r>
      <w:r w:rsidR="005C2B2B">
        <w:rPr>
          <w:rFonts w:eastAsia="Arial"/>
          <w:shd w:val="clear" w:color="auto" w:fill="FFFFFF"/>
        </w:rPr>
        <w:t xml:space="preserve"> </w:t>
      </w:r>
      <w:r w:rsidR="002022AD">
        <w:rPr>
          <w:rFonts w:eastAsia="Arial"/>
          <w:shd w:val="clear" w:color="auto" w:fill="FFFFFF"/>
        </w:rPr>
        <w:t xml:space="preserve">in Argentina. </w:t>
      </w:r>
      <w:r w:rsidR="003D1BF9">
        <w:rPr>
          <w:rFonts w:eastAsia="Arial"/>
          <w:shd w:val="clear" w:color="auto" w:fill="FFFFFF"/>
        </w:rPr>
        <w:t>Additionally</w:t>
      </w:r>
      <w:r w:rsidR="00665688">
        <w:rPr>
          <w:rFonts w:eastAsia="Arial"/>
          <w:shd w:val="clear" w:color="auto" w:fill="FFFFFF"/>
        </w:rPr>
        <w:t xml:space="preserve">, </w:t>
      </w:r>
      <w:r w:rsidR="003D1BF9">
        <w:rPr>
          <w:rFonts w:eastAsia="Arial"/>
          <w:shd w:val="clear" w:color="auto" w:fill="FFFFFF"/>
        </w:rPr>
        <w:t>the research analyses the economic, technological, and political frameworks that surround the emergence of a green hydrogen industry, globally and nationally.</w:t>
      </w:r>
    </w:p>
    <w:p w14:paraId="0E6F32AA" w14:textId="39E283D0" w:rsidR="00CA7B44" w:rsidRDefault="004B4F06" w:rsidP="004B4F06">
      <w:pPr>
        <w:pStyle w:val="BodyText"/>
        <w:ind w:left="851"/>
        <w:jc w:val="both"/>
        <w:rPr>
          <w:rFonts w:eastAsia="Arial"/>
          <w:shd w:val="clear" w:color="auto" w:fill="FFFFFF"/>
        </w:rPr>
      </w:pPr>
      <w:r w:rsidRPr="004B4F06">
        <w:rPr>
          <w:rFonts w:eastAsia="Arial"/>
          <w:shd w:val="clear" w:color="auto" w:fill="FFFFFF"/>
        </w:rPr>
        <w:t xml:space="preserve">These </w:t>
      </w:r>
      <w:r w:rsidR="00665688">
        <w:rPr>
          <w:rFonts w:eastAsia="Arial"/>
          <w:shd w:val="clear" w:color="auto" w:fill="FFFFFF"/>
        </w:rPr>
        <w:t>industries</w:t>
      </w:r>
      <w:r w:rsidRPr="004B4F06">
        <w:rPr>
          <w:rFonts w:eastAsia="Arial"/>
          <w:shd w:val="clear" w:color="auto" w:fill="FFFFFF"/>
        </w:rPr>
        <w:t xml:space="preserve"> were selected for their relevance to the agenda of energy transition in South American countries and for their technological, market, institutional, and organizational differences up to the present moment. The construction of the case stud</w:t>
      </w:r>
      <w:r w:rsidR="00665688">
        <w:rPr>
          <w:rFonts w:eastAsia="Arial"/>
          <w:shd w:val="clear" w:color="auto" w:fill="FFFFFF"/>
        </w:rPr>
        <w:t>y</w:t>
      </w:r>
      <w:r w:rsidRPr="004B4F06">
        <w:rPr>
          <w:rFonts w:eastAsia="Arial"/>
          <w:shd w:val="clear" w:color="auto" w:fill="FFFFFF"/>
        </w:rPr>
        <w:t xml:space="preserve"> </w:t>
      </w:r>
      <w:r w:rsidR="00665688">
        <w:rPr>
          <w:rFonts w:eastAsia="Arial"/>
          <w:shd w:val="clear" w:color="auto" w:fill="FFFFFF"/>
        </w:rPr>
        <w:t xml:space="preserve">and the </w:t>
      </w:r>
      <w:r w:rsidR="003D1BF9">
        <w:rPr>
          <w:rFonts w:eastAsia="Arial"/>
          <w:shd w:val="clear" w:color="auto" w:fill="FFFFFF"/>
        </w:rPr>
        <w:t>analysis</w:t>
      </w:r>
      <w:r w:rsidR="00665688">
        <w:rPr>
          <w:rFonts w:eastAsia="Arial"/>
          <w:shd w:val="clear" w:color="auto" w:fill="FFFFFF"/>
        </w:rPr>
        <w:t xml:space="preserve"> of the green hydrogen nascent industry </w:t>
      </w:r>
      <w:r w:rsidRPr="004B4F06">
        <w:rPr>
          <w:rFonts w:eastAsia="Arial"/>
          <w:shd w:val="clear" w:color="auto" w:fill="FFFFFF"/>
        </w:rPr>
        <w:t>w</w:t>
      </w:r>
      <w:r w:rsidR="00665688">
        <w:rPr>
          <w:rFonts w:eastAsia="Arial"/>
          <w:shd w:val="clear" w:color="auto" w:fill="FFFFFF"/>
        </w:rPr>
        <w:t>ere</w:t>
      </w:r>
      <w:r w:rsidRPr="004B4F06">
        <w:rPr>
          <w:rFonts w:eastAsia="Arial"/>
          <w:shd w:val="clear" w:color="auto" w:fill="FFFFFF"/>
        </w:rPr>
        <w:t xml:space="preserve"> carried out through the collection of information from multiple secondary sources and semi-structured interviews with representatives from both industries. Their analysis is based on the coding and recording of information in matrices to identify common patterns and differences.</w:t>
      </w:r>
    </w:p>
    <w:p w14:paraId="6C3BE98C" w14:textId="77777777" w:rsidR="004B4F06" w:rsidRPr="004B4F06" w:rsidRDefault="004B4F06" w:rsidP="004B4F06">
      <w:pPr>
        <w:pStyle w:val="BodyText"/>
        <w:ind w:left="851"/>
        <w:jc w:val="both"/>
        <w:rPr>
          <w:rFonts w:ascii="Arial"/>
          <w:b/>
          <w:sz w:val="23"/>
        </w:rPr>
      </w:pPr>
    </w:p>
    <w:p w14:paraId="5AF76578" w14:textId="162EEE90" w:rsidR="00CA7B44" w:rsidRPr="00111DFC" w:rsidRDefault="00000000">
      <w:pPr>
        <w:pStyle w:val="Heading1"/>
      </w:pPr>
      <w:r w:rsidRPr="00111DFC">
        <w:t>Results</w:t>
      </w:r>
    </w:p>
    <w:p w14:paraId="706E9585" w14:textId="41AB3F4E" w:rsidR="00FA119E" w:rsidRDefault="00FA119E" w:rsidP="0040608E">
      <w:pPr>
        <w:pStyle w:val="BodyText"/>
        <w:ind w:left="851"/>
        <w:jc w:val="both"/>
        <w:rPr>
          <w:rFonts w:eastAsia="Arial"/>
          <w:shd w:val="clear" w:color="auto" w:fill="FFFFFF"/>
        </w:rPr>
      </w:pPr>
      <w:r w:rsidRPr="00FA119E">
        <w:rPr>
          <w:rFonts w:eastAsia="Arial"/>
          <w:shd w:val="clear" w:color="auto" w:fill="FFFFFF"/>
        </w:rPr>
        <w:lastRenderedPageBreak/>
        <w:t xml:space="preserve">In Argentina, the wind </w:t>
      </w:r>
      <w:r>
        <w:rPr>
          <w:rFonts w:eastAsia="Arial"/>
          <w:shd w:val="clear" w:color="auto" w:fill="FFFFFF"/>
        </w:rPr>
        <w:t xml:space="preserve">energy </w:t>
      </w:r>
      <w:r w:rsidRPr="00FA119E">
        <w:rPr>
          <w:rFonts w:eastAsia="Arial"/>
          <w:shd w:val="clear" w:color="auto" w:fill="FFFFFF"/>
        </w:rPr>
        <w:t xml:space="preserve">industry emerged in the late </w:t>
      </w:r>
      <w:proofErr w:type="spellStart"/>
      <w:r w:rsidRPr="00FA119E">
        <w:rPr>
          <w:rFonts w:eastAsia="Arial"/>
          <w:shd w:val="clear" w:color="auto" w:fill="FFFFFF"/>
        </w:rPr>
        <w:t>2000s</w:t>
      </w:r>
      <w:proofErr w:type="spellEnd"/>
      <w:r w:rsidRPr="00FA119E">
        <w:rPr>
          <w:rFonts w:eastAsia="Arial"/>
          <w:shd w:val="clear" w:color="auto" w:fill="FFFFFF"/>
        </w:rPr>
        <w:t xml:space="preserve">, when at least three companies with different strategies and technological capabilities developed and, in some cases, installed wind turbines produced in the country. These developments were motivated by the global growth </w:t>
      </w:r>
      <w:r>
        <w:rPr>
          <w:rFonts w:eastAsia="Arial"/>
          <w:shd w:val="clear" w:color="auto" w:fill="FFFFFF"/>
        </w:rPr>
        <w:t xml:space="preserve">of renewable energy </w:t>
      </w:r>
      <w:r w:rsidRPr="00FA119E">
        <w:rPr>
          <w:rFonts w:eastAsia="Arial"/>
          <w:shd w:val="clear" w:color="auto" w:fill="FFFFFF"/>
        </w:rPr>
        <w:t xml:space="preserve">demand and the internationalization of this technology at a time when its costs continued to be </w:t>
      </w:r>
      <w:r w:rsidR="004A6C4E">
        <w:rPr>
          <w:rFonts w:eastAsia="Arial"/>
          <w:shd w:val="clear" w:color="auto" w:fill="FFFFFF"/>
        </w:rPr>
        <w:t>higher than non-renewable energy</w:t>
      </w:r>
      <w:r w:rsidRPr="00FA119E">
        <w:rPr>
          <w:rFonts w:eastAsia="Arial"/>
          <w:shd w:val="clear" w:color="auto" w:fill="FFFFFF"/>
        </w:rPr>
        <w:t xml:space="preserve">, as is currently happening with hydrogen. The existence of technological and demand-oriented public policies at the national level, albeit with limited resources and politically unstable, accelerated the development of local technological capacities within these firms, but also among their </w:t>
      </w:r>
      <w:r w:rsidR="004A6C4E">
        <w:rPr>
          <w:rFonts w:eastAsia="Arial"/>
          <w:shd w:val="clear" w:color="auto" w:fill="FFFFFF"/>
        </w:rPr>
        <w:t xml:space="preserve">domestic </w:t>
      </w:r>
      <w:r w:rsidRPr="00FA119E">
        <w:rPr>
          <w:rFonts w:eastAsia="Arial"/>
          <w:shd w:val="clear" w:color="auto" w:fill="FFFFFF"/>
        </w:rPr>
        <w:t xml:space="preserve">suppliers. However, the small and unstable market scale offered by </w:t>
      </w:r>
      <w:r w:rsidR="004A6C4E">
        <w:rPr>
          <w:rFonts w:eastAsia="Arial"/>
          <w:shd w:val="clear" w:color="auto" w:fill="FFFFFF"/>
        </w:rPr>
        <w:t xml:space="preserve">the public sector in </w:t>
      </w:r>
      <w:r w:rsidRPr="00FA119E">
        <w:rPr>
          <w:rFonts w:eastAsia="Arial"/>
          <w:shd w:val="clear" w:color="auto" w:fill="FFFFFF"/>
        </w:rPr>
        <w:t>Argentina</w:t>
      </w:r>
      <w:r w:rsidR="003D1BF9">
        <w:rPr>
          <w:rFonts w:eastAsia="Arial"/>
          <w:shd w:val="clear" w:color="auto" w:fill="FFFFFF"/>
        </w:rPr>
        <w:t>,</w:t>
      </w:r>
      <w:r w:rsidRPr="00FA119E">
        <w:rPr>
          <w:rFonts w:eastAsia="Arial"/>
          <w:shd w:val="clear" w:color="auto" w:fill="FFFFFF"/>
        </w:rPr>
        <w:t xml:space="preserve"> in a highly competitive global </w:t>
      </w:r>
      <w:r w:rsidR="004A6C4E">
        <w:rPr>
          <w:rFonts w:eastAsia="Arial"/>
          <w:shd w:val="clear" w:color="auto" w:fill="FFFFFF"/>
        </w:rPr>
        <w:t>environment</w:t>
      </w:r>
      <w:r w:rsidR="003D1BF9">
        <w:rPr>
          <w:rFonts w:eastAsia="Arial"/>
          <w:shd w:val="clear" w:color="auto" w:fill="FFFFFF"/>
        </w:rPr>
        <w:t>,</w:t>
      </w:r>
      <w:r w:rsidR="004A6C4E">
        <w:rPr>
          <w:rFonts w:eastAsia="Arial"/>
          <w:shd w:val="clear" w:color="auto" w:fill="FFFFFF"/>
        </w:rPr>
        <w:t xml:space="preserve"> </w:t>
      </w:r>
      <w:r w:rsidRPr="00FA119E">
        <w:rPr>
          <w:rFonts w:eastAsia="Arial"/>
          <w:shd w:val="clear" w:color="auto" w:fill="FFFFFF"/>
        </w:rPr>
        <w:t>forced th</w:t>
      </w:r>
      <w:r w:rsidR="004A6C4E">
        <w:rPr>
          <w:rFonts w:eastAsia="Arial"/>
          <w:shd w:val="clear" w:color="auto" w:fill="FFFFFF"/>
        </w:rPr>
        <w:t xml:space="preserve">e </w:t>
      </w:r>
      <w:r w:rsidRPr="00FA119E">
        <w:rPr>
          <w:rFonts w:eastAsia="Arial"/>
          <w:shd w:val="clear" w:color="auto" w:fill="FFFFFF"/>
        </w:rPr>
        <w:t xml:space="preserve">firm that managed to stay in </w:t>
      </w:r>
      <w:r w:rsidR="003D1BF9" w:rsidRPr="00FA119E">
        <w:rPr>
          <w:rFonts w:eastAsia="Arial"/>
          <w:shd w:val="clear" w:color="auto" w:fill="FFFFFF"/>
        </w:rPr>
        <w:t>th</w:t>
      </w:r>
      <w:r w:rsidR="003D1BF9">
        <w:rPr>
          <w:rFonts w:eastAsia="Arial"/>
          <w:shd w:val="clear" w:color="auto" w:fill="FFFFFF"/>
        </w:rPr>
        <w:t>at</w:t>
      </w:r>
      <w:r w:rsidR="003D1BF9" w:rsidRPr="00FA119E">
        <w:rPr>
          <w:rFonts w:eastAsia="Arial"/>
          <w:shd w:val="clear" w:color="auto" w:fill="FFFFFF"/>
        </w:rPr>
        <w:t xml:space="preserve"> market</w:t>
      </w:r>
      <w:r w:rsidRPr="00FA119E">
        <w:rPr>
          <w:rFonts w:eastAsia="Arial"/>
          <w:shd w:val="clear" w:color="auto" w:fill="FFFFFF"/>
        </w:rPr>
        <w:t xml:space="preserve"> to internationalize, for which the </w:t>
      </w:r>
      <w:r w:rsidR="004A6C4E">
        <w:rPr>
          <w:rFonts w:eastAsia="Arial"/>
          <w:shd w:val="clear" w:color="auto" w:fill="FFFFFF"/>
        </w:rPr>
        <w:t>economic</w:t>
      </w:r>
      <w:r w:rsidRPr="00FA119E">
        <w:rPr>
          <w:rFonts w:eastAsia="Arial"/>
          <w:shd w:val="clear" w:color="auto" w:fill="FFFFFF"/>
        </w:rPr>
        <w:t xml:space="preserve"> integration of Mercosur proved to be key</w:t>
      </w:r>
      <w:r w:rsidR="004A6C4E">
        <w:rPr>
          <w:rFonts w:eastAsia="Arial"/>
          <w:shd w:val="clear" w:color="auto" w:fill="FFFFFF"/>
        </w:rPr>
        <w:t xml:space="preserve">. </w:t>
      </w:r>
    </w:p>
    <w:p w14:paraId="3B5BC595" w14:textId="44284310" w:rsidR="008468D8" w:rsidRDefault="004A6C4E" w:rsidP="00D70531">
      <w:pPr>
        <w:pStyle w:val="BodyText"/>
        <w:ind w:left="851"/>
        <w:jc w:val="both"/>
        <w:rPr>
          <w:rFonts w:eastAsia="Arial"/>
          <w:shd w:val="clear" w:color="auto" w:fill="FFFFFF"/>
        </w:rPr>
      </w:pPr>
      <w:r w:rsidRPr="00111DFC">
        <w:rPr>
          <w:rFonts w:eastAsia="Arial"/>
          <w:shd w:val="clear" w:color="auto" w:fill="FFFFFF"/>
        </w:rPr>
        <w:t xml:space="preserve">The analysis of the trajectory of the wind </w:t>
      </w:r>
      <w:r>
        <w:rPr>
          <w:rFonts w:eastAsia="Arial"/>
          <w:shd w:val="clear" w:color="auto" w:fill="FFFFFF"/>
        </w:rPr>
        <w:t xml:space="preserve">energy </w:t>
      </w:r>
      <w:r w:rsidR="003D1BF9">
        <w:rPr>
          <w:rFonts w:eastAsia="Arial"/>
          <w:shd w:val="clear" w:color="auto" w:fill="FFFFFF"/>
        </w:rPr>
        <w:t xml:space="preserve">industry in </w:t>
      </w:r>
      <w:r w:rsidR="004552BE">
        <w:rPr>
          <w:rFonts w:eastAsia="Arial"/>
          <w:shd w:val="clear" w:color="auto" w:fill="FFFFFF"/>
        </w:rPr>
        <w:t>Argentina</w:t>
      </w:r>
      <w:r w:rsidR="003D1BF9">
        <w:rPr>
          <w:rFonts w:eastAsia="Arial"/>
          <w:shd w:val="clear" w:color="auto" w:fill="FFFFFF"/>
        </w:rPr>
        <w:t xml:space="preserve"> </w:t>
      </w:r>
      <w:r w:rsidR="00D70531">
        <w:rPr>
          <w:rFonts w:eastAsia="Arial"/>
          <w:shd w:val="clear" w:color="auto" w:fill="FFFFFF"/>
        </w:rPr>
        <w:t xml:space="preserve">and its comparison with </w:t>
      </w:r>
      <w:r w:rsidR="003D1BF9">
        <w:rPr>
          <w:rFonts w:eastAsia="Arial"/>
          <w:shd w:val="clear" w:color="auto" w:fill="FFFFFF"/>
        </w:rPr>
        <w:t>the</w:t>
      </w:r>
      <w:r w:rsidR="004552BE">
        <w:rPr>
          <w:rFonts w:eastAsia="Arial"/>
          <w:shd w:val="clear" w:color="auto" w:fill="FFFFFF"/>
        </w:rPr>
        <w:t xml:space="preserve"> dynamic of </w:t>
      </w:r>
      <w:r w:rsidR="00D70531">
        <w:rPr>
          <w:rFonts w:eastAsia="Arial"/>
          <w:shd w:val="clear" w:color="auto" w:fill="FFFFFF"/>
        </w:rPr>
        <w:t xml:space="preserve">the </w:t>
      </w:r>
      <w:r w:rsidRPr="00111DFC">
        <w:rPr>
          <w:rFonts w:eastAsia="Arial"/>
          <w:shd w:val="clear" w:color="auto" w:fill="FFFFFF"/>
        </w:rPr>
        <w:t xml:space="preserve">green hydrogen </w:t>
      </w:r>
      <w:r w:rsidR="004552BE">
        <w:rPr>
          <w:rFonts w:eastAsia="Arial"/>
          <w:shd w:val="clear" w:color="auto" w:fill="FFFFFF"/>
        </w:rPr>
        <w:t xml:space="preserve">nascent industry </w:t>
      </w:r>
      <w:r w:rsidRPr="00111DFC">
        <w:rPr>
          <w:rFonts w:eastAsia="Arial"/>
          <w:shd w:val="clear" w:color="auto" w:fill="FFFFFF"/>
        </w:rPr>
        <w:t xml:space="preserve">shows different enabling conditions acquire </w:t>
      </w:r>
      <w:r w:rsidR="00D70531">
        <w:rPr>
          <w:rFonts w:eastAsia="Arial"/>
          <w:shd w:val="clear" w:color="auto" w:fill="FFFFFF"/>
        </w:rPr>
        <w:t xml:space="preserve">different </w:t>
      </w:r>
      <w:r w:rsidR="00D70531" w:rsidRPr="00111DFC">
        <w:rPr>
          <w:rFonts w:eastAsia="Arial"/>
          <w:shd w:val="clear" w:color="auto" w:fill="FFFFFF"/>
        </w:rPr>
        <w:t xml:space="preserve">degrees of importance </w:t>
      </w:r>
      <w:r w:rsidR="00D70531">
        <w:rPr>
          <w:rFonts w:eastAsia="Arial"/>
          <w:shd w:val="clear" w:color="auto" w:fill="FFFFFF"/>
        </w:rPr>
        <w:t>along</w:t>
      </w:r>
      <w:r w:rsidRPr="00111DFC">
        <w:rPr>
          <w:rFonts w:eastAsia="Arial"/>
          <w:shd w:val="clear" w:color="auto" w:fill="FFFFFF"/>
        </w:rPr>
        <w:t xml:space="preserve"> the technological cycle to give rise to processes</w:t>
      </w:r>
      <w:r w:rsidR="00D70531">
        <w:rPr>
          <w:rFonts w:eastAsia="Arial"/>
          <w:shd w:val="clear" w:color="auto" w:fill="FFFFFF"/>
        </w:rPr>
        <w:t xml:space="preserve"> of</w:t>
      </w:r>
      <w:r w:rsidRPr="00111DFC">
        <w:rPr>
          <w:rFonts w:eastAsia="Arial"/>
          <w:shd w:val="clear" w:color="auto" w:fill="FFFFFF"/>
        </w:rPr>
        <w:t xml:space="preserve"> learning and innovation</w:t>
      </w:r>
      <w:r w:rsidR="00D70531">
        <w:rPr>
          <w:rFonts w:eastAsia="Arial"/>
          <w:shd w:val="clear" w:color="auto" w:fill="FFFFFF"/>
        </w:rPr>
        <w:t xml:space="preserve"> in networks of domestic firms</w:t>
      </w:r>
      <w:r w:rsidRPr="00111DFC">
        <w:rPr>
          <w:rFonts w:eastAsia="Arial"/>
          <w:shd w:val="clear" w:color="auto" w:fill="FFFFFF"/>
        </w:rPr>
        <w:t>.</w:t>
      </w:r>
      <w:r>
        <w:rPr>
          <w:rFonts w:eastAsia="Arial"/>
          <w:shd w:val="clear" w:color="auto" w:fill="FFFFFF"/>
        </w:rPr>
        <w:t xml:space="preserve"> </w:t>
      </w:r>
      <w:r w:rsidR="00D70531">
        <w:rPr>
          <w:rFonts w:eastAsia="Arial"/>
          <w:shd w:val="clear" w:color="auto" w:fill="FFFFFF"/>
        </w:rPr>
        <w:t>W</w:t>
      </w:r>
      <w:r w:rsidR="00111DFC" w:rsidRPr="00111DFC">
        <w:rPr>
          <w:rFonts w:eastAsia="Arial"/>
          <w:shd w:val="clear" w:color="auto" w:fill="FFFFFF"/>
        </w:rPr>
        <w:t>ind energy is solely destined for electricity production,</w:t>
      </w:r>
      <w:r w:rsidR="00FA119E">
        <w:rPr>
          <w:rFonts w:eastAsia="Arial"/>
          <w:shd w:val="clear" w:color="auto" w:fill="FFFFFF"/>
        </w:rPr>
        <w:t xml:space="preserve"> but </w:t>
      </w:r>
      <w:r w:rsidR="00111DFC" w:rsidRPr="00111DFC">
        <w:rPr>
          <w:rFonts w:eastAsia="Arial"/>
          <w:shd w:val="clear" w:color="auto" w:fill="FFFFFF"/>
        </w:rPr>
        <w:t>green hydrogen has a variety of applications that go beyond the energy sector and involve a variety of domestic and external actors, both public and private. This diversity can inject greater dynamism into the demand, but its speed and scope may be partially affected by the national institutional framework and to some extent by international norms and agreements.</w:t>
      </w:r>
      <w:r w:rsidR="008468D8">
        <w:rPr>
          <w:rFonts w:eastAsia="Arial"/>
          <w:shd w:val="clear" w:color="auto" w:fill="FFFFFF"/>
        </w:rPr>
        <w:t xml:space="preserve"> </w:t>
      </w:r>
    </w:p>
    <w:p w14:paraId="4C48F125" w14:textId="65F9DD5A" w:rsidR="00111DFC" w:rsidRPr="00111DFC" w:rsidRDefault="008468D8" w:rsidP="008468D8">
      <w:pPr>
        <w:pStyle w:val="BodyText"/>
        <w:ind w:left="851"/>
        <w:jc w:val="both"/>
        <w:rPr>
          <w:rFonts w:eastAsia="Arial"/>
          <w:shd w:val="clear" w:color="auto" w:fill="FFFFFF"/>
        </w:rPr>
      </w:pPr>
      <w:r>
        <w:rPr>
          <w:rFonts w:eastAsia="Arial"/>
          <w:shd w:val="clear" w:color="auto" w:fill="FFFFFF"/>
        </w:rPr>
        <w:t>On the other hand, l</w:t>
      </w:r>
      <w:r w:rsidR="00111DFC" w:rsidRPr="00111DFC">
        <w:rPr>
          <w:rFonts w:eastAsia="Arial"/>
          <w:shd w:val="clear" w:color="auto" w:fill="FFFFFF"/>
        </w:rPr>
        <w:t xml:space="preserve">ong-term patterns of innovation in energy technologies are crucial for public policy planning around their development in the context of climate change. While wind turbine technology resembles the </w:t>
      </w:r>
      <w:r w:rsidR="002022AD" w:rsidRPr="00111DFC">
        <w:rPr>
          <w:rFonts w:eastAsia="Arial"/>
          <w:shd w:val="clear" w:color="auto" w:fill="FFFFFF"/>
        </w:rPr>
        <w:t>life cycle</w:t>
      </w:r>
      <w:r w:rsidR="00111DFC" w:rsidRPr="00111DFC">
        <w:rPr>
          <w:rFonts w:eastAsia="Arial"/>
          <w:shd w:val="clear" w:color="auto" w:fill="FFFFFF"/>
        </w:rPr>
        <w:t xml:space="preserve"> of complex products and systems </w:t>
      </w:r>
      <w:r>
        <w:rPr>
          <w:rFonts w:eastAsia="Arial"/>
          <w:shd w:val="clear" w:color="auto" w:fill="FFFFFF"/>
        </w:rPr>
        <w:t>–</w:t>
      </w:r>
      <w:r w:rsidR="00111DFC" w:rsidRPr="00111DFC">
        <w:rPr>
          <w:rFonts w:eastAsia="Arial"/>
          <w:shd w:val="clear" w:color="auto" w:fill="FFFFFF"/>
        </w:rPr>
        <w:t>the focus of innovative activity shifts over time through different parts of the product- (</w:t>
      </w:r>
      <w:proofErr w:type="spellStart"/>
      <w:r w:rsidR="00111DFC" w:rsidRPr="00111DFC">
        <w:rPr>
          <w:rFonts w:eastAsia="Arial"/>
          <w:shd w:val="clear" w:color="auto" w:fill="FFFFFF"/>
        </w:rPr>
        <w:t>Huenteler</w:t>
      </w:r>
      <w:proofErr w:type="spellEnd"/>
      <w:r w:rsidR="00111DFC" w:rsidRPr="00111DFC">
        <w:rPr>
          <w:rFonts w:eastAsia="Arial"/>
          <w:shd w:val="clear" w:color="auto" w:fill="FFFFFF"/>
        </w:rPr>
        <w:t xml:space="preserve">, Schmidt, </w:t>
      </w:r>
      <w:proofErr w:type="spellStart"/>
      <w:r w:rsidR="00111DFC" w:rsidRPr="00111DFC">
        <w:rPr>
          <w:rFonts w:eastAsia="Arial"/>
          <w:shd w:val="clear" w:color="auto" w:fill="FFFFFF"/>
        </w:rPr>
        <w:t>Ossenbrink</w:t>
      </w:r>
      <w:proofErr w:type="spellEnd"/>
      <w:r w:rsidR="00111DFC" w:rsidRPr="00111DFC">
        <w:rPr>
          <w:rFonts w:eastAsia="Arial"/>
          <w:shd w:val="clear" w:color="auto" w:fill="FFFFFF"/>
        </w:rPr>
        <w:t xml:space="preserve">, &amp; Hoffmann, 2016), the </w:t>
      </w:r>
      <w:r w:rsidR="00CE7068" w:rsidRPr="00111DFC">
        <w:rPr>
          <w:rFonts w:eastAsia="Arial"/>
          <w:shd w:val="clear" w:color="auto" w:fill="FFFFFF"/>
        </w:rPr>
        <w:t>life cycle</w:t>
      </w:r>
      <w:r w:rsidR="00111DFC" w:rsidRPr="00111DFC">
        <w:rPr>
          <w:rFonts w:eastAsia="Arial"/>
          <w:shd w:val="clear" w:color="auto" w:fill="FFFFFF"/>
        </w:rPr>
        <w:t xml:space="preserve"> of hydrogen is not yet clear though it may follow mass-produced goods, where early product innovations are followed by a surge of process innovations in green hydrogen production. This innovation pattern affects industry configuration.</w:t>
      </w:r>
    </w:p>
    <w:p w14:paraId="793B82F0" w14:textId="1DB8839A" w:rsidR="00CA7B44" w:rsidRDefault="00111DFC" w:rsidP="00111DFC">
      <w:pPr>
        <w:pStyle w:val="BodyText"/>
        <w:ind w:left="851"/>
        <w:jc w:val="both"/>
        <w:rPr>
          <w:rFonts w:eastAsia="Arial"/>
          <w:shd w:val="clear" w:color="auto" w:fill="FFFFFF"/>
        </w:rPr>
      </w:pPr>
      <w:r w:rsidRPr="00111DFC">
        <w:rPr>
          <w:rFonts w:eastAsia="Arial"/>
          <w:shd w:val="clear" w:color="auto" w:fill="FFFFFF"/>
        </w:rPr>
        <w:t xml:space="preserve">Today, the global value chain of the wind industry is led by companies that manufacture wind turbines. This link in the chain has become concentrated in a few companies with the internationalization of the market and the emergence of entry barriers due, first, to the vertical integration of firms and, subsequently, to the control of a knowledge and capital-intensive technology with O&amp;M contracts for the life cycle of wind farms. Hydrogen technology, on the other hand, is in transition between demonstration and diffusion stages. This has led European Union countries and the USA to implement policies to incentivize the localization of new factories </w:t>
      </w:r>
      <w:r w:rsidR="008468D8">
        <w:rPr>
          <w:rFonts w:eastAsia="Arial"/>
          <w:shd w:val="clear" w:color="auto" w:fill="FFFFFF"/>
        </w:rPr>
        <w:t xml:space="preserve">to produce </w:t>
      </w:r>
      <w:proofErr w:type="spellStart"/>
      <w:r w:rsidR="008468D8" w:rsidRPr="00111DFC">
        <w:rPr>
          <w:rFonts w:eastAsia="Arial"/>
          <w:shd w:val="clear" w:color="auto" w:fill="FFFFFF"/>
        </w:rPr>
        <w:t>electrolyzer</w:t>
      </w:r>
      <w:proofErr w:type="spellEnd"/>
      <w:r w:rsidR="008468D8" w:rsidRPr="00111DFC">
        <w:rPr>
          <w:rFonts w:eastAsia="Arial"/>
          <w:shd w:val="clear" w:color="auto" w:fill="FFFFFF"/>
        </w:rPr>
        <w:t xml:space="preserve"> </w:t>
      </w:r>
      <w:r w:rsidRPr="00111DFC">
        <w:rPr>
          <w:rFonts w:eastAsia="Arial"/>
          <w:shd w:val="clear" w:color="auto" w:fill="FFFFFF"/>
        </w:rPr>
        <w:t xml:space="preserve">in their territories, even though in China there already exists a local supply chain that allows </w:t>
      </w:r>
      <w:r w:rsidR="008468D8" w:rsidRPr="00111DFC">
        <w:rPr>
          <w:rFonts w:eastAsia="Arial"/>
          <w:shd w:val="clear" w:color="auto" w:fill="FFFFFF"/>
        </w:rPr>
        <w:t>to produce</w:t>
      </w:r>
      <w:r w:rsidRPr="00111DFC">
        <w:rPr>
          <w:rFonts w:eastAsia="Arial"/>
          <w:shd w:val="clear" w:color="auto" w:fill="FFFFFF"/>
        </w:rPr>
        <w:t xml:space="preserve"> alkaline </w:t>
      </w:r>
      <w:proofErr w:type="spellStart"/>
      <w:r w:rsidRPr="00111DFC">
        <w:rPr>
          <w:rFonts w:eastAsia="Arial"/>
          <w:shd w:val="clear" w:color="auto" w:fill="FFFFFF"/>
        </w:rPr>
        <w:t>electrolyzers</w:t>
      </w:r>
      <w:proofErr w:type="spellEnd"/>
      <w:r w:rsidRPr="00111DFC">
        <w:rPr>
          <w:rFonts w:eastAsia="Arial"/>
          <w:shd w:val="clear" w:color="auto" w:fill="FFFFFF"/>
        </w:rPr>
        <w:t xml:space="preserve"> at a competitive price. In parallel, the strategies of South American countries aim to incentivize, with some exceptions, the installation of hydrogen production plants.</w:t>
      </w:r>
    </w:p>
    <w:p w14:paraId="19A673AF" w14:textId="77777777" w:rsidR="00111DFC" w:rsidRPr="00111DFC" w:rsidRDefault="00111DFC" w:rsidP="00111DFC">
      <w:pPr>
        <w:pStyle w:val="BodyText"/>
        <w:ind w:left="851"/>
        <w:jc w:val="both"/>
        <w:rPr>
          <w:rFonts w:eastAsia="Arial"/>
          <w:shd w:val="clear" w:color="auto" w:fill="FFFFFF"/>
        </w:rPr>
      </w:pPr>
    </w:p>
    <w:p w14:paraId="7B1B2F84" w14:textId="2182C1E9" w:rsidR="00CA7B44" w:rsidRDefault="00000000">
      <w:pPr>
        <w:ind w:left="840"/>
        <w:rPr>
          <w:rFonts w:ascii="Arial"/>
          <w:b/>
          <w:sz w:val="24"/>
        </w:rPr>
      </w:pPr>
      <w:r>
        <w:rPr>
          <w:rFonts w:ascii="Arial"/>
          <w:b/>
          <w:sz w:val="24"/>
        </w:rPr>
        <w:t>Conclusions</w:t>
      </w:r>
    </w:p>
    <w:p w14:paraId="7B2EA29C" w14:textId="644DD1A9" w:rsidR="0040608E" w:rsidRDefault="00E67146" w:rsidP="00E67146">
      <w:pPr>
        <w:pStyle w:val="BodyText"/>
        <w:ind w:left="851"/>
        <w:jc w:val="both"/>
        <w:rPr>
          <w:rFonts w:eastAsia="Arial"/>
          <w:shd w:val="clear" w:color="auto" w:fill="FFFFFF"/>
        </w:rPr>
      </w:pPr>
      <w:r w:rsidRPr="00E67146">
        <w:rPr>
          <w:rFonts w:eastAsia="Arial"/>
          <w:shd w:val="clear" w:color="auto" w:fill="FFFFFF"/>
        </w:rPr>
        <w:t>At a global level, the energy transition is a response to climate change, but also an opportunity to enhance innovation income and exploit new sources of capital accumulation based on natural resources</w:t>
      </w:r>
      <w:r w:rsidR="00773F44">
        <w:rPr>
          <w:rFonts w:eastAsia="Arial"/>
          <w:shd w:val="clear" w:color="auto" w:fill="FFFFFF"/>
        </w:rPr>
        <w:t>.</w:t>
      </w:r>
      <w:r w:rsidRPr="00E67146">
        <w:rPr>
          <w:rFonts w:eastAsia="Arial"/>
          <w:shd w:val="clear" w:color="auto" w:fill="FFFFFF"/>
        </w:rPr>
        <w:t xml:space="preserve"> </w:t>
      </w:r>
      <w:r w:rsidR="008532C4">
        <w:rPr>
          <w:rFonts w:eastAsia="Arial"/>
          <w:shd w:val="clear" w:color="auto" w:fill="FFFFFF"/>
        </w:rPr>
        <w:t>I</w:t>
      </w:r>
      <w:r w:rsidR="00773F44">
        <w:rPr>
          <w:rFonts w:eastAsia="Arial"/>
          <w:shd w:val="clear" w:color="auto" w:fill="FFFFFF"/>
        </w:rPr>
        <w:t>n d</w:t>
      </w:r>
      <w:r w:rsidRPr="00E67146">
        <w:rPr>
          <w:rFonts w:eastAsia="Arial"/>
          <w:shd w:val="clear" w:color="auto" w:fill="FFFFFF"/>
        </w:rPr>
        <w:t>eveloped countries</w:t>
      </w:r>
      <w:r w:rsidR="008532C4">
        <w:rPr>
          <w:rFonts w:eastAsia="Arial"/>
          <w:shd w:val="clear" w:color="auto" w:fill="FFFFFF"/>
        </w:rPr>
        <w:t>, the States</w:t>
      </w:r>
      <w:r w:rsidRPr="00E67146">
        <w:rPr>
          <w:rFonts w:eastAsia="Arial"/>
          <w:shd w:val="clear" w:color="auto" w:fill="FFFFFF"/>
        </w:rPr>
        <w:t xml:space="preserve"> have implemented demand, industrial, and technological policies to strengthen </w:t>
      </w:r>
      <w:r w:rsidR="008532C4">
        <w:rPr>
          <w:rFonts w:eastAsia="Arial"/>
          <w:shd w:val="clear" w:color="auto" w:fill="FFFFFF"/>
        </w:rPr>
        <w:t xml:space="preserve">learning and innovation of the firms in the renewable energy </w:t>
      </w:r>
      <w:r w:rsidRPr="00E67146">
        <w:rPr>
          <w:rFonts w:eastAsia="Arial"/>
          <w:shd w:val="clear" w:color="auto" w:fill="FFFFFF"/>
        </w:rPr>
        <w:t>sector</w:t>
      </w:r>
      <w:r w:rsidR="008532C4">
        <w:rPr>
          <w:rFonts w:eastAsia="Arial"/>
          <w:shd w:val="clear" w:color="auto" w:fill="FFFFFF"/>
        </w:rPr>
        <w:t>. Many of them</w:t>
      </w:r>
      <w:r w:rsidRPr="00E67146">
        <w:rPr>
          <w:rFonts w:eastAsia="Arial"/>
          <w:shd w:val="clear" w:color="auto" w:fill="FFFFFF"/>
        </w:rPr>
        <w:t xml:space="preserve"> now control technology and, in the case of the wind sector, lead global value chains. The trajectory of the wind sector in Argentina shows that, in the early stages of technology diffusion, firms with frontier technological capabilities can develop strategies to integrate themselves into production processes with high value-added and knowledge-intensive impacts on the development of local suppliers. However, </w:t>
      </w:r>
      <w:r w:rsidR="0040608E">
        <w:rPr>
          <w:rFonts w:eastAsia="Arial"/>
          <w:shd w:val="clear" w:color="auto" w:fill="FFFFFF"/>
        </w:rPr>
        <w:t xml:space="preserve">as </w:t>
      </w:r>
      <w:r w:rsidR="008532C4">
        <w:rPr>
          <w:rFonts w:eastAsia="Arial"/>
          <w:shd w:val="clear" w:color="auto" w:fill="FFFFFF"/>
        </w:rPr>
        <w:t xml:space="preserve">wind energy is </w:t>
      </w:r>
      <w:r w:rsidRPr="00E67146">
        <w:rPr>
          <w:rFonts w:eastAsia="Arial"/>
          <w:shd w:val="clear" w:color="auto" w:fill="FFFFFF"/>
        </w:rPr>
        <w:t xml:space="preserve">a complex and capital-intensive </w:t>
      </w:r>
      <w:r w:rsidR="0040608E">
        <w:rPr>
          <w:rFonts w:eastAsia="Arial"/>
          <w:shd w:val="clear" w:color="auto" w:fill="FFFFFF"/>
        </w:rPr>
        <w:t>technology</w:t>
      </w:r>
      <w:r w:rsidRPr="00E67146">
        <w:rPr>
          <w:rFonts w:eastAsia="Arial"/>
          <w:shd w:val="clear" w:color="auto" w:fill="FFFFFF"/>
        </w:rPr>
        <w:t xml:space="preserve">, </w:t>
      </w:r>
      <w:r w:rsidR="0040608E">
        <w:rPr>
          <w:rFonts w:eastAsia="Arial"/>
          <w:shd w:val="clear" w:color="auto" w:fill="FFFFFF"/>
        </w:rPr>
        <w:t xml:space="preserve">its </w:t>
      </w:r>
      <w:r w:rsidRPr="00E67146">
        <w:rPr>
          <w:rFonts w:eastAsia="Arial"/>
          <w:shd w:val="clear" w:color="auto" w:fill="FFFFFF"/>
        </w:rPr>
        <w:t xml:space="preserve">diffusion led to a process of global concentration. While the specificity of natural resources and the national regulatory framework can counterbalance the centrality of global firms, weighing the participation of local companies, financial logic, global certifications, and ICTs can counteract this trend. This raises questions about the degree of relevance that the specificity of renewable energy sources and institutional frameworks have compared to other factors such as industry organization and the market. </w:t>
      </w:r>
      <w:r w:rsidR="008532C4">
        <w:rPr>
          <w:rFonts w:eastAsia="Arial"/>
          <w:shd w:val="clear" w:color="auto" w:fill="FFFFFF"/>
        </w:rPr>
        <w:t>Besides, t</w:t>
      </w:r>
      <w:r w:rsidRPr="00E67146">
        <w:rPr>
          <w:rFonts w:eastAsia="Arial"/>
          <w:shd w:val="clear" w:color="auto" w:fill="FFFFFF"/>
        </w:rPr>
        <w:t xml:space="preserve">he innovation pattern of </w:t>
      </w:r>
      <w:proofErr w:type="spellStart"/>
      <w:r w:rsidRPr="00E67146">
        <w:rPr>
          <w:rFonts w:eastAsia="Arial"/>
          <w:shd w:val="clear" w:color="auto" w:fill="FFFFFF"/>
        </w:rPr>
        <w:t>electrolyzers</w:t>
      </w:r>
      <w:proofErr w:type="spellEnd"/>
      <w:r w:rsidRPr="00E67146">
        <w:rPr>
          <w:rFonts w:eastAsia="Arial"/>
          <w:shd w:val="clear" w:color="auto" w:fill="FFFFFF"/>
        </w:rPr>
        <w:t xml:space="preserve"> and the complexity of the knowledge embedded in these devices could be a constraint for the development of innovations around the product and the hydrogen production process. </w:t>
      </w:r>
    </w:p>
    <w:p w14:paraId="31122F01" w14:textId="77777777" w:rsidR="00E67146" w:rsidRPr="00E67146" w:rsidRDefault="00E67146" w:rsidP="00E67146">
      <w:pPr>
        <w:pStyle w:val="BodyText"/>
        <w:rPr>
          <w:rFonts w:ascii="Arial"/>
          <w:b/>
          <w:sz w:val="23"/>
        </w:rPr>
      </w:pPr>
    </w:p>
    <w:p w14:paraId="2E9903C7" w14:textId="3E79217E" w:rsidR="00CA7B44" w:rsidRPr="00D919BF" w:rsidRDefault="00000000">
      <w:pPr>
        <w:pStyle w:val="Heading1"/>
        <w:rPr>
          <w:lang w:val="es-AR"/>
        </w:rPr>
      </w:pPr>
      <w:proofErr w:type="spellStart"/>
      <w:r w:rsidRPr="00D919BF">
        <w:rPr>
          <w:lang w:val="es-AR"/>
        </w:rPr>
        <w:t>References</w:t>
      </w:r>
      <w:proofErr w:type="spellEnd"/>
    </w:p>
    <w:p w14:paraId="590BDE74" w14:textId="77777777" w:rsidR="00DE3924" w:rsidRPr="00D919BF" w:rsidRDefault="00DE3924" w:rsidP="00041FE8">
      <w:pPr>
        <w:ind w:left="851"/>
        <w:jc w:val="both"/>
        <w:rPr>
          <w:rFonts w:eastAsia="Arial"/>
          <w:sz w:val="20"/>
          <w:szCs w:val="20"/>
          <w:shd w:val="clear" w:color="auto" w:fill="FFFFFF"/>
        </w:rPr>
      </w:pPr>
      <w:r w:rsidRPr="00041FE8">
        <w:rPr>
          <w:rFonts w:eastAsia="Arial"/>
          <w:sz w:val="20"/>
          <w:szCs w:val="20"/>
          <w:shd w:val="clear" w:color="auto" w:fill="FFFFFF"/>
          <w:lang w:val="es-AR"/>
        </w:rPr>
        <w:t xml:space="preserve">Naciones Unidas (2023) COP28 finaliza con una llamada a la «transición lejos» de los combustibles fósiles, Centro Regional de Información. </w:t>
      </w:r>
      <w:r w:rsidRPr="00D919BF">
        <w:rPr>
          <w:rFonts w:eastAsia="Arial"/>
          <w:sz w:val="20"/>
          <w:szCs w:val="20"/>
          <w:shd w:val="clear" w:color="auto" w:fill="FFFFFF"/>
        </w:rPr>
        <w:t>Available: https://unric.org/es/cop28-introduce-por-primera-vez-los-combustibles-fosiles/</w:t>
      </w:r>
    </w:p>
    <w:p w14:paraId="3762001A" w14:textId="77777777" w:rsidR="00DE3924" w:rsidRPr="00041FE8" w:rsidRDefault="00DE3924" w:rsidP="00041FE8">
      <w:pPr>
        <w:ind w:left="851"/>
        <w:jc w:val="both"/>
        <w:rPr>
          <w:rFonts w:eastAsia="Arial"/>
          <w:sz w:val="20"/>
          <w:szCs w:val="20"/>
          <w:shd w:val="clear" w:color="auto" w:fill="FFFFFF"/>
          <w:lang w:val="es-AR"/>
        </w:rPr>
      </w:pPr>
      <w:r w:rsidRPr="00041FE8">
        <w:rPr>
          <w:rFonts w:eastAsia="Arial"/>
          <w:sz w:val="20"/>
          <w:szCs w:val="20"/>
          <w:shd w:val="clear" w:color="auto" w:fill="FFFFFF"/>
          <w:lang w:val="es-AR"/>
        </w:rPr>
        <w:t>OLADE (2023). Panorama Energético de América Latina y el Caribe 2023. Quito: Organización Latinoamericana de Energía</w:t>
      </w:r>
    </w:p>
    <w:p w14:paraId="45AAB7DE" w14:textId="77777777" w:rsidR="00DE3924" w:rsidRPr="00D919BF" w:rsidRDefault="00DE3924" w:rsidP="00041FE8">
      <w:pPr>
        <w:ind w:left="851"/>
        <w:jc w:val="both"/>
        <w:rPr>
          <w:rFonts w:eastAsia="Arial"/>
          <w:sz w:val="20"/>
          <w:szCs w:val="20"/>
          <w:shd w:val="clear" w:color="auto" w:fill="FFFFFF"/>
        </w:rPr>
      </w:pPr>
      <w:r w:rsidRPr="00041FE8">
        <w:rPr>
          <w:rFonts w:eastAsia="Arial"/>
          <w:sz w:val="20"/>
          <w:szCs w:val="20"/>
          <w:shd w:val="clear" w:color="auto" w:fill="FFFFFF"/>
          <w:lang w:val="es-AR"/>
        </w:rPr>
        <w:t xml:space="preserve">IRENA (2023). Regional </w:t>
      </w:r>
      <w:proofErr w:type="spellStart"/>
      <w:r w:rsidRPr="00041FE8">
        <w:rPr>
          <w:rFonts w:eastAsia="Arial"/>
          <w:sz w:val="20"/>
          <w:szCs w:val="20"/>
          <w:shd w:val="clear" w:color="auto" w:fill="FFFFFF"/>
          <w:lang w:val="es-AR"/>
        </w:rPr>
        <w:t>Trends</w:t>
      </w:r>
      <w:proofErr w:type="spellEnd"/>
      <w:r w:rsidRPr="00041FE8">
        <w:rPr>
          <w:rFonts w:eastAsia="Arial"/>
          <w:sz w:val="20"/>
          <w:szCs w:val="20"/>
          <w:shd w:val="clear" w:color="auto" w:fill="FFFFFF"/>
          <w:lang w:val="es-AR"/>
        </w:rPr>
        <w:t xml:space="preserve">. International </w:t>
      </w:r>
      <w:proofErr w:type="spellStart"/>
      <w:r w:rsidRPr="00041FE8">
        <w:rPr>
          <w:rFonts w:eastAsia="Arial"/>
          <w:sz w:val="20"/>
          <w:szCs w:val="20"/>
          <w:shd w:val="clear" w:color="auto" w:fill="FFFFFF"/>
          <w:lang w:val="es-AR"/>
        </w:rPr>
        <w:t>Renewable</w:t>
      </w:r>
      <w:proofErr w:type="spellEnd"/>
      <w:r w:rsidRPr="00041FE8">
        <w:rPr>
          <w:rFonts w:eastAsia="Arial"/>
          <w:sz w:val="20"/>
          <w:szCs w:val="20"/>
          <w:shd w:val="clear" w:color="auto" w:fill="FFFFFF"/>
          <w:lang w:val="es-AR"/>
        </w:rPr>
        <w:t xml:space="preserve"> Energy Agency. </w:t>
      </w:r>
      <w:r w:rsidRPr="00D919BF">
        <w:rPr>
          <w:rFonts w:eastAsia="Arial"/>
          <w:sz w:val="20"/>
          <w:szCs w:val="20"/>
          <w:shd w:val="clear" w:color="auto" w:fill="FFFFFF"/>
        </w:rPr>
        <w:t>Available: www.irena.org/Data/View-data-by-topic/Capacity-and-Generation/Regional-Trends</w:t>
      </w:r>
    </w:p>
    <w:p w14:paraId="415C91FF" w14:textId="77777777" w:rsidR="00DE3924" w:rsidRPr="00D919BF" w:rsidRDefault="00DE3924" w:rsidP="00041FE8">
      <w:pPr>
        <w:ind w:left="851"/>
        <w:jc w:val="both"/>
        <w:rPr>
          <w:rFonts w:eastAsia="Arial"/>
          <w:sz w:val="20"/>
          <w:szCs w:val="20"/>
          <w:shd w:val="clear" w:color="auto" w:fill="FFFFFF"/>
        </w:rPr>
      </w:pPr>
      <w:r w:rsidRPr="00041FE8">
        <w:rPr>
          <w:rFonts w:eastAsia="Arial"/>
          <w:sz w:val="20"/>
          <w:szCs w:val="20"/>
          <w:shd w:val="clear" w:color="auto" w:fill="FFFFFF"/>
          <w:lang w:val="es-AR"/>
        </w:rPr>
        <w:t xml:space="preserve">Andersen, A. D., Marín, A., &amp; </w:t>
      </w:r>
      <w:proofErr w:type="spellStart"/>
      <w:r w:rsidRPr="00041FE8">
        <w:rPr>
          <w:rFonts w:eastAsia="Arial"/>
          <w:sz w:val="20"/>
          <w:szCs w:val="20"/>
          <w:shd w:val="clear" w:color="auto" w:fill="FFFFFF"/>
          <w:lang w:val="es-AR"/>
        </w:rPr>
        <w:t>Simensen</w:t>
      </w:r>
      <w:proofErr w:type="spellEnd"/>
      <w:r w:rsidRPr="00041FE8">
        <w:rPr>
          <w:rFonts w:eastAsia="Arial"/>
          <w:sz w:val="20"/>
          <w:szCs w:val="20"/>
          <w:shd w:val="clear" w:color="auto" w:fill="FFFFFF"/>
          <w:lang w:val="es-AR"/>
        </w:rPr>
        <w:t xml:space="preserve">, E. (2018). </w:t>
      </w:r>
      <w:r w:rsidRPr="00D919BF">
        <w:rPr>
          <w:rFonts w:eastAsia="Arial"/>
          <w:sz w:val="20"/>
          <w:szCs w:val="20"/>
          <w:shd w:val="clear" w:color="auto" w:fill="FFFFFF"/>
        </w:rPr>
        <w:t xml:space="preserve">Innovation in natural resource-based industries: A pathway to development? Introduction to special issue. Innovation and Development, 8(1), 1–27. </w:t>
      </w:r>
    </w:p>
    <w:p w14:paraId="1759AF04" w14:textId="27CC1F3D" w:rsidR="00DE3924" w:rsidRPr="00D919BF" w:rsidRDefault="00DE3924" w:rsidP="00041FE8">
      <w:pPr>
        <w:ind w:left="851"/>
        <w:jc w:val="both"/>
        <w:rPr>
          <w:rFonts w:eastAsia="Arial"/>
          <w:sz w:val="20"/>
          <w:szCs w:val="20"/>
          <w:shd w:val="clear" w:color="auto" w:fill="FFFFFF"/>
        </w:rPr>
      </w:pPr>
      <w:r w:rsidRPr="00D919BF">
        <w:rPr>
          <w:rFonts w:eastAsia="Arial"/>
          <w:sz w:val="20"/>
          <w:szCs w:val="20"/>
          <w:shd w:val="clear" w:color="auto" w:fill="FFFFFF"/>
        </w:rPr>
        <w:t xml:space="preserve">Crespi, G., Katz, J., &amp; Olivari, J. (2018). Innovation, natural resource-based </w:t>
      </w:r>
      <w:r w:rsidR="008532C4" w:rsidRPr="00D919BF">
        <w:rPr>
          <w:rFonts w:eastAsia="Arial"/>
          <w:sz w:val="20"/>
          <w:szCs w:val="20"/>
          <w:shd w:val="clear" w:color="auto" w:fill="FFFFFF"/>
        </w:rPr>
        <w:t>activities,</w:t>
      </w:r>
      <w:r w:rsidRPr="00D919BF">
        <w:rPr>
          <w:rFonts w:eastAsia="Arial"/>
          <w:sz w:val="20"/>
          <w:szCs w:val="20"/>
          <w:shd w:val="clear" w:color="auto" w:fill="FFFFFF"/>
        </w:rPr>
        <w:t xml:space="preserve"> and growth in emerging economies: The formation and role of knowledge-intensive service firms. Innovation and Development, 8(1), 79–101. </w:t>
      </w:r>
    </w:p>
    <w:p w14:paraId="669BFBF3" w14:textId="47920FC0" w:rsidR="00DE3924" w:rsidRPr="00D919BF" w:rsidRDefault="00DE3924" w:rsidP="00041FE8">
      <w:pPr>
        <w:ind w:left="851"/>
        <w:jc w:val="both"/>
        <w:rPr>
          <w:rFonts w:eastAsia="Arial"/>
          <w:sz w:val="20"/>
          <w:szCs w:val="20"/>
          <w:shd w:val="clear" w:color="auto" w:fill="FFFFFF"/>
        </w:rPr>
      </w:pPr>
      <w:r w:rsidRPr="00D919BF">
        <w:rPr>
          <w:rFonts w:eastAsia="Arial"/>
          <w:sz w:val="20"/>
          <w:szCs w:val="20"/>
          <w:shd w:val="clear" w:color="auto" w:fill="FFFFFF"/>
        </w:rPr>
        <w:t xml:space="preserve">Katz, J., &amp; </w:t>
      </w:r>
      <w:proofErr w:type="spellStart"/>
      <w:r w:rsidRPr="00D919BF">
        <w:rPr>
          <w:rFonts w:eastAsia="Arial"/>
          <w:sz w:val="20"/>
          <w:szCs w:val="20"/>
          <w:shd w:val="clear" w:color="auto" w:fill="FFFFFF"/>
        </w:rPr>
        <w:t>Pietrobelli</w:t>
      </w:r>
      <w:proofErr w:type="spellEnd"/>
      <w:r w:rsidRPr="00D919BF">
        <w:rPr>
          <w:rFonts w:eastAsia="Arial"/>
          <w:sz w:val="20"/>
          <w:szCs w:val="20"/>
          <w:shd w:val="clear" w:color="auto" w:fill="FFFFFF"/>
        </w:rPr>
        <w:t xml:space="preserve">, C. (2018). Natural </w:t>
      </w:r>
      <w:r w:rsidR="008532C4" w:rsidRPr="00D919BF">
        <w:rPr>
          <w:rFonts w:eastAsia="Arial"/>
          <w:sz w:val="20"/>
          <w:szCs w:val="20"/>
          <w:shd w:val="clear" w:color="auto" w:fill="FFFFFF"/>
        </w:rPr>
        <w:t>resource-based</w:t>
      </w:r>
      <w:r w:rsidRPr="00D919BF">
        <w:rPr>
          <w:rFonts w:eastAsia="Arial"/>
          <w:sz w:val="20"/>
          <w:szCs w:val="20"/>
          <w:shd w:val="clear" w:color="auto" w:fill="FFFFFF"/>
        </w:rPr>
        <w:t xml:space="preserve"> growth, global value chains and domestic capabilities in the mining industry. Resources Policy, 58, 11–20. </w:t>
      </w:r>
    </w:p>
    <w:p w14:paraId="091D8EC5" w14:textId="43762D44" w:rsidR="00DE3924" w:rsidRPr="00041FE8" w:rsidRDefault="00DE3924" w:rsidP="00041FE8">
      <w:pPr>
        <w:ind w:left="851"/>
        <w:jc w:val="both"/>
        <w:rPr>
          <w:rFonts w:eastAsia="Arial"/>
          <w:sz w:val="20"/>
          <w:szCs w:val="20"/>
          <w:shd w:val="clear" w:color="auto" w:fill="FFFFFF"/>
          <w:lang w:val="es-AR"/>
        </w:rPr>
      </w:pPr>
      <w:proofErr w:type="spellStart"/>
      <w:r w:rsidRPr="00D919BF">
        <w:rPr>
          <w:rFonts w:eastAsia="Arial"/>
          <w:sz w:val="20"/>
          <w:szCs w:val="20"/>
          <w:shd w:val="clear" w:color="auto" w:fill="FFFFFF"/>
        </w:rPr>
        <w:t>Huenteler</w:t>
      </w:r>
      <w:proofErr w:type="spellEnd"/>
      <w:r w:rsidRPr="00D919BF">
        <w:rPr>
          <w:rFonts w:eastAsia="Arial"/>
          <w:sz w:val="20"/>
          <w:szCs w:val="20"/>
          <w:shd w:val="clear" w:color="auto" w:fill="FFFFFF"/>
        </w:rPr>
        <w:t xml:space="preserve">, J., Schmidt, T. S., </w:t>
      </w:r>
      <w:proofErr w:type="spellStart"/>
      <w:r w:rsidRPr="00D919BF">
        <w:rPr>
          <w:rFonts w:eastAsia="Arial"/>
          <w:sz w:val="20"/>
          <w:szCs w:val="20"/>
          <w:shd w:val="clear" w:color="auto" w:fill="FFFFFF"/>
        </w:rPr>
        <w:t>Ossenbrink</w:t>
      </w:r>
      <w:proofErr w:type="spellEnd"/>
      <w:r w:rsidRPr="00D919BF">
        <w:rPr>
          <w:rFonts w:eastAsia="Arial"/>
          <w:sz w:val="20"/>
          <w:szCs w:val="20"/>
          <w:shd w:val="clear" w:color="auto" w:fill="FFFFFF"/>
        </w:rPr>
        <w:t xml:space="preserve">, J., &amp; Hoffmann, V. H. (2016). Technology </w:t>
      </w:r>
      <w:r w:rsidR="008532C4" w:rsidRPr="00D919BF">
        <w:rPr>
          <w:rFonts w:eastAsia="Arial"/>
          <w:sz w:val="20"/>
          <w:szCs w:val="20"/>
          <w:shd w:val="clear" w:color="auto" w:fill="FFFFFF"/>
        </w:rPr>
        <w:t>life cycles</w:t>
      </w:r>
      <w:r w:rsidRPr="00D919BF">
        <w:rPr>
          <w:rFonts w:eastAsia="Arial"/>
          <w:sz w:val="20"/>
          <w:szCs w:val="20"/>
          <w:shd w:val="clear" w:color="auto" w:fill="FFFFFF"/>
        </w:rPr>
        <w:t xml:space="preserve"> in the energy sector - Technological characteristics and the role of deployment for innovation. </w:t>
      </w:r>
      <w:proofErr w:type="spellStart"/>
      <w:r w:rsidRPr="00041FE8">
        <w:rPr>
          <w:rFonts w:eastAsia="Arial"/>
          <w:sz w:val="20"/>
          <w:szCs w:val="20"/>
          <w:shd w:val="clear" w:color="auto" w:fill="FFFFFF"/>
          <w:lang w:val="es-AR"/>
        </w:rPr>
        <w:t>Technological</w:t>
      </w:r>
      <w:proofErr w:type="spellEnd"/>
      <w:r w:rsidRPr="00041FE8">
        <w:rPr>
          <w:rFonts w:eastAsia="Arial"/>
          <w:sz w:val="20"/>
          <w:szCs w:val="20"/>
          <w:shd w:val="clear" w:color="auto" w:fill="FFFFFF"/>
          <w:lang w:val="es-AR"/>
        </w:rPr>
        <w:t xml:space="preserve"> </w:t>
      </w:r>
      <w:proofErr w:type="spellStart"/>
      <w:r w:rsidRPr="00041FE8">
        <w:rPr>
          <w:rFonts w:eastAsia="Arial"/>
          <w:sz w:val="20"/>
          <w:szCs w:val="20"/>
          <w:shd w:val="clear" w:color="auto" w:fill="FFFFFF"/>
          <w:lang w:val="es-AR"/>
        </w:rPr>
        <w:t>Forecasting</w:t>
      </w:r>
      <w:proofErr w:type="spellEnd"/>
      <w:r w:rsidRPr="00041FE8">
        <w:rPr>
          <w:rFonts w:eastAsia="Arial"/>
          <w:sz w:val="20"/>
          <w:szCs w:val="20"/>
          <w:shd w:val="clear" w:color="auto" w:fill="FFFFFF"/>
          <w:lang w:val="es-AR"/>
        </w:rPr>
        <w:t xml:space="preserve"> and Social Change, 104, 102–121.</w:t>
      </w:r>
    </w:p>
    <w:sectPr w:rsidR="00DE3924" w:rsidRPr="00041FE8">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9311"/>
    <w:multiLevelType w:val="hybridMultilevel"/>
    <w:tmpl w:val="46FA7190"/>
    <w:lvl w:ilvl="0" w:tplc="1A2C58DE">
      <w:start w:val="1"/>
      <w:numFmt w:val="bullet"/>
      <w:lvlText w:val=""/>
      <w:lvlJc w:val="left"/>
      <w:pPr>
        <w:ind w:left="720" w:hanging="360"/>
      </w:pPr>
      <w:rPr>
        <w:rFonts w:ascii="Symbol" w:hAnsi="Symbol" w:hint="default"/>
      </w:rPr>
    </w:lvl>
    <w:lvl w:ilvl="1" w:tplc="9CF85D34">
      <w:start w:val="1"/>
      <w:numFmt w:val="bullet"/>
      <w:lvlText w:val="o"/>
      <w:lvlJc w:val="left"/>
      <w:pPr>
        <w:ind w:left="1440" w:hanging="360"/>
      </w:pPr>
      <w:rPr>
        <w:rFonts w:ascii="Courier New" w:hAnsi="Courier New" w:hint="default"/>
      </w:rPr>
    </w:lvl>
    <w:lvl w:ilvl="2" w:tplc="E7AAEF3C">
      <w:start w:val="1"/>
      <w:numFmt w:val="bullet"/>
      <w:lvlText w:val=""/>
      <w:lvlJc w:val="left"/>
      <w:pPr>
        <w:ind w:left="2160" w:hanging="360"/>
      </w:pPr>
      <w:rPr>
        <w:rFonts w:ascii="Wingdings" w:hAnsi="Wingdings" w:hint="default"/>
      </w:rPr>
    </w:lvl>
    <w:lvl w:ilvl="3" w:tplc="54582CEE">
      <w:start w:val="1"/>
      <w:numFmt w:val="bullet"/>
      <w:lvlText w:val=""/>
      <w:lvlJc w:val="left"/>
      <w:pPr>
        <w:ind w:left="2880" w:hanging="360"/>
      </w:pPr>
      <w:rPr>
        <w:rFonts w:ascii="Symbol" w:hAnsi="Symbol" w:hint="default"/>
      </w:rPr>
    </w:lvl>
    <w:lvl w:ilvl="4" w:tplc="081A1BC0">
      <w:start w:val="1"/>
      <w:numFmt w:val="bullet"/>
      <w:lvlText w:val="o"/>
      <w:lvlJc w:val="left"/>
      <w:pPr>
        <w:ind w:left="3600" w:hanging="360"/>
      </w:pPr>
      <w:rPr>
        <w:rFonts w:ascii="Courier New" w:hAnsi="Courier New" w:hint="default"/>
      </w:rPr>
    </w:lvl>
    <w:lvl w:ilvl="5" w:tplc="EF04FBFC">
      <w:start w:val="1"/>
      <w:numFmt w:val="bullet"/>
      <w:lvlText w:val=""/>
      <w:lvlJc w:val="left"/>
      <w:pPr>
        <w:ind w:left="4320" w:hanging="360"/>
      </w:pPr>
      <w:rPr>
        <w:rFonts w:ascii="Wingdings" w:hAnsi="Wingdings" w:hint="default"/>
      </w:rPr>
    </w:lvl>
    <w:lvl w:ilvl="6" w:tplc="7C8EB098">
      <w:start w:val="1"/>
      <w:numFmt w:val="bullet"/>
      <w:lvlText w:val=""/>
      <w:lvlJc w:val="left"/>
      <w:pPr>
        <w:ind w:left="5040" w:hanging="360"/>
      </w:pPr>
      <w:rPr>
        <w:rFonts w:ascii="Symbol" w:hAnsi="Symbol" w:hint="default"/>
      </w:rPr>
    </w:lvl>
    <w:lvl w:ilvl="7" w:tplc="50E863D2">
      <w:start w:val="1"/>
      <w:numFmt w:val="bullet"/>
      <w:lvlText w:val="o"/>
      <w:lvlJc w:val="left"/>
      <w:pPr>
        <w:ind w:left="5760" w:hanging="360"/>
      </w:pPr>
      <w:rPr>
        <w:rFonts w:ascii="Courier New" w:hAnsi="Courier New" w:hint="default"/>
      </w:rPr>
    </w:lvl>
    <w:lvl w:ilvl="8" w:tplc="027EEABC">
      <w:start w:val="1"/>
      <w:numFmt w:val="bullet"/>
      <w:lvlText w:val=""/>
      <w:lvlJc w:val="left"/>
      <w:pPr>
        <w:ind w:left="6480" w:hanging="360"/>
      </w:pPr>
      <w:rPr>
        <w:rFonts w:ascii="Wingdings" w:hAnsi="Wingdings" w:hint="default"/>
      </w:rPr>
    </w:lvl>
  </w:abstractNum>
  <w:num w:numId="1" w16cid:durableId="146165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4"/>
    <w:rsid w:val="00041FE8"/>
    <w:rsid w:val="00111DFC"/>
    <w:rsid w:val="00180A20"/>
    <w:rsid w:val="002022AD"/>
    <w:rsid w:val="00287E89"/>
    <w:rsid w:val="00295779"/>
    <w:rsid w:val="002D0F5F"/>
    <w:rsid w:val="0039394F"/>
    <w:rsid w:val="003A4545"/>
    <w:rsid w:val="003B5757"/>
    <w:rsid w:val="003D1BF9"/>
    <w:rsid w:val="00404F93"/>
    <w:rsid w:val="0040608E"/>
    <w:rsid w:val="004552BE"/>
    <w:rsid w:val="00460E20"/>
    <w:rsid w:val="004A6C4E"/>
    <w:rsid w:val="004B4F06"/>
    <w:rsid w:val="005058AB"/>
    <w:rsid w:val="005C2B2B"/>
    <w:rsid w:val="006236C0"/>
    <w:rsid w:val="00665688"/>
    <w:rsid w:val="006B532F"/>
    <w:rsid w:val="006B71C1"/>
    <w:rsid w:val="006F5D1C"/>
    <w:rsid w:val="00773F44"/>
    <w:rsid w:val="008468D8"/>
    <w:rsid w:val="008532C4"/>
    <w:rsid w:val="00856DAF"/>
    <w:rsid w:val="008822B3"/>
    <w:rsid w:val="00A11F92"/>
    <w:rsid w:val="00AD1952"/>
    <w:rsid w:val="00BF05C1"/>
    <w:rsid w:val="00CA7B44"/>
    <w:rsid w:val="00CE7068"/>
    <w:rsid w:val="00D133E3"/>
    <w:rsid w:val="00D16FC6"/>
    <w:rsid w:val="00D70531"/>
    <w:rsid w:val="00D919BF"/>
    <w:rsid w:val="00DE3924"/>
    <w:rsid w:val="00E67146"/>
    <w:rsid w:val="00F5285D"/>
    <w:rsid w:val="00FA11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1721"/>
  <w15:docId w15:val="{A5090A95-2419-41FA-A666-F5414219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left="112"/>
    </w:pPr>
    <w:rPr>
      <w:b/>
      <w:bCs/>
      <w:i/>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4545"/>
    <w:rPr>
      <w:color w:val="0000FF" w:themeColor="hyperlink"/>
      <w:u w:val="single"/>
    </w:rPr>
  </w:style>
  <w:style w:type="character" w:styleId="UnresolvedMention">
    <w:name w:val="Unresolved Mention"/>
    <w:basedOn w:val="DefaultParagraphFont"/>
    <w:uiPriority w:val="99"/>
    <w:semiHidden/>
    <w:unhideWhenUsed/>
    <w:rsid w:val="003A4545"/>
    <w:rPr>
      <w:color w:val="605E5C"/>
      <w:shd w:val="clear" w:color="auto" w:fill="E1DFDD"/>
    </w:rPr>
  </w:style>
  <w:style w:type="character" w:styleId="Strong">
    <w:name w:val="Strong"/>
    <w:basedOn w:val="DefaultParagraphFont"/>
    <w:uiPriority w:val="22"/>
    <w:qFormat/>
    <w:rsid w:val="00DE3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navidosa@gmail.com" TargetMode="External"/><Relationship Id="rId5" Type="http://schemas.openxmlformats.org/officeDocument/2006/relationships/hyperlink" Target="mailto:eugeniacastelao@conicet.gov.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3014</TotalTime>
  <Pages>2</Pages>
  <Words>1772</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Maria Eugenia Castelao Caruana</cp:lastModifiedBy>
  <cp:revision>11</cp:revision>
  <dcterms:created xsi:type="dcterms:W3CDTF">2024-03-04T17:40:00Z</dcterms:created>
  <dcterms:modified xsi:type="dcterms:W3CDTF">2024-03-07T12:08:00Z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