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33194" w14:textId="77777777" w:rsidR="00231E91" w:rsidRDefault="00231E91" w:rsidP="0055575A">
      <w:pPr>
        <w:spacing w:line="360" w:lineRule="auto"/>
        <w:rPr>
          <w:b/>
          <w:sz w:val="24"/>
          <w:szCs w:val="24"/>
        </w:rPr>
      </w:pPr>
    </w:p>
    <w:p w14:paraId="5EA1BD60" w14:textId="77777777" w:rsidR="00231E91" w:rsidRDefault="002054EA">
      <w:pPr>
        <w:spacing w:line="360" w:lineRule="auto"/>
        <w:jc w:val="center"/>
      </w:pPr>
      <w:r>
        <w:rPr>
          <w:b/>
          <w:sz w:val="24"/>
          <w:szCs w:val="24"/>
        </w:rPr>
        <w:t>TUMOR VENÉREO TRANSMISSÍVEL</w:t>
      </w:r>
      <w:r w:rsidR="009C7C7B">
        <w:rPr>
          <w:b/>
          <w:sz w:val="24"/>
          <w:szCs w:val="24"/>
        </w:rPr>
        <w:t xml:space="preserve"> CU</w:t>
      </w:r>
      <w:r w:rsidR="00F651B2">
        <w:rPr>
          <w:b/>
          <w:sz w:val="24"/>
          <w:szCs w:val="24"/>
        </w:rPr>
        <w:t>TÂNEO: RELATO DE CASO</w:t>
      </w:r>
    </w:p>
    <w:p w14:paraId="7DEAF811" w14:textId="77777777" w:rsidR="00231E91" w:rsidRDefault="00231E91">
      <w:pPr>
        <w:tabs>
          <w:tab w:val="left" w:pos="1540"/>
        </w:tabs>
        <w:spacing w:line="360" w:lineRule="auto"/>
        <w:ind w:left="-360"/>
        <w:jc w:val="right"/>
        <w:rPr>
          <w:sz w:val="24"/>
          <w:szCs w:val="24"/>
        </w:rPr>
      </w:pPr>
    </w:p>
    <w:p w14:paraId="3A3BAF78" w14:textId="77777777" w:rsidR="00A11343" w:rsidRPr="00A11343" w:rsidRDefault="00984B6F" w:rsidP="00A11343">
      <w:pPr>
        <w:spacing w:line="360" w:lineRule="auto"/>
        <w:ind w:left="170" w:right="113"/>
        <w:jc w:val="right"/>
        <w:rPr>
          <w:rFonts w:eastAsia="Calibri"/>
          <w:sz w:val="24"/>
          <w:lang w:eastAsia="en-US"/>
        </w:rPr>
      </w:pPr>
      <w:r>
        <w:rPr>
          <w:rFonts w:eastAsia="Calibri"/>
          <w:sz w:val="24"/>
          <w:lang w:eastAsia="en-US"/>
        </w:rPr>
        <w:t>S</w:t>
      </w:r>
      <w:r w:rsidR="007A3A26">
        <w:rPr>
          <w:rFonts w:eastAsia="Calibri"/>
          <w:sz w:val="24"/>
          <w:lang w:eastAsia="en-US"/>
        </w:rPr>
        <w:t xml:space="preserve">tella Santos Brito </w:t>
      </w:r>
      <w:r w:rsidR="00A11343" w:rsidRPr="00984B6F">
        <w:rPr>
          <w:rFonts w:eastAsia="Calibri"/>
          <w:sz w:val="24"/>
          <w:vertAlign w:val="superscript"/>
          <w:lang w:eastAsia="en-US"/>
        </w:rPr>
        <w:footnoteReference w:id="1"/>
      </w:r>
    </w:p>
    <w:p w14:paraId="1EC75BD9" w14:textId="77777777" w:rsidR="00A11343" w:rsidRPr="00A11343" w:rsidRDefault="00984B6F" w:rsidP="00A11343">
      <w:pPr>
        <w:spacing w:line="360" w:lineRule="auto"/>
        <w:ind w:left="170" w:right="113"/>
        <w:jc w:val="right"/>
        <w:rPr>
          <w:rFonts w:eastAsia="Calibri"/>
          <w:sz w:val="24"/>
          <w:lang w:eastAsia="en-US"/>
        </w:rPr>
      </w:pPr>
      <w:r w:rsidRPr="00A11343">
        <w:rPr>
          <w:rFonts w:eastAsia="Calibri"/>
          <w:sz w:val="24"/>
          <w:lang w:eastAsia="en-US"/>
        </w:rPr>
        <w:t>Antônio Vinícius Araújo Mélo</w:t>
      </w:r>
      <w:r w:rsidR="00A11343" w:rsidRPr="00A11343">
        <w:rPr>
          <w:rFonts w:eastAsia="Calibri"/>
          <w:sz w:val="24"/>
          <w:lang w:eastAsia="en-US"/>
        </w:rPr>
        <w:t xml:space="preserve"> </w:t>
      </w:r>
      <w:r w:rsidR="00A11343" w:rsidRPr="00984B6F">
        <w:rPr>
          <w:rFonts w:eastAsia="Calibri"/>
          <w:sz w:val="24"/>
          <w:vertAlign w:val="superscript"/>
          <w:lang w:eastAsia="en-US"/>
        </w:rPr>
        <w:t>1</w:t>
      </w:r>
    </w:p>
    <w:p w14:paraId="611B51B9" w14:textId="77777777" w:rsidR="00A11343" w:rsidRPr="00A11343" w:rsidRDefault="00A11343" w:rsidP="00A11343">
      <w:pPr>
        <w:spacing w:line="360" w:lineRule="auto"/>
        <w:ind w:left="170" w:right="113"/>
        <w:jc w:val="right"/>
        <w:rPr>
          <w:rFonts w:eastAsia="Calibri"/>
          <w:sz w:val="24"/>
          <w:lang w:eastAsia="en-US"/>
        </w:rPr>
      </w:pPr>
      <w:r w:rsidRPr="00A11343">
        <w:rPr>
          <w:rFonts w:eastAsia="Calibri"/>
          <w:sz w:val="24"/>
          <w:lang w:eastAsia="en-US"/>
        </w:rPr>
        <w:t xml:space="preserve">Sarah Lourenço da Silva </w:t>
      </w:r>
      <w:r w:rsidRPr="00A11343">
        <w:rPr>
          <w:rFonts w:eastAsia="Calibri"/>
          <w:sz w:val="24"/>
          <w:vertAlign w:val="superscript"/>
          <w:lang w:eastAsia="en-US"/>
        </w:rPr>
        <w:t xml:space="preserve">1 </w:t>
      </w:r>
    </w:p>
    <w:p w14:paraId="701B0164" w14:textId="77777777" w:rsidR="00A11343" w:rsidRPr="00A11343" w:rsidRDefault="007A3A26" w:rsidP="00A11343">
      <w:pPr>
        <w:spacing w:line="360" w:lineRule="auto"/>
        <w:ind w:left="170" w:right="113"/>
        <w:jc w:val="right"/>
        <w:rPr>
          <w:rFonts w:eastAsia="Calibri"/>
          <w:sz w:val="24"/>
          <w:lang w:eastAsia="en-US"/>
        </w:rPr>
      </w:pPr>
      <w:r>
        <w:rPr>
          <w:rFonts w:eastAsia="Calibri"/>
          <w:sz w:val="24"/>
          <w:lang w:eastAsia="en-US"/>
        </w:rPr>
        <w:t>Sofia Isis de Oliveira Ibiapina</w:t>
      </w:r>
      <w:r w:rsidRPr="00A11343">
        <w:rPr>
          <w:rFonts w:eastAsia="Calibri"/>
          <w:sz w:val="24"/>
          <w:lang w:eastAsia="en-US"/>
        </w:rPr>
        <w:t xml:space="preserve"> </w:t>
      </w:r>
      <w:r w:rsidR="00A11343" w:rsidRPr="00A11343">
        <w:rPr>
          <w:rFonts w:eastAsia="Calibri"/>
          <w:sz w:val="24"/>
          <w:vertAlign w:val="superscript"/>
          <w:lang w:eastAsia="en-US"/>
        </w:rPr>
        <w:t xml:space="preserve">1 </w:t>
      </w:r>
    </w:p>
    <w:p w14:paraId="57115BB4" w14:textId="77777777" w:rsidR="00A11343" w:rsidRPr="00A11343" w:rsidRDefault="00984B6F" w:rsidP="00A11343">
      <w:pPr>
        <w:spacing w:line="360" w:lineRule="auto"/>
        <w:ind w:left="170" w:right="113"/>
        <w:jc w:val="right"/>
        <w:rPr>
          <w:rFonts w:ascii="Arial" w:eastAsia="Calibri" w:hAnsi="Arial" w:cs="Arial"/>
          <w:sz w:val="24"/>
          <w:vertAlign w:val="superscript"/>
          <w:lang w:eastAsia="en-US"/>
        </w:rPr>
      </w:pPr>
      <w:r w:rsidRPr="00984B6F">
        <w:rPr>
          <w:rFonts w:eastAsia="Calibri"/>
          <w:sz w:val="24"/>
          <w:lang w:eastAsia="en-US"/>
        </w:rPr>
        <w:t>André Luís</w:t>
      </w:r>
      <w:r w:rsidR="00BC57B8">
        <w:rPr>
          <w:rFonts w:eastAsia="Calibri"/>
          <w:sz w:val="24"/>
          <w:lang w:eastAsia="en-US"/>
        </w:rPr>
        <w:t xml:space="preserve"> de Araújo Pereira</w:t>
      </w:r>
      <w:r w:rsidR="00A11343" w:rsidRPr="00A11343">
        <w:rPr>
          <w:rFonts w:ascii="Arial" w:eastAsia="Calibri" w:hAnsi="Arial" w:cs="Arial"/>
          <w:sz w:val="24"/>
          <w:lang w:eastAsia="en-US"/>
        </w:rPr>
        <w:t xml:space="preserve"> </w:t>
      </w:r>
      <w:r w:rsidR="00A11343" w:rsidRPr="00A11343">
        <w:rPr>
          <w:rFonts w:ascii="Arial" w:eastAsia="Calibri" w:hAnsi="Arial" w:cs="Arial"/>
          <w:sz w:val="24"/>
          <w:vertAlign w:val="superscript"/>
          <w:lang w:eastAsia="en-US"/>
        </w:rPr>
        <w:footnoteReference w:id="2"/>
      </w:r>
    </w:p>
    <w:p w14:paraId="4FF7E454" w14:textId="77777777" w:rsidR="00231E91" w:rsidRDefault="00231E91">
      <w:pPr>
        <w:tabs>
          <w:tab w:val="left" w:pos="2060"/>
          <w:tab w:val="left" w:pos="7240"/>
        </w:tabs>
        <w:spacing w:line="360" w:lineRule="auto"/>
        <w:ind w:left="-360"/>
        <w:jc w:val="right"/>
        <w:rPr>
          <w:sz w:val="24"/>
          <w:szCs w:val="24"/>
        </w:rPr>
      </w:pPr>
    </w:p>
    <w:p w14:paraId="73FF3F7B" w14:textId="77777777" w:rsidR="00231E91" w:rsidRDefault="004907B9" w:rsidP="00367B6C">
      <w:pPr>
        <w:spacing w:line="360" w:lineRule="auto"/>
        <w:ind w:left="170" w:right="113"/>
        <w:jc w:val="center"/>
        <w:rPr>
          <w:sz w:val="24"/>
          <w:szCs w:val="24"/>
        </w:rPr>
      </w:pPr>
      <w:r>
        <w:rPr>
          <w:b/>
          <w:sz w:val="24"/>
          <w:szCs w:val="24"/>
        </w:rPr>
        <w:t>RESUMO</w:t>
      </w:r>
    </w:p>
    <w:p w14:paraId="22335124" w14:textId="1C5C40F9" w:rsidR="00DC30AE" w:rsidRPr="00DC30AE" w:rsidRDefault="00DC30AE" w:rsidP="00367B6C">
      <w:pPr>
        <w:spacing w:line="360" w:lineRule="auto"/>
        <w:ind w:left="170" w:right="113"/>
        <w:jc w:val="both"/>
        <w:rPr>
          <w:rFonts w:eastAsia="Calibri"/>
          <w:sz w:val="24"/>
          <w:szCs w:val="24"/>
          <w:lang w:eastAsia="en-US"/>
        </w:rPr>
      </w:pPr>
      <w:r w:rsidRPr="00DC30AE">
        <w:rPr>
          <w:rFonts w:eastAsia="Calibri"/>
          <w:sz w:val="24"/>
          <w:szCs w:val="24"/>
          <w:lang w:eastAsia="en-US"/>
        </w:rPr>
        <w:t>O Tumor Venéreo Transmissível (TVT) é uma neoplasia que acomete os cães, classificada como uma doença que apresenta localização extragenital nos cães acometidos.</w:t>
      </w:r>
      <w:r w:rsidR="0066793D">
        <w:rPr>
          <w:rFonts w:eastAsia="Calibri"/>
          <w:sz w:val="24"/>
          <w:szCs w:val="24"/>
          <w:lang w:eastAsia="en-US"/>
        </w:rPr>
        <w:t xml:space="preserve"> </w:t>
      </w:r>
      <w:r w:rsidRPr="00DC30AE">
        <w:rPr>
          <w:rFonts w:eastAsia="Calibri"/>
          <w:sz w:val="24"/>
          <w:szCs w:val="24"/>
          <w:lang w:eastAsia="en-US"/>
        </w:rPr>
        <w:t xml:space="preserve"> O presente trabalho tem por objetivo relatar um caso de TVT cutâneo em um cão, macho, sem raça definida, no município de Piracuruca-Piauí, apresentando lesões cutâneas sobre a pele.</w:t>
      </w:r>
      <w:r w:rsidR="0066793D">
        <w:rPr>
          <w:rFonts w:eastAsia="Calibri"/>
          <w:sz w:val="24"/>
          <w:szCs w:val="24"/>
          <w:lang w:eastAsia="en-US"/>
        </w:rPr>
        <w:t xml:space="preserve"> O animal não apresentava histórico médico anterior, se trata de um animal de rua, que vivia </w:t>
      </w:r>
      <w:r w:rsidR="00952184">
        <w:rPr>
          <w:rFonts w:eastAsia="Calibri"/>
          <w:sz w:val="24"/>
          <w:szCs w:val="24"/>
          <w:lang w:eastAsia="en-US"/>
        </w:rPr>
        <w:t>em situação de rua</w:t>
      </w:r>
      <w:r w:rsidR="0066793D">
        <w:rPr>
          <w:rFonts w:eastAsia="Calibri"/>
          <w:sz w:val="24"/>
          <w:szCs w:val="24"/>
          <w:lang w:eastAsia="en-US"/>
        </w:rPr>
        <w:t>, foi resgatado</w:t>
      </w:r>
      <w:r w:rsidR="001955E0">
        <w:rPr>
          <w:rFonts w:eastAsia="Calibri"/>
          <w:sz w:val="24"/>
          <w:szCs w:val="24"/>
          <w:lang w:eastAsia="en-US"/>
        </w:rPr>
        <w:t xml:space="preserve"> pela população,</w:t>
      </w:r>
      <w:r w:rsidR="0066793D">
        <w:rPr>
          <w:rFonts w:eastAsia="Calibri"/>
          <w:sz w:val="24"/>
          <w:szCs w:val="24"/>
          <w:lang w:eastAsia="en-US"/>
        </w:rPr>
        <w:t xml:space="preserve"> para ter um</w:t>
      </w:r>
      <w:r w:rsidR="00C86E38">
        <w:rPr>
          <w:rFonts w:eastAsia="Calibri"/>
          <w:sz w:val="24"/>
          <w:szCs w:val="24"/>
          <w:lang w:eastAsia="en-US"/>
        </w:rPr>
        <w:t>a</w:t>
      </w:r>
      <w:r w:rsidR="0066793D">
        <w:rPr>
          <w:rFonts w:eastAsia="Calibri"/>
          <w:sz w:val="24"/>
          <w:szCs w:val="24"/>
          <w:lang w:eastAsia="en-US"/>
        </w:rPr>
        <w:t xml:space="preserve"> solução sobre as lesões contidas no paciente</w:t>
      </w:r>
      <w:r w:rsidR="001955E0">
        <w:rPr>
          <w:rFonts w:eastAsia="Calibri"/>
          <w:sz w:val="24"/>
          <w:szCs w:val="24"/>
          <w:lang w:eastAsia="en-US"/>
        </w:rPr>
        <w:t>.</w:t>
      </w:r>
      <w:r w:rsidRPr="00DC30AE">
        <w:rPr>
          <w:rFonts w:eastAsia="Calibri"/>
          <w:sz w:val="24"/>
          <w:szCs w:val="24"/>
          <w:lang w:eastAsia="en-US"/>
        </w:rPr>
        <w:t xml:space="preserve"> O diagnóstico foi possível </w:t>
      </w:r>
      <w:r w:rsidR="001955E0">
        <w:rPr>
          <w:rFonts w:eastAsia="Calibri"/>
          <w:sz w:val="24"/>
          <w:szCs w:val="24"/>
          <w:lang w:eastAsia="en-US"/>
        </w:rPr>
        <w:t xml:space="preserve">pelo médico veterinário </w:t>
      </w:r>
      <w:r w:rsidRPr="00DC30AE">
        <w:rPr>
          <w:rFonts w:eastAsia="Calibri"/>
          <w:sz w:val="24"/>
          <w:szCs w:val="24"/>
          <w:lang w:eastAsia="en-US"/>
        </w:rPr>
        <w:t>at</w:t>
      </w:r>
      <w:r w:rsidR="0066793D">
        <w:rPr>
          <w:rFonts w:eastAsia="Calibri"/>
          <w:sz w:val="24"/>
          <w:szCs w:val="24"/>
          <w:lang w:eastAsia="en-US"/>
        </w:rPr>
        <w:t>ravés de uma anamnese detalhada.</w:t>
      </w:r>
      <w:r w:rsidRPr="00DC30AE">
        <w:rPr>
          <w:rFonts w:eastAsia="Calibri"/>
          <w:sz w:val="24"/>
          <w:szCs w:val="24"/>
          <w:lang w:eastAsia="en-US"/>
        </w:rPr>
        <w:t xml:space="preserve"> Neste caso, optou-se pelo tratamento quimioterápico com sulfato de vincristina. Este relato destaca a importância de uma anamnese bem detalhada</w:t>
      </w:r>
      <w:r w:rsidR="00C86E38">
        <w:rPr>
          <w:rFonts w:eastAsia="Calibri"/>
          <w:sz w:val="24"/>
          <w:szCs w:val="24"/>
          <w:lang w:eastAsia="en-US"/>
        </w:rPr>
        <w:t>,</w:t>
      </w:r>
      <w:r w:rsidRPr="00DC30AE">
        <w:rPr>
          <w:rFonts w:eastAsia="Calibri"/>
          <w:sz w:val="24"/>
          <w:szCs w:val="24"/>
          <w:lang w:eastAsia="en-US"/>
        </w:rPr>
        <w:t xml:space="preserve"> com ênfase em observar cuidadosamente algumas lesões</w:t>
      </w:r>
      <w:r w:rsidR="00C86E38">
        <w:rPr>
          <w:rFonts w:eastAsia="Calibri"/>
          <w:sz w:val="24"/>
          <w:szCs w:val="24"/>
          <w:lang w:eastAsia="en-US"/>
        </w:rPr>
        <w:t>,</w:t>
      </w:r>
      <w:r w:rsidRPr="00DC30AE">
        <w:rPr>
          <w:rFonts w:eastAsia="Calibri"/>
          <w:sz w:val="24"/>
          <w:szCs w:val="24"/>
          <w:lang w:eastAsia="en-US"/>
        </w:rPr>
        <w:t xml:space="preserve"> presentes no corpo do animal, além de realizar o tratamento adequado.</w:t>
      </w:r>
    </w:p>
    <w:p w14:paraId="25BC8482" w14:textId="77777777" w:rsidR="007D407C" w:rsidRDefault="007D407C" w:rsidP="00367B6C">
      <w:pPr>
        <w:spacing w:line="360" w:lineRule="auto"/>
        <w:ind w:left="170" w:right="113"/>
        <w:rPr>
          <w:b/>
          <w:sz w:val="24"/>
          <w:szCs w:val="24"/>
        </w:rPr>
      </w:pPr>
    </w:p>
    <w:p w14:paraId="4C342C11" w14:textId="0ACC1EDC" w:rsidR="00231E91" w:rsidRDefault="00DC30AE" w:rsidP="00367B6C">
      <w:pPr>
        <w:spacing w:line="360" w:lineRule="auto"/>
        <w:ind w:left="170" w:right="113"/>
        <w:rPr>
          <w:i/>
          <w:sz w:val="24"/>
          <w:szCs w:val="24"/>
        </w:rPr>
      </w:pPr>
      <w:r>
        <w:rPr>
          <w:b/>
          <w:sz w:val="24"/>
          <w:szCs w:val="24"/>
        </w:rPr>
        <w:t>Palavras-chave:</w:t>
      </w:r>
      <w:r>
        <w:rPr>
          <w:rFonts w:ascii="Arial" w:eastAsia="Calibri" w:hAnsi="Arial" w:cs="Arial"/>
          <w:sz w:val="24"/>
          <w:szCs w:val="24"/>
          <w:lang w:eastAsia="en-US"/>
        </w:rPr>
        <w:t xml:space="preserve"> </w:t>
      </w:r>
      <w:r w:rsidRPr="00DC30AE">
        <w:rPr>
          <w:rFonts w:eastAsia="Calibri"/>
          <w:sz w:val="24"/>
          <w:szCs w:val="24"/>
          <w:lang w:eastAsia="en-US"/>
        </w:rPr>
        <w:t>Neoplasia; Cães; Localização; Extragenital</w:t>
      </w:r>
      <w:r w:rsidR="00952184">
        <w:rPr>
          <w:rFonts w:eastAsia="Calibri"/>
          <w:sz w:val="24"/>
          <w:szCs w:val="24"/>
          <w:lang w:eastAsia="en-US"/>
        </w:rPr>
        <w:t>;</w:t>
      </w:r>
      <w:r w:rsidRPr="00DC30AE">
        <w:rPr>
          <w:rFonts w:eastAsia="Calibri"/>
          <w:sz w:val="24"/>
          <w:szCs w:val="24"/>
          <w:lang w:eastAsia="en-US"/>
        </w:rPr>
        <w:t xml:space="preserve"> Quimioterápico.</w:t>
      </w:r>
    </w:p>
    <w:p w14:paraId="088B74E7" w14:textId="77777777" w:rsidR="00231E91" w:rsidRDefault="00231E91" w:rsidP="00367B6C">
      <w:pPr>
        <w:spacing w:line="360" w:lineRule="auto"/>
        <w:ind w:left="170" w:right="113"/>
        <w:rPr>
          <w:sz w:val="24"/>
          <w:szCs w:val="24"/>
        </w:rPr>
      </w:pPr>
    </w:p>
    <w:p w14:paraId="69106488" w14:textId="77777777" w:rsidR="00231E91" w:rsidRDefault="004907B9" w:rsidP="00367B6C">
      <w:pPr>
        <w:spacing w:line="360" w:lineRule="auto"/>
        <w:ind w:left="170" w:right="113"/>
        <w:jc w:val="both"/>
        <w:rPr>
          <w:sz w:val="24"/>
          <w:szCs w:val="24"/>
        </w:rPr>
      </w:pPr>
      <w:bookmarkStart w:id="0" w:name="gjdgxs" w:colFirst="0" w:colLast="0"/>
      <w:bookmarkEnd w:id="0"/>
      <w:r>
        <w:rPr>
          <w:b/>
          <w:sz w:val="24"/>
          <w:szCs w:val="24"/>
        </w:rPr>
        <w:t>1 INTRODUÇÃO</w:t>
      </w:r>
    </w:p>
    <w:p w14:paraId="1DE438C7" w14:textId="01EB7D5D" w:rsidR="0085778C" w:rsidRPr="0085778C" w:rsidRDefault="0085778C" w:rsidP="005230A0">
      <w:pPr>
        <w:spacing w:line="360" w:lineRule="auto"/>
        <w:ind w:left="170" w:right="113" w:firstLine="709"/>
        <w:jc w:val="both"/>
        <w:rPr>
          <w:sz w:val="24"/>
          <w:szCs w:val="24"/>
        </w:rPr>
      </w:pPr>
      <w:r w:rsidRPr="0085778C">
        <w:rPr>
          <w:sz w:val="24"/>
          <w:szCs w:val="24"/>
        </w:rPr>
        <w:t>Segundo Santos e Alessi (2016, p. 1.343) “o TVT canino é uma neoplasia que se desenvolve primariamente na genitália externa de cães, tanto no macho quanto na fêmea”.</w:t>
      </w:r>
      <w:r w:rsidR="005230A0">
        <w:rPr>
          <w:sz w:val="24"/>
          <w:szCs w:val="24"/>
        </w:rPr>
        <w:t xml:space="preserve"> </w:t>
      </w:r>
      <w:r w:rsidRPr="0085778C">
        <w:rPr>
          <w:sz w:val="24"/>
          <w:szCs w:val="24"/>
        </w:rPr>
        <w:t xml:space="preserve">“O tumor é transmitido por transplantação alogênica, ou seja, células tumorais viáveis são </w:t>
      </w:r>
      <w:r w:rsidRPr="0085778C">
        <w:rPr>
          <w:sz w:val="24"/>
          <w:szCs w:val="24"/>
        </w:rPr>
        <w:lastRenderedPageBreak/>
        <w:t>transferidas de um animal para outro suscetível, acarretando o desenvolvimento do tumor” (Santos; Alessi, 2016).</w:t>
      </w:r>
    </w:p>
    <w:p w14:paraId="09C27F22" w14:textId="33894327" w:rsidR="0085778C" w:rsidRDefault="0085778C" w:rsidP="00505F2D">
      <w:pPr>
        <w:spacing w:line="360" w:lineRule="auto"/>
        <w:ind w:left="170" w:right="113" w:firstLine="709"/>
        <w:jc w:val="both"/>
        <w:rPr>
          <w:sz w:val="24"/>
          <w:szCs w:val="24"/>
        </w:rPr>
      </w:pPr>
      <w:r w:rsidRPr="0085778C">
        <w:rPr>
          <w:sz w:val="24"/>
          <w:szCs w:val="24"/>
        </w:rPr>
        <w:t>O TVT apresenta localização na região extragenital dos cães, principalmente visualizado na região de mucosas (oral, ocular e nasal) (Nascimento e Santos, 2021).</w:t>
      </w:r>
      <w:r w:rsidR="00505F2D">
        <w:rPr>
          <w:sz w:val="24"/>
          <w:szCs w:val="24"/>
        </w:rPr>
        <w:t xml:space="preserve"> </w:t>
      </w:r>
      <w:r w:rsidRPr="0085778C">
        <w:rPr>
          <w:sz w:val="24"/>
          <w:szCs w:val="24"/>
        </w:rPr>
        <w:t>De forma macroscópica, o TVT pode ser visualizado por meio de nódulos classificados como simples ou múltiplos e que apresentam como principal característica o formato de couve-flor, variando no tamanho, de poucos milímetros a vários centímetros (Santos e Alessi, 2016).</w:t>
      </w:r>
    </w:p>
    <w:p w14:paraId="1A5800EA" w14:textId="2678D9CD" w:rsidR="005230A0" w:rsidRPr="005230A0" w:rsidRDefault="005230A0" w:rsidP="005230A0">
      <w:pPr>
        <w:spacing w:line="360" w:lineRule="auto"/>
        <w:ind w:left="170" w:right="113" w:firstLine="709"/>
        <w:jc w:val="both"/>
        <w:rPr>
          <w:sz w:val="24"/>
          <w:szCs w:val="24"/>
        </w:rPr>
      </w:pPr>
      <w:r w:rsidRPr="005230A0">
        <w:rPr>
          <w:sz w:val="24"/>
          <w:szCs w:val="24"/>
        </w:rPr>
        <w:t>A transmissão do Tumor Venéreo Transmissível (TVT) geralmente acontece por meio do contato sexual entre cães, ocasionando a implantação de células na mucosa genital lesionada. Porém, em alguns casos a esfoliação de células tumorais ocorre durante contatos sociais eventuais representados pelos atos de lambedura ou mordedura, gerando o tumor venéreo transmissível nas regiões extragenitais (F</w:t>
      </w:r>
      <w:r w:rsidR="00952184">
        <w:rPr>
          <w:sz w:val="24"/>
          <w:szCs w:val="24"/>
        </w:rPr>
        <w:t>ilgueira</w:t>
      </w:r>
      <w:r w:rsidRPr="005230A0">
        <w:rPr>
          <w:sz w:val="24"/>
          <w:szCs w:val="24"/>
        </w:rPr>
        <w:t>, 2010).</w:t>
      </w:r>
    </w:p>
    <w:p w14:paraId="3D27C89B" w14:textId="07AEABCC" w:rsidR="005230A0" w:rsidRPr="005230A0" w:rsidRDefault="005230A0" w:rsidP="005230A0">
      <w:pPr>
        <w:spacing w:line="360" w:lineRule="auto"/>
        <w:ind w:left="170" w:right="113" w:firstLine="709"/>
        <w:jc w:val="both"/>
        <w:rPr>
          <w:sz w:val="24"/>
          <w:szCs w:val="24"/>
        </w:rPr>
      </w:pPr>
      <w:r w:rsidRPr="005230A0">
        <w:rPr>
          <w:sz w:val="24"/>
          <w:szCs w:val="24"/>
        </w:rPr>
        <w:t>O histórico e o exame físico dos cães com TVT, frequentemente, são dois meios importantes para auxiliar no diagnóstico. O exame citológico apresenta diversas vantagens por ser um método simples, rápido e de baixo custo. O diagnóstico citológico é imprescindível, pois pode direcionar o paciente ao tipo de tratamento pré-cirúrgico, cirúrgico, radioterápico ou quimioterápico, evitando procedimentos diagnósticos desnecessários e arriscados (</w:t>
      </w:r>
      <w:r w:rsidR="00952184" w:rsidRPr="005230A0">
        <w:rPr>
          <w:sz w:val="24"/>
          <w:szCs w:val="24"/>
        </w:rPr>
        <w:t xml:space="preserve">Andrião, </w:t>
      </w:r>
      <w:r w:rsidRPr="005230A0">
        <w:rPr>
          <w:sz w:val="24"/>
          <w:szCs w:val="24"/>
        </w:rPr>
        <w:t>2009).</w:t>
      </w:r>
    </w:p>
    <w:p w14:paraId="6E96C416" w14:textId="46AD2531" w:rsidR="005230A0" w:rsidRPr="0085778C" w:rsidRDefault="005230A0" w:rsidP="005230A0">
      <w:pPr>
        <w:spacing w:line="360" w:lineRule="auto"/>
        <w:ind w:left="170" w:right="113" w:firstLine="709"/>
        <w:jc w:val="both"/>
        <w:rPr>
          <w:sz w:val="24"/>
          <w:szCs w:val="24"/>
        </w:rPr>
      </w:pPr>
      <w:r w:rsidRPr="005230A0">
        <w:rPr>
          <w:sz w:val="24"/>
          <w:szCs w:val="24"/>
        </w:rPr>
        <w:t>O diagnóstico é realizado mais pelo exame físico no qual é possível observar o tumor na genitália externa. Nos casos em que não é possível observar o tumor genital durante o exame físico, porém existe uma suspeita da ocorrência de TVT em outras regiões do corpo, é de extrema importância realizar a impressão sobre lâmina de microscopia (“imprint”) e a citologia aspirativa por agulha fina (CAAF), além de diagnosticar o TVT por meio do exame histopatológico (S</w:t>
      </w:r>
      <w:r w:rsidR="00952184">
        <w:rPr>
          <w:sz w:val="24"/>
          <w:szCs w:val="24"/>
        </w:rPr>
        <w:t>ilva</w:t>
      </w:r>
      <w:r w:rsidRPr="005230A0">
        <w:rPr>
          <w:sz w:val="24"/>
          <w:szCs w:val="24"/>
        </w:rPr>
        <w:t>, 2018).</w:t>
      </w:r>
    </w:p>
    <w:p w14:paraId="1A0CAC5C" w14:textId="77777777" w:rsidR="0085778C" w:rsidRDefault="0085778C" w:rsidP="00367B6C">
      <w:pPr>
        <w:spacing w:line="360" w:lineRule="auto"/>
        <w:ind w:left="170" w:right="113"/>
        <w:jc w:val="both"/>
        <w:rPr>
          <w:b/>
          <w:sz w:val="24"/>
          <w:szCs w:val="24"/>
        </w:rPr>
      </w:pPr>
    </w:p>
    <w:p w14:paraId="733CFDFD" w14:textId="77777777" w:rsidR="00231E91" w:rsidRDefault="004907B9" w:rsidP="00367B6C">
      <w:pPr>
        <w:spacing w:line="360" w:lineRule="auto"/>
        <w:ind w:left="170" w:right="113"/>
        <w:jc w:val="both"/>
        <w:rPr>
          <w:sz w:val="24"/>
          <w:szCs w:val="24"/>
        </w:rPr>
      </w:pPr>
      <w:r>
        <w:rPr>
          <w:b/>
          <w:sz w:val="24"/>
          <w:szCs w:val="24"/>
        </w:rPr>
        <w:t>2 OBJETIVO</w:t>
      </w:r>
    </w:p>
    <w:p w14:paraId="05E8D870" w14:textId="77777777" w:rsidR="00813450" w:rsidRDefault="00C9712B" w:rsidP="00367B6C">
      <w:pPr>
        <w:spacing w:line="360" w:lineRule="auto"/>
        <w:ind w:left="170" w:right="113" w:firstLine="709"/>
        <w:jc w:val="both"/>
        <w:rPr>
          <w:sz w:val="24"/>
          <w:szCs w:val="24"/>
        </w:rPr>
      </w:pPr>
      <w:r w:rsidRPr="00C9712B">
        <w:rPr>
          <w:sz w:val="24"/>
          <w:szCs w:val="24"/>
        </w:rPr>
        <w:t>O trabalho presente</w:t>
      </w:r>
      <w:r>
        <w:rPr>
          <w:sz w:val="24"/>
          <w:szCs w:val="24"/>
        </w:rPr>
        <w:t>, vem relatar um caso de</w:t>
      </w:r>
      <w:r w:rsidR="009C7C7B">
        <w:rPr>
          <w:sz w:val="24"/>
          <w:szCs w:val="24"/>
        </w:rPr>
        <w:t xml:space="preserve"> tumor venéreo transmissível cu</w:t>
      </w:r>
      <w:r>
        <w:rPr>
          <w:sz w:val="24"/>
          <w:szCs w:val="24"/>
        </w:rPr>
        <w:t>tâ</w:t>
      </w:r>
      <w:r w:rsidR="007A3A26">
        <w:rPr>
          <w:sz w:val="24"/>
          <w:szCs w:val="24"/>
        </w:rPr>
        <w:t>neo, ocorrido em espécie canina na cida</w:t>
      </w:r>
      <w:r w:rsidR="009B5A88">
        <w:rPr>
          <w:sz w:val="24"/>
          <w:szCs w:val="24"/>
        </w:rPr>
        <w:t>de</w:t>
      </w:r>
      <w:r w:rsidR="007A3A26">
        <w:rPr>
          <w:sz w:val="24"/>
          <w:szCs w:val="24"/>
        </w:rPr>
        <w:t xml:space="preserve"> de Piracuruca</w:t>
      </w:r>
      <w:r w:rsidR="00742EEE">
        <w:rPr>
          <w:sz w:val="24"/>
          <w:szCs w:val="24"/>
        </w:rPr>
        <w:t>, norte do</w:t>
      </w:r>
      <w:r w:rsidR="007A3A26">
        <w:rPr>
          <w:sz w:val="24"/>
          <w:szCs w:val="24"/>
        </w:rPr>
        <w:t xml:space="preserve"> estado do </w:t>
      </w:r>
      <w:r w:rsidR="00742EEE">
        <w:rPr>
          <w:sz w:val="24"/>
          <w:szCs w:val="24"/>
        </w:rPr>
        <w:t xml:space="preserve">Piauí. </w:t>
      </w:r>
      <w:r w:rsidR="009B5A88">
        <w:rPr>
          <w:sz w:val="24"/>
          <w:szCs w:val="24"/>
        </w:rPr>
        <w:t>Animal vivia em con</w:t>
      </w:r>
      <w:r w:rsidR="00813450">
        <w:rPr>
          <w:sz w:val="24"/>
          <w:szCs w:val="24"/>
        </w:rPr>
        <w:t xml:space="preserve">dições de abandono na rua, sendo capturado e </w:t>
      </w:r>
      <w:r w:rsidR="00C601D8">
        <w:rPr>
          <w:sz w:val="24"/>
          <w:szCs w:val="24"/>
        </w:rPr>
        <w:t>submetido ao tratamento correto, por um profissional veterinário.</w:t>
      </w:r>
    </w:p>
    <w:p w14:paraId="50C3E82D" w14:textId="77777777" w:rsidR="00C92D1B" w:rsidRPr="00C9712B" w:rsidRDefault="00C92D1B" w:rsidP="00367B6C">
      <w:pPr>
        <w:spacing w:line="360" w:lineRule="auto"/>
        <w:ind w:left="170" w:right="113" w:firstLine="709"/>
        <w:jc w:val="both"/>
        <w:rPr>
          <w:sz w:val="24"/>
          <w:szCs w:val="24"/>
        </w:rPr>
      </w:pPr>
    </w:p>
    <w:p w14:paraId="06AED5A0" w14:textId="77777777" w:rsidR="00231E91" w:rsidRDefault="004907B9" w:rsidP="00367B6C">
      <w:pPr>
        <w:spacing w:line="360" w:lineRule="auto"/>
        <w:ind w:left="170" w:right="113"/>
        <w:jc w:val="both"/>
        <w:rPr>
          <w:sz w:val="24"/>
          <w:szCs w:val="24"/>
        </w:rPr>
      </w:pPr>
      <w:r>
        <w:rPr>
          <w:b/>
          <w:sz w:val="24"/>
          <w:szCs w:val="24"/>
        </w:rPr>
        <w:lastRenderedPageBreak/>
        <w:t xml:space="preserve">3 </w:t>
      </w:r>
      <w:r w:rsidR="00813450">
        <w:rPr>
          <w:b/>
          <w:sz w:val="24"/>
          <w:szCs w:val="24"/>
        </w:rPr>
        <w:t>RELATO DO CASO</w:t>
      </w:r>
    </w:p>
    <w:p w14:paraId="7C461557" w14:textId="1929D4C1" w:rsidR="000954E3" w:rsidRDefault="00080EE6" w:rsidP="00367B6C">
      <w:pPr>
        <w:spacing w:line="360" w:lineRule="auto"/>
        <w:ind w:left="170" w:right="113" w:firstLine="709"/>
        <w:jc w:val="both"/>
        <w:rPr>
          <w:sz w:val="24"/>
          <w:szCs w:val="24"/>
        </w:rPr>
      </w:pPr>
      <w:r>
        <w:rPr>
          <w:sz w:val="24"/>
          <w:szCs w:val="24"/>
        </w:rPr>
        <w:t xml:space="preserve">Um canino macho de </w:t>
      </w:r>
      <w:r w:rsidR="00695992">
        <w:rPr>
          <w:sz w:val="24"/>
          <w:szCs w:val="24"/>
        </w:rPr>
        <w:t xml:space="preserve">idade estimada de 6 – 8 </w:t>
      </w:r>
      <w:r w:rsidR="00D30FEB">
        <w:rPr>
          <w:sz w:val="24"/>
          <w:szCs w:val="24"/>
        </w:rPr>
        <w:t xml:space="preserve">anos, de pelagem </w:t>
      </w:r>
      <w:r w:rsidR="00D30FEB" w:rsidRPr="00F72B96">
        <w:rPr>
          <w:sz w:val="24"/>
          <w:szCs w:val="24"/>
        </w:rPr>
        <w:t>capa preta (bicolor)</w:t>
      </w:r>
      <w:r w:rsidR="00695992" w:rsidRPr="00F72B96">
        <w:rPr>
          <w:sz w:val="24"/>
          <w:szCs w:val="24"/>
        </w:rPr>
        <w:t xml:space="preserve">, </w:t>
      </w:r>
      <w:r w:rsidR="00695992">
        <w:rPr>
          <w:sz w:val="24"/>
          <w:szCs w:val="24"/>
        </w:rPr>
        <w:t xml:space="preserve">19 </w:t>
      </w:r>
      <w:r w:rsidR="001A09DE">
        <w:rPr>
          <w:sz w:val="24"/>
          <w:szCs w:val="24"/>
        </w:rPr>
        <w:t>kg</w:t>
      </w:r>
      <w:r w:rsidR="00736D21">
        <w:rPr>
          <w:sz w:val="24"/>
          <w:szCs w:val="24"/>
        </w:rPr>
        <w:t>.</w:t>
      </w:r>
      <w:r w:rsidR="009C7C7B">
        <w:rPr>
          <w:sz w:val="24"/>
          <w:szCs w:val="24"/>
        </w:rPr>
        <w:t xml:space="preserve"> O animal </w:t>
      </w:r>
      <w:r w:rsidR="00F72B96">
        <w:rPr>
          <w:sz w:val="24"/>
          <w:szCs w:val="24"/>
        </w:rPr>
        <w:t xml:space="preserve">sem histórico médico anterior, </w:t>
      </w:r>
      <w:r w:rsidR="009C7C7B">
        <w:rPr>
          <w:sz w:val="24"/>
          <w:szCs w:val="24"/>
        </w:rPr>
        <w:t>apresentava lesões cu</w:t>
      </w:r>
      <w:r w:rsidR="00736D21">
        <w:rPr>
          <w:sz w:val="24"/>
          <w:szCs w:val="24"/>
        </w:rPr>
        <w:t xml:space="preserve">tâneas sobre a pele, o qual foi tratado anteriormente </w:t>
      </w:r>
      <w:r w:rsidR="0000531B">
        <w:rPr>
          <w:sz w:val="24"/>
          <w:szCs w:val="24"/>
        </w:rPr>
        <w:t>quando vivia na rua,</w:t>
      </w:r>
      <w:r w:rsidR="00957719">
        <w:rPr>
          <w:sz w:val="24"/>
          <w:szCs w:val="24"/>
        </w:rPr>
        <w:t xml:space="preserve"> por pessoas locais, </w:t>
      </w:r>
      <w:r w:rsidR="0000531B">
        <w:rPr>
          <w:sz w:val="24"/>
          <w:szCs w:val="24"/>
        </w:rPr>
        <w:t xml:space="preserve">tentaram tratar como simples lesões, o qual não se obteve resultados </w:t>
      </w:r>
      <w:r w:rsidR="00957719">
        <w:rPr>
          <w:sz w:val="24"/>
          <w:szCs w:val="24"/>
        </w:rPr>
        <w:t xml:space="preserve">de </w:t>
      </w:r>
      <w:r w:rsidR="00A84D0D">
        <w:rPr>
          <w:sz w:val="24"/>
          <w:szCs w:val="24"/>
        </w:rPr>
        <w:t>nenhuma resposta ao tratamento. F</w:t>
      </w:r>
      <w:r w:rsidR="005C7AB0">
        <w:rPr>
          <w:sz w:val="24"/>
          <w:szCs w:val="24"/>
        </w:rPr>
        <w:t xml:space="preserve">oi encaminhado </w:t>
      </w:r>
      <w:r w:rsidR="009C7C7B">
        <w:rPr>
          <w:sz w:val="24"/>
          <w:szCs w:val="24"/>
        </w:rPr>
        <w:t xml:space="preserve">a clínica local </w:t>
      </w:r>
      <w:r w:rsidR="003B2BA3">
        <w:rPr>
          <w:sz w:val="24"/>
          <w:szCs w:val="24"/>
        </w:rPr>
        <w:t>Centro Veterinário Animali`</w:t>
      </w:r>
      <w:r w:rsidR="00C92D1B">
        <w:rPr>
          <w:sz w:val="24"/>
          <w:szCs w:val="24"/>
        </w:rPr>
        <w:t>s, médico veter</w:t>
      </w:r>
      <w:r w:rsidR="003B2BA3">
        <w:rPr>
          <w:sz w:val="24"/>
          <w:szCs w:val="24"/>
        </w:rPr>
        <w:t>inário responsável Dr. André Luí</w:t>
      </w:r>
      <w:r w:rsidR="00C92D1B">
        <w:rPr>
          <w:sz w:val="24"/>
          <w:szCs w:val="24"/>
        </w:rPr>
        <w:t>s, na cidade de Piracuruca-Piauí.</w:t>
      </w:r>
      <w:r w:rsidR="00603532">
        <w:rPr>
          <w:sz w:val="24"/>
          <w:szCs w:val="24"/>
        </w:rPr>
        <w:t xml:space="preserve"> Assumido o caso, animal foi submetido a um tratamento </w:t>
      </w:r>
      <w:r w:rsidR="00C472E6">
        <w:rPr>
          <w:sz w:val="24"/>
          <w:szCs w:val="24"/>
        </w:rPr>
        <w:t xml:space="preserve">adequado, </w:t>
      </w:r>
      <w:r w:rsidR="00603532">
        <w:rPr>
          <w:sz w:val="24"/>
          <w:szCs w:val="24"/>
        </w:rPr>
        <w:t>com sulfato de vincristina</w:t>
      </w:r>
      <w:r w:rsidR="00BB507F">
        <w:rPr>
          <w:sz w:val="24"/>
          <w:szCs w:val="24"/>
        </w:rPr>
        <w:t xml:space="preserve">, um quimioterápico indicado para esse tipo de tratamento de TVT </w:t>
      </w:r>
      <w:r w:rsidR="00BB507F" w:rsidRPr="00BB507F">
        <w:rPr>
          <w:sz w:val="24"/>
          <w:szCs w:val="24"/>
        </w:rPr>
        <w:t>(Tumor Venéreo Transmissível).</w:t>
      </w:r>
    </w:p>
    <w:p w14:paraId="27ADAFFB" w14:textId="77777777" w:rsidR="00DE25FA" w:rsidRDefault="00DE25FA" w:rsidP="00513F9E">
      <w:pPr>
        <w:spacing w:line="360" w:lineRule="auto"/>
        <w:ind w:right="113"/>
        <w:jc w:val="both"/>
        <w:rPr>
          <w:sz w:val="24"/>
          <w:szCs w:val="24"/>
        </w:rPr>
      </w:pPr>
    </w:p>
    <w:p w14:paraId="4D44EFF2" w14:textId="77777777" w:rsidR="00513F9E" w:rsidRPr="00513F9E" w:rsidRDefault="00513F9E" w:rsidP="00513F9E">
      <w:pPr>
        <w:spacing w:line="360" w:lineRule="auto"/>
        <w:ind w:left="170" w:right="113"/>
        <w:jc w:val="both"/>
        <w:rPr>
          <w:rFonts w:eastAsia="Calibri"/>
          <w:sz w:val="20"/>
          <w:lang w:eastAsia="en-US"/>
        </w:rPr>
      </w:pPr>
      <w:r w:rsidRPr="00513F9E">
        <w:rPr>
          <w:rFonts w:eastAsia="Calibri"/>
          <w:b/>
          <w:sz w:val="20"/>
          <w:lang w:eastAsia="en-US"/>
        </w:rPr>
        <w:t>Figura 01:</w:t>
      </w:r>
      <w:r w:rsidRPr="00513F9E">
        <w:rPr>
          <w:rFonts w:eastAsia="Calibri"/>
          <w:sz w:val="20"/>
          <w:lang w:eastAsia="en-US"/>
        </w:rPr>
        <w:t xml:space="preserve"> Animal </w:t>
      </w:r>
      <w:r>
        <w:rPr>
          <w:rFonts w:eastAsia="Calibri"/>
          <w:sz w:val="20"/>
          <w:lang w:eastAsia="en-US"/>
        </w:rPr>
        <w:t>quando resg</w:t>
      </w:r>
      <w:r w:rsidR="007E0D79">
        <w:rPr>
          <w:rFonts w:eastAsia="Calibri"/>
          <w:sz w:val="20"/>
          <w:lang w:eastAsia="en-US"/>
        </w:rPr>
        <w:t xml:space="preserve">atado para início de tratamento, representados por imagem A e </w:t>
      </w:r>
      <w:r w:rsidRPr="00513F9E">
        <w:rPr>
          <w:rFonts w:eastAsia="Calibri"/>
          <w:sz w:val="20"/>
          <w:lang w:eastAsia="en-US"/>
        </w:rPr>
        <w:t>B</w:t>
      </w:r>
      <w:r w:rsidR="007E0D79">
        <w:rPr>
          <w:rFonts w:eastAsia="Calibri"/>
          <w:sz w:val="20"/>
          <w:lang w:eastAsia="en-US"/>
        </w:rPr>
        <w:t>.</w:t>
      </w:r>
    </w:p>
    <w:p w14:paraId="68B606DB" w14:textId="77777777" w:rsidR="0073775C" w:rsidRDefault="0045636D" w:rsidP="00EF0828">
      <w:pPr>
        <w:spacing w:line="360" w:lineRule="auto"/>
        <w:ind w:left="170" w:right="113"/>
        <w:jc w:val="center"/>
        <w:rPr>
          <w:sz w:val="24"/>
          <w:szCs w:val="24"/>
        </w:rPr>
      </w:pPr>
      <w:r w:rsidRPr="0045636D">
        <w:rPr>
          <w:rFonts w:ascii="Arial" w:eastAsia="Calibri" w:hAnsi="Arial" w:cs="Arial"/>
          <w:noProof/>
          <w:sz w:val="20"/>
        </w:rPr>
        <mc:AlternateContent>
          <mc:Choice Requires="wps">
            <w:drawing>
              <wp:anchor distT="0" distB="0" distL="114300" distR="114300" simplePos="0" relativeHeight="251661312" behindDoc="0" locked="0" layoutInCell="1" allowOverlap="1" wp14:anchorId="3AEE03CC" wp14:editId="58148BA4">
                <wp:simplePos x="0" y="0"/>
                <wp:positionH relativeFrom="column">
                  <wp:posOffset>796290</wp:posOffset>
                </wp:positionH>
                <wp:positionV relativeFrom="paragraph">
                  <wp:posOffset>7620</wp:posOffset>
                </wp:positionV>
                <wp:extent cx="247650" cy="219075"/>
                <wp:effectExtent l="0" t="0" r="19050" b="28575"/>
                <wp:wrapNone/>
                <wp:docPr id="18" name="Caixa de texto 18"/>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ysClr val="window" lastClr="FFFFFF"/>
                        </a:solidFill>
                        <a:ln w="6350">
                          <a:solidFill>
                            <a:prstClr val="black"/>
                          </a:solidFill>
                        </a:ln>
                        <a:effectLst/>
                      </wps:spPr>
                      <wps:txbx>
                        <w:txbxContent>
                          <w:p w14:paraId="14392051" w14:textId="77777777" w:rsidR="0045636D" w:rsidRPr="002673A5" w:rsidRDefault="0045636D" w:rsidP="0045636D">
                            <w:pPr>
                              <w:rPr>
                                <w:b/>
                                <w:sz w:val="20"/>
                              </w:rPr>
                            </w:pPr>
                            <w:r w:rsidRPr="002673A5">
                              <w:rPr>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E03CC" id="_x0000_t202" coordsize="21600,21600" o:spt="202" path="m,l,21600r21600,l21600,xe">
                <v:stroke joinstyle="miter"/>
                <v:path gradientshapeok="t" o:connecttype="rect"/>
              </v:shapetype>
              <v:shape id="Caixa de texto 18" o:spid="_x0000_s1026" type="#_x0000_t202" style="position:absolute;left:0;text-align:left;margin-left:62.7pt;margin-top:.6pt;width:1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" fillcolor="window" strokeweight=".5pt">
                <v:textbox>
                  <w:txbxContent>
                    <w:p w14:paraId="14392051" w14:textId="77777777" w:rsidR="0045636D" w:rsidRPr="002673A5" w:rsidRDefault="0045636D" w:rsidP="0045636D">
                      <w:pPr>
                        <w:rPr>
                          <w:b/>
                          <w:sz w:val="20"/>
                        </w:rPr>
                      </w:pPr>
                      <w:r w:rsidRPr="002673A5">
                        <w:rPr>
                          <w:b/>
                          <w:sz w:val="20"/>
                        </w:rPr>
                        <w:t>A</w:t>
                      </w:r>
                    </w:p>
                  </w:txbxContent>
                </v:textbox>
              </v:shape>
            </w:pict>
          </mc:Fallback>
        </mc:AlternateContent>
      </w:r>
      <w:r w:rsidR="00A476E8">
        <w:rPr>
          <w:noProof/>
          <w:sz w:val="24"/>
          <w:szCs w:val="24"/>
        </w:rPr>
        <w:drawing>
          <wp:inline distT="0" distB="0" distL="0" distR="0" wp14:anchorId="273DE6F3" wp14:editId="0CD1BFFD">
            <wp:extent cx="2096048" cy="20097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2318" b="2628"/>
                    <a:stretch/>
                  </pic:blipFill>
                  <pic:spPr bwMode="auto">
                    <a:xfrm>
                      <a:off x="0" y="0"/>
                      <a:ext cx="2097144" cy="2010826"/>
                    </a:xfrm>
                    <a:prstGeom prst="rect">
                      <a:avLst/>
                    </a:prstGeom>
                    <a:noFill/>
                    <a:ln>
                      <a:noFill/>
                    </a:ln>
                    <a:extLst>
                      <a:ext uri="{53640926-AAD7-44D8-BBD7-CCE9431645EC}">
                        <a14:shadowObscured xmlns:a14="http://schemas.microsoft.com/office/drawing/2010/main"/>
                      </a:ext>
                    </a:extLst>
                  </pic:spPr>
                </pic:pic>
              </a:graphicData>
            </a:graphic>
          </wp:inline>
        </w:drawing>
      </w:r>
      <w:r w:rsidR="00EF0828">
        <w:rPr>
          <w:sz w:val="24"/>
          <w:szCs w:val="24"/>
        </w:rPr>
        <w:t xml:space="preserve">  </w:t>
      </w:r>
      <w:r w:rsidRPr="0045636D">
        <w:rPr>
          <w:rFonts w:ascii="Arial" w:hAnsi="Arial" w:cs="Arial"/>
          <w:noProof/>
          <w:sz w:val="20"/>
        </w:rPr>
        <mc:AlternateContent>
          <mc:Choice Requires="wps">
            <w:drawing>
              <wp:anchor distT="0" distB="0" distL="114300" distR="114300" simplePos="0" relativeHeight="251663360" behindDoc="0" locked="0" layoutInCell="1" allowOverlap="1" wp14:anchorId="65BEF9DD" wp14:editId="6A8492E3">
                <wp:simplePos x="0" y="0"/>
                <wp:positionH relativeFrom="column">
                  <wp:posOffset>2967990</wp:posOffset>
                </wp:positionH>
                <wp:positionV relativeFrom="paragraph">
                  <wp:posOffset>-1905</wp:posOffset>
                </wp:positionV>
                <wp:extent cx="238125" cy="228600"/>
                <wp:effectExtent l="0" t="0" r="28575" b="19050"/>
                <wp:wrapNone/>
                <wp:docPr id="9" name="Caixa de texto 9"/>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ysClr val="window" lastClr="FFFFFF"/>
                        </a:solidFill>
                        <a:ln w="6350">
                          <a:solidFill>
                            <a:prstClr val="black"/>
                          </a:solidFill>
                        </a:ln>
                        <a:effectLst/>
                      </wps:spPr>
                      <wps:txbx>
                        <w:txbxContent>
                          <w:p w14:paraId="12113AF8" w14:textId="77777777" w:rsidR="0045636D" w:rsidRPr="002673A5" w:rsidRDefault="0045636D" w:rsidP="0045636D">
                            <w:pPr>
                              <w:rPr>
                                <w:b/>
                                <w:sz w:val="20"/>
                              </w:rPr>
                            </w:pPr>
                            <w:r w:rsidRPr="002673A5">
                              <w:rPr>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F9DD" id="Caixa de texto 9" o:spid="_x0000_s1027" type="#_x0000_t202" style="position:absolute;left:0;text-align:left;margin-left:233.7pt;margin-top:-.15pt;width:18.7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" fillcolor="window" strokeweight=".5pt">
                <v:textbox>
                  <w:txbxContent>
                    <w:p w14:paraId="12113AF8" w14:textId="77777777" w:rsidR="0045636D" w:rsidRPr="002673A5" w:rsidRDefault="0045636D" w:rsidP="0045636D">
                      <w:pPr>
                        <w:rPr>
                          <w:b/>
                          <w:sz w:val="20"/>
                        </w:rPr>
                      </w:pPr>
                      <w:r w:rsidRPr="002673A5">
                        <w:rPr>
                          <w:b/>
                          <w:sz w:val="20"/>
                        </w:rPr>
                        <w:t>B</w:t>
                      </w:r>
                    </w:p>
                  </w:txbxContent>
                </v:textbox>
              </v:shape>
            </w:pict>
          </mc:Fallback>
        </mc:AlternateContent>
      </w:r>
      <w:r w:rsidR="00DE25FA">
        <w:rPr>
          <w:noProof/>
          <w:sz w:val="24"/>
          <w:szCs w:val="24"/>
        </w:rPr>
        <w:drawing>
          <wp:inline distT="0" distB="0" distL="0" distR="0" wp14:anchorId="7B03F51D" wp14:editId="61DF53E4">
            <wp:extent cx="2028825" cy="2011756"/>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3043" cy="2015939"/>
                    </a:xfrm>
                    <a:prstGeom prst="rect">
                      <a:avLst/>
                    </a:prstGeom>
                    <a:noFill/>
                  </pic:spPr>
                </pic:pic>
              </a:graphicData>
            </a:graphic>
          </wp:inline>
        </w:drawing>
      </w:r>
    </w:p>
    <w:p w14:paraId="2A31E7A3" w14:textId="77777777" w:rsidR="00DE25FA" w:rsidRDefault="00AA2035" w:rsidP="00E37EEF">
      <w:pPr>
        <w:spacing w:line="360" w:lineRule="auto"/>
        <w:ind w:left="170" w:right="113"/>
        <w:jc w:val="center"/>
        <w:rPr>
          <w:rFonts w:ascii="Arial" w:eastAsia="Calibri" w:hAnsi="Arial" w:cs="Arial"/>
          <w:sz w:val="20"/>
          <w:lang w:eastAsia="en-US"/>
        </w:rPr>
      </w:pPr>
      <w:r w:rsidRPr="00AA2035">
        <w:rPr>
          <w:rFonts w:ascii="Arial" w:eastAsia="Calibri" w:hAnsi="Arial" w:cs="Arial"/>
          <w:b/>
          <w:sz w:val="20"/>
          <w:lang w:eastAsia="en-US"/>
        </w:rPr>
        <w:t xml:space="preserve">Fonte: </w:t>
      </w:r>
      <w:r w:rsidRPr="00AA2035">
        <w:rPr>
          <w:rFonts w:ascii="Arial" w:eastAsia="Calibri" w:hAnsi="Arial" w:cs="Arial"/>
          <w:sz w:val="20"/>
          <w:lang w:eastAsia="en-US"/>
        </w:rPr>
        <w:t xml:space="preserve">Próprio </w:t>
      </w:r>
      <w:r>
        <w:rPr>
          <w:rFonts w:ascii="Arial" w:eastAsia="Calibri" w:hAnsi="Arial" w:cs="Arial"/>
          <w:sz w:val="20"/>
          <w:lang w:eastAsia="en-US"/>
        </w:rPr>
        <w:t xml:space="preserve">Autor </w:t>
      </w:r>
      <w:r w:rsidRPr="00AA2035">
        <w:rPr>
          <w:rFonts w:ascii="Arial" w:eastAsia="Calibri" w:hAnsi="Arial" w:cs="Arial"/>
          <w:sz w:val="20"/>
          <w:lang w:eastAsia="en-US"/>
        </w:rPr>
        <w:t xml:space="preserve">– </w:t>
      </w:r>
      <w:r>
        <w:rPr>
          <w:rFonts w:ascii="Arial" w:eastAsia="Calibri" w:hAnsi="Arial" w:cs="Arial"/>
          <w:sz w:val="20"/>
          <w:lang w:eastAsia="en-US"/>
        </w:rPr>
        <w:t xml:space="preserve">Piracuruca, </w:t>
      </w:r>
      <w:r w:rsidR="00A84D0D" w:rsidRPr="00A84D0D">
        <w:rPr>
          <w:rFonts w:ascii="Arial" w:eastAsia="Calibri" w:hAnsi="Arial" w:cs="Arial"/>
          <w:sz w:val="20"/>
          <w:lang w:eastAsia="en-US"/>
        </w:rPr>
        <w:t>2019.</w:t>
      </w:r>
    </w:p>
    <w:p w14:paraId="57901727" w14:textId="77777777" w:rsidR="00E37EEF" w:rsidRPr="00E37EEF" w:rsidRDefault="00E37EEF" w:rsidP="00E37EEF">
      <w:pPr>
        <w:spacing w:line="360" w:lineRule="auto"/>
        <w:ind w:left="170" w:right="113"/>
        <w:jc w:val="center"/>
        <w:rPr>
          <w:rFonts w:ascii="Arial" w:eastAsia="Calibri" w:hAnsi="Arial" w:cs="Arial"/>
          <w:sz w:val="20"/>
          <w:lang w:eastAsia="en-US"/>
        </w:rPr>
      </w:pPr>
    </w:p>
    <w:p w14:paraId="4DD5232F" w14:textId="67E7E14D" w:rsidR="00231E91" w:rsidRDefault="000954E3" w:rsidP="00367B6C">
      <w:pPr>
        <w:spacing w:line="360" w:lineRule="auto"/>
        <w:ind w:left="170" w:right="113" w:firstLine="709"/>
        <w:jc w:val="both"/>
        <w:rPr>
          <w:sz w:val="24"/>
          <w:szCs w:val="24"/>
        </w:rPr>
      </w:pPr>
      <w:r>
        <w:rPr>
          <w:sz w:val="24"/>
          <w:szCs w:val="24"/>
        </w:rPr>
        <w:t>Com o tratamento co</w:t>
      </w:r>
      <w:r w:rsidR="00E87D86">
        <w:rPr>
          <w:sz w:val="24"/>
          <w:szCs w:val="24"/>
        </w:rPr>
        <w:t>m</w:t>
      </w:r>
      <w:r>
        <w:rPr>
          <w:sz w:val="24"/>
          <w:szCs w:val="24"/>
        </w:rPr>
        <w:t xml:space="preserve"> sulfato de vincr</w:t>
      </w:r>
      <w:r w:rsidR="00E87D86">
        <w:rPr>
          <w:sz w:val="24"/>
          <w:szCs w:val="24"/>
        </w:rPr>
        <w:t xml:space="preserve">istina, foi ministrado </w:t>
      </w:r>
      <w:r w:rsidR="00C472E6">
        <w:rPr>
          <w:sz w:val="24"/>
          <w:szCs w:val="24"/>
        </w:rPr>
        <w:t>a d</w:t>
      </w:r>
      <w:r w:rsidR="00C472E6" w:rsidRPr="00C472E6">
        <w:rPr>
          <w:sz w:val="24"/>
          <w:szCs w:val="24"/>
        </w:rPr>
        <w:t>ose de 0,025mg/kg</w:t>
      </w:r>
      <w:r w:rsidR="00E87D86">
        <w:rPr>
          <w:sz w:val="24"/>
          <w:szCs w:val="24"/>
        </w:rPr>
        <w:t xml:space="preserve">, </w:t>
      </w:r>
      <w:r w:rsidR="00E12A30">
        <w:rPr>
          <w:sz w:val="24"/>
          <w:szCs w:val="24"/>
        </w:rPr>
        <w:t>diluído em solução fisiológica 0,9</w:t>
      </w:r>
      <w:r w:rsidR="0037553E">
        <w:rPr>
          <w:sz w:val="24"/>
          <w:szCs w:val="24"/>
        </w:rPr>
        <w:t>%</w:t>
      </w:r>
      <w:r w:rsidR="003B7A49">
        <w:rPr>
          <w:sz w:val="24"/>
          <w:szCs w:val="24"/>
        </w:rPr>
        <w:t xml:space="preserve">, com aplicação intravenosa, </w:t>
      </w:r>
      <w:r w:rsidR="00E87D86">
        <w:rPr>
          <w:sz w:val="24"/>
          <w:szCs w:val="24"/>
        </w:rPr>
        <w:t>tendo um total de quatro aplicações, com intervalo de sete dias</w:t>
      </w:r>
      <w:r w:rsidR="0037553E">
        <w:rPr>
          <w:sz w:val="24"/>
          <w:szCs w:val="24"/>
        </w:rPr>
        <w:t xml:space="preserve">, notou </w:t>
      </w:r>
      <w:r w:rsidR="000F3D72">
        <w:rPr>
          <w:sz w:val="24"/>
          <w:szCs w:val="24"/>
        </w:rPr>
        <w:t xml:space="preserve">toda aplicação, </w:t>
      </w:r>
      <w:r w:rsidR="0037553E">
        <w:rPr>
          <w:sz w:val="24"/>
          <w:szCs w:val="24"/>
        </w:rPr>
        <w:t>regressão das neoplasias presentes na pele</w:t>
      </w:r>
      <w:r w:rsidR="00343E58">
        <w:rPr>
          <w:sz w:val="24"/>
          <w:szCs w:val="24"/>
        </w:rPr>
        <w:t>. Com a evolução de quadro</w:t>
      </w:r>
      <w:r w:rsidR="003B7A49">
        <w:rPr>
          <w:sz w:val="24"/>
          <w:szCs w:val="24"/>
        </w:rPr>
        <w:t xml:space="preserve"> clínico do animal</w:t>
      </w:r>
      <w:r w:rsidR="00343E58">
        <w:rPr>
          <w:sz w:val="24"/>
          <w:szCs w:val="24"/>
        </w:rPr>
        <w:t>, foi ocorrendo a regressão das lesões contidas na pele</w:t>
      </w:r>
      <w:r w:rsidR="003B7A49">
        <w:rPr>
          <w:sz w:val="24"/>
          <w:szCs w:val="24"/>
        </w:rPr>
        <w:t xml:space="preserve"> do mesmo</w:t>
      </w:r>
      <w:r w:rsidR="005F48FE">
        <w:rPr>
          <w:sz w:val="24"/>
          <w:szCs w:val="24"/>
        </w:rPr>
        <w:t xml:space="preserve">, apresentado uma diminuição </w:t>
      </w:r>
      <w:r w:rsidR="000F3D72">
        <w:rPr>
          <w:sz w:val="24"/>
          <w:szCs w:val="24"/>
        </w:rPr>
        <w:t xml:space="preserve">cutânea após </w:t>
      </w:r>
      <w:r w:rsidR="005F48FE">
        <w:rPr>
          <w:sz w:val="24"/>
          <w:szCs w:val="24"/>
        </w:rPr>
        <w:t xml:space="preserve">feita a quarta aplicação do </w:t>
      </w:r>
      <w:r w:rsidR="005230A0">
        <w:rPr>
          <w:sz w:val="24"/>
          <w:szCs w:val="24"/>
        </w:rPr>
        <w:t>quimioterápico.</w:t>
      </w:r>
      <w:r w:rsidR="00C61A4E">
        <w:rPr>
          <w:sz w:val="24"/>
          <w:szCs w:val="24"/>
        </w:rPr>
        <w:t xml:space="preserve"> </w:t>
      </w:r>
    </w:p>
    <w:p w14:paraId="04B3B11F" w14:textId="77777777" w:rsidR="007E0D79" w:rsidRDefault="007E0D79" w:rsidP="00367B6C">
      <w:pPr>
        <w:spacing w:line="360" w:lineRule="auto"/>
        <w:ind w:left="170" w:right="113" w:firstLine="709"/>
        <w:jc w:val="both"/>
        <w:rPr>
          <w:sz w:val="24"/>
          <w:szCs w:val="24"/>
        </w:rPr>
      </w:pPr>
    </w:p>
    <w:p w14:paraId="7C9EAD14" w14:textId="3881AABE" w:rsidR="007E0D79" w:rsidRPr="00C7360B" w:rsidRDefault="007E0D79" w:rsidP="00367B6C">
      <w:pPr>
        <w:spacing w:line="360" w:lineRule="auto"/>
        <w:ind w:left="170" w:right="113"/>
        <w:jc w:val="both"/>
        <w:rPr>
          <w:sz w:val="20"/>
          <w:szCs w:val="24"/>
        </w:rPr>
      </w:pPr>
      <w:r>
        <w:rPr>
          <w:b/>
          <w:sz w:val="20"/>
          <w:szCs w:val="24"/>
        </w:rPr>
        <w:t>Figura 02</w:t>
      </w:r>
      <w:r w:rsidRPr="007E0D79">
        <w:rPr>
          <w:b/>
          <w:sz w:val="20"/>
          <w:szCs w:val="24"/>
        </w:rPr>
        <w:t>:</w:t>
      </w:r>
      <w:r w:rsidRPr="007E0D79">
        <w:rPr>
          <w:sz w:val="20"/>
          <w:szCs w:val="24"/>
        </w:rPr>
        <w:t xml:space="preserve"> Animal</w:t>
      </w:r>
      <w:r w:rsidR="00E72CE0">
        <w:rPr>
          <w:sz w:val="20"/>
          <w:szCs w:val="24"/>
        </w:rPr>
        <w:t xml:space="preserve"> após início do tratamento</w:t>
      </w:r>
      <w:r w:rsidR="00C7360B">
        <w:rPr>
          <w:sz w:val="20"/>
          <w:szCs w:val="24"/>
        </w:rPr>
        <w:t xml:space="preserve"> com sulfato de vincristina</w:t>
      </w:r>
      <w:r w:rsidR="00E72CE0">
        <w:rPr>
          <w:sz w:val="20"/>
          <w:szCs w:val="24"/>
        </w:rPr>
        <w:t>. (</w:t>
      </w:r>
      <w:r w:rsidRPr="007E0D79">
        <w:rPr>
          <w:sz w:val="20"/>
          <w:szCs w:val="24"/>
        </w:rPr>
        <w:t>A</w:t>
      </w:r>
      <w:r w:rsidR="00E72CE0">
        <w:rPr>
          <w:sz w:val="20"/>
          <w:szCs w:val="24"/>
        </w:rPr>
        <w:t xml:space="preserve">) </w:t>
      </w:r>
      <w:r w:rsidR="009348D8">
        <w:rPr>
          <w:sz w:val="20"/>
          <w:szCs w:val="24"/>
        </w:rPr>
        <w:t>Período de X aplicação;</w:t>
      </w:r>
      <w:r w:rsidRPr="007E0D79">
        <w:rPr>
          <w:sz w:val="20"/>
          <w:szCs w:val="24"/>
        </w:rPr>
        <w:t xml:space="preserve"> </w:t>
      </w:r>
      <w:r w:rsidR="00C7360B">
        <w:rPr>
          <w:sz w:val="20"/>
          <w:szCs w:val="24"/>
        </w:rPr>
        <w:t>(</w:t>
      </w:r>
      <w:r w:rsidRPr="007E0D79">
        <w:rPr>
          <w:sz w:val="20"/>
          <w:szCs w:val="24"/>
        </w:rPr>
        <w:t>B</w:t>
      </w:r>
      <w:r w:rsidR="00C7360B">
        <w:rPr>
          <w:sz w:val="20"/>
          <w:szCs w:val="24"/>
        </w:rPr>
        <w:t xml:space="preserve">) Após </w:t>
      </w:r>
      <w:r w:rsidR="005230A0">
        <w:rPr>
          <w:sz w:val="20"/>
          <w:szCs w:val="24"/>
        </w:rPr>
        <w:t>última aplicação</w:t>
      </w:r>
      <w:r w:rsidRPr="007E0D79">
        <w:rPr>
          <w:sz w:val="20"/>
          <w:szCs w:val="24"/>
        </w:rPr>
        <w:t>.</w:t>
      </w:r>
    </w:p>
    <w:p w14:paraId="6E62C8A8" w14:textId="77777777" w:rsidR="00E37EEF" w:rsidRDefault="0045636D" w:rsidP="00367B6C">
      <w:pPr>
        <w:spacing w:line="360" w:lineRule="auto"/>
        <w:ind w:left="170" w:right="113" w:firstLine="709"/>
        <w:jc w:val="both"/>
        <w:rPr>
          <w:sz w:val="24"/>
          <w:szCs w:val="24"/>
        </w:rPr>
      </w:pPr>
      <w:r w:rsidRPr="0045636D">
        <w:rPr>
          <w:rFonts w:ascii="Arial" w:eastAsia="Calibri" w:hAnsi="Arial" w:cs="Arial"/>
          <w:noProof/>
          <w:sz w:val="20"/>
        </w:rPr>
        <w:lastRenderedPageBreak/>
        <mc:AlternateContent>
          <mc:Choice Requires="wps">
            <w:drawing>
              <wp:anchor distT="0" distB="0" distL="114300" distR="114300" simplePos="0" relativeHeight="251659264" behindDoc="0" locked="0" layoutInCell="1" allowOverlap="1" wp14:anchorId="4FA2437E" wp14:editId="1F0427AB">
                <wp:simplePos x="0" y="0"/>
                <wp:positionH relativeFrom="column">
                  <wp:posOffset>558165</wp:posOffset>
                </wp:positionH>
                <wp:positionV relativeFrom="paragraph">
                  <wp:posOffset>3175</wp:posOffset>
                </wp:positionV>
                <wp:extent cx="247650" cy="219075"/>
                <wp:effectExtent l="0" t="0" r="19050" b="28575"/>
                <wp:wrapNone/>
                <wp:docPr id="17" name="Caixa de texto 17"/>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ysClr val="window" lastClr="FFFFFF"/>
                        </a:solidFill>
                        <a:ln w="6350">
                          <a:solidFill>
                            <a:prstClr val="black"/>
                          </a:solidFill>
                        </a:ln>
                        <a:effectLst/>
                      </wps:spPr>
                      <wps:txbx>
                        <w:txbxContent>
                          <w:p w14:paraId="1368E30E" w14:textId="77777777" w:rsidR="0045636D" w:rsidRPr="002673A5" w:rsidRDefault="0045636D" w:rsidP="0045636D">
                            <w:pPr>
                              <w:rPr>
                                <w:b/>
                                <w:sz w:val="20"/>
                              </w:rPr>
                            </w:pPr>
                            <w:r w:rsidRPr="002673A5">
                              <w:rPr>
                                <w:b/>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2437E" id="Caixa de texto 17" o:spid="_x0000_s1028" type="#_x0000_t202" style="position:absolute;left:0;text-align:left;margin-left:43.95pt;margin-top:.25pt;width:19.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" fillcolor="window" strokeweight=".5pt">
                <v:textbox>
                  <w:txbxContent>
                    <w:p w14:paraId="1368E30E" w14:textId="77777777" w:rsidR="0045636D" w:rsidRPr="002673A5" w:rsidRDefault="0045636D" w:rsidP="0045636D">
                      <w:pPr>
                        <w:rPr>
                          <w:b/>
                          <w:sz w:val="20"/>
                        </w:rPr>
                      </w:pPr>
                      <w:r w:rsidRPr="002673A5">
                        <w:rPr>
                          <w:b/>
                          <w:sz w:val="20"/>
                        </w:rPr>
                        <w:t>A</w:t>
                      </w:r>
                    </w:p>
                  </w:txbxContent>
                </v:textbox>
              </v:shape>
            </w:pict>
          </mc:Fallback>
        </mc:AlternateContent>
      </w:r>
      <w:r w:rsidR="00E32AD3">
        <w:rPr>
          <w:noProof/>
          <w:sz w:val="24"/>
          <w:szCs w:val="24"/>
        </w:rPr>
        <w:drawing>
          <wp:inline distT="0" distB="0" distL="0" distR="0" wp14:anchorId="7D729E5D" wp14:editId="31324E6C">
            <wp:extent cx="2298700" cy="2255520"/>
            <wp:effectExtent l="0" t="0" r="635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700" cy="2255520"/>
                    </a:xfrm>
                    <a:prstGeom prst="rect">
                      <a:avLst/>
                    </a:prstGeom>
                    <a:noFill/>
                  </pic:spPr>
                </pic:pic>
              </a:graphicData>
            </a:graphic>
          </wp:inline>
        </w:drawing>
      </w:r>
      <w:r w:rsidR="00EF0828">
        <w:rPr>
          <w:sz w:val="24"/>
          <w:szCs w:val="24"/>
        </w:rPr>
        <w:t xml:space="preserve">  </w:t>
      </w:r>
      <w:r w:rsidRPr="0045636D">
        <w:rPr>
          <w:rFonts w:ascii="Arial" w:hAnsi="Arial" w:cs="Arial"/>
          <w:noProof/>
          <w:sz w:val="20"/>
        </w:rPr>
        <mc:AlternateContent>
          <mc:Choice Requires="wps">
            <w:drawing>
              <wp:anchor distT="0" distB="0" distL="114300" distR="114300" simplePos="0" relativeHeight="251665408" behindDoc="0" locked="0" layoutInCell="1" allowOverlap="1" wp14:anchorId="71F749CB" wp14:editId="36D6D24E">
                <wp:simplePos x="0" y="0"/>
                <wp:positionH relativeFrom="column">
                  <wp:posOffset>2939415</wp:posOffset>
                </wp:positionH>
                <wp:positionV relativeFrom="paragraph">
                  <wp:posOffset>3175</wp:posOffset>
                </wp:positionV>
                <wp:extent cx="238125" cy="228600"/>
                <wp:effectExtent l="0" t="0" r="28575" b="19050"/>
                <wp:wrapNone/>
                <wp:docPr id="19" name="Caixa de texto 19"/>
                <wp:cNvGraphicFramePr/>
                <a:graphic xmlns:a="http://schemas.openxmlformats.org/drawingml/2006/main">
                  <a:graphicData uri="http://schemas.microsoft.com/office/word/2010/wordprocessingShape">
                    <wps:wsp>
                      <wps:cNvSpPr txBox="1"/>
                      <wps:spPr>
                        <a:xfrm>
                          <a:off x="0" y="0"/>
                          <a:ext cx="238125" cy="228600"/>
                        </a:xfrm>
                        <a:prstGeom prst="rect">
                          <a:avLst/>
                        </a:prstGeom>
                        <a:solidFill>
                          <a:sysClr val="window" lastClr="FFFFFF"/>
                        </a:solidFill>
                        <a:ln w="6350">
                          <a:solidFill>
                            <a:prstClr val="black"/>
                          </a:solidFill>
                        </a:ln>
                        <a:effectLst/>
                      </wps:spPr>
                      <wps:txbx>
                        <w:txbxContent>
                          <w:p w14:paraId="2CE0EFCB" w14:textId="77777777" w:rsidR="0045636D" w:rsidRPr="002673A5" w:rsidRDefault="0045636D" w:rsidP="0045636D">
                            <w:pPr>
                              <w:rPr>
                                <w:b/>
                                <w:sz w:val="20"/>
                              </w:rPr>
                            </w:pPr>
                            <w:r w:rsidRPr="002673A5">
                              <w:rPr>
                                <w:b/>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49CB" id="Caixa de texto 19" o:spid="_x0000_s1029" type="#_x0000_t202" style="position:absolute;left:0;text-align:left;margin-left:231.45pt;margin-top:.25pt;width:18.7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" fillcolor="window" strokeweight=".5pt">
                <v:textbox>
                  <w:txbxContent>
                    <w:p w14:paraId="2CE0EFCB" w14:textId="77777777" w:rsidR="0045636D" w:rsidRPr="002673A5" w:rsidRDefault="0045636D" w:rsidP="0045636D">
                      <w:pPr>
                        <w:rPr>
                          <w:b/>
                          <w:sz w:val="20"/>
                        </w:rPr>
                      </w:pPr>
                      <w:r w:rsidRPr="002673A5">
                        <w:rPr>
                          <w:b/>
                          <w:sz w:val="20"/>
                        </w:rPr>
                        <w:t>B</w:t>
                      </w:r>
                    </w:p>
                  </w:txbxContent>
                </v:textbox>
              </v:shape>
            </w:pict>
          </mc:Fallback>
        </mc:AlternateContent>
      </w:r>
      <w:r w:rsidR="00E32AD3">
        <w:rPr>
          <w:noProof/>
          <w:sz w:val="24"/>
          <w:szCs w:val="24"/>
        </w:rPr>
        <w:drawing>
          <wp:inline distT="0" distB="0" distL="0" distR="0" wp14:anchorId="6A4EC0FE" wp14:editId="6A4EB520">
            <wp:extent cx="2238375" cy="2244511"/>
            <wp:effectExtent l="0" t="0" r="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1086" cy="2247230"/>
                    </a:xfrm>
                    <a:prstGeom prst="rect">
                      <a:avLst/>
                    </a:prstGeom>
                    <a:noFill/>
                  </pic:spPr>
                </pic:pic>
              </a:graphicData>
            </a:graphic>
          </wp:inline>
        </w:drawing>
      </w:r>
    </w:p>
    <w:p w14:paraId="5EB8C08D" w14:textId="77777777" w:rsidR="00EF0828" w:rsidRDefault="00EF0828" w:rsidP="00367B6C">
      <w:pPr>
        <w:spacing w:line="360" w:lineRule="auto"/>
        <w:ind w:left="170" w:right="113"/>
        <w:jc w:val="center"/>
        <w:rPr>
          <w:rFonts w:ascii="Arial" w:eastAsia="Calibri" w:hAnsi="Arial" w:cs="Arial"/>
          <w:sz w:val="20"/>
          <w:lang w:eastAsia="en-US"/>
        </w:rPr>
      </w:pPr>
      <w:r w:rsidRPr="00AA2035">
        <w:rPr>
          <w:rFonts w:ascii="Arial" w:eastAsia="Calibri" w:hAnsi="Arial" w:cs="Arial"/>
          <w:b/>
          <w:sz w:val="20"/>
          <w:lang w:eastAsia="en-US"/>
        </w:rPr>
        <w:t xml:space="preserve">Fonte: </w:t>
      </w:r>
      <w:r w:rsidRPr="00AA2035">
        <w:rPr>
          <w:rFonts w:ascii="Arial" w:eastAsia="Calibri" w:hAnsi="Arial" w:cs="Arial"/>
          <w:sz w:val="20"/>
          <w:lang w:eastAsia="en-US"/>
        </w:rPr>
        <w:t xml:space="preserve">Próprio </w:t>
      </w:r>
      <w:r>
        <w:rPr>
          <w:rFonts w:ascii="Arial" w:eastAsia="Calibri" w:hAnsi="Arial" w:cs="Arial"/>
          <w:sz w:val="20"/>
          <w:lang w:eastAsia="en-US"/>
        </w:rPr>
        <w:t xml:space="preserve">Autor </w:t>
      </w:r>
      <w:r w:rsidRPr="00AA2035">
        <w:rPr>
          <w:rFonts w:ascii="Arial" w:eastAsia="Calibri" w:hAnsi="Arial" w:cs="Arial"/>
          <w:sz w:val="20"/>
          <w:lang w:eastAsia="en-US"/>
        </w:rPr>
        <w:t xml:space="preserve">– </w:t>
      </w:r>
      <w:r>
        <w:rPr>
          <w:rFonts w:ascii="Arial" w:eastAsia="Calibri" w:hAnsi="Arial" w:cs="Arial"/>
          <w:sz w:val="20"/>
          <w:lang w:eastAsia="en-US"/>
        </w:rPr>
        <w:t xml:space="preserve">Piracuruca, </w:t>
      </w:r>
      <w:r w:rsidR="00A84D0D" w:rsidRPr="00A84D0D">
        <w:rPr>
          <w:rFonts w:ascii="Arial" w:eastAsia="Calibri" w:hAnsi="Arial" w:cs="Arial"/>
          <w:sz w:val="20"/>
          <w:lang w:eastAsia="en-US"/>
        </w:rPr>
        <w:t>2019.</w:t>
      </w:r>
    </w:p>
    <w:p w14:paraId="70BFD43C" w14:textId="77777777" w:rsidR="00343E58" w:rsidRPr="00D00FDC" w:rsidRDefault="00343E58" w:rsidP="00367B6C">
      <w:pPr>
        <w:spacing w:line="360" w:lineRule="auto"/>
        <w:ind w:left="170" w:right="113" w:firstLine="709"/>
        <w:jc w:val="both"/>
        <w:rPr>
          <w:sz w:val="24"/>
          <w:szCs w:val="24"/>
        </w:rPr>
      </w:pPr>
    </w:p>
    <w:p w14:paraId="0A3DFB09" w14:textId="77777777" w:rsidR="00231E91" w:rsidRDefault="004907B9" w:rsidP="00367B6C">
      <w:pPr>
        <w:spacing w:line="360" w:lineRule="auto"/>
        <w:ind w:left="170" w:right="113"/>
        <w:rPr>
          <w:b/>
          <w:sz w:val="24"/>
          <w:szCs w:val="24"/>
        </w:rPr>
      </w:pPr>
      <w:r>
        <w:rPr>
          <w:b/>
          <w:sz w:val="24"/>
          <w:szCs w:val="24"/>
        </w:rPr>
        <w:t>4 RESULTADOS E DISCUSSÃO</w:t>
      </w:r>
    </w:p>
    <w:p w14:paraId="6CCC2F29" w14:textId="6610DCB5" w:rsidR="00AA5951" w:rsidRDefault="00AA5951" w:rsidP="00AA5951">
      <w:pPr>
        <w:spacing w:before="30" w:after="30" w:line="360" w:lineRule="auto"/>
        <w:jc w:val="both"/>
        <w:rPr>
          <w:sz w:val="24"/>
          <w:szCs w:val="24"/>
        </w:rPr>
      </w:pPr>
      <w:r>
        <w:rPr>
          <w:b/>
          <w:sz w:val="24"/>
          <w:szCs w:val="24"/>
        </w:rPr>
        <w:tab/>
      </w:r>
      <w:r w:rsidRPr="008A63A4">
        <w:rPr>
          <w:sz w:val="24"/>
          <w:szCs w:val="24"/>
        </w:rPr>
        <w:t xml:space="preserve">De acordo com Silva et. al (2022), o Tumor Venéreo Transmissível é a segunda neoplasia mais prevalente em cães no Brasil, acometendo principalmente cães de rua ou animais semi-domiciliados, que possui acesso frequente à rua e mantem contato com outros cães de origem desconhecida. Apesar de não ter predisposição de raça, sexo, ou idade essa neoplasia tem uma frequência maior em fêmeas do que machos, até mesmo por conta do cio onde as cadelas tem mais parceiros sexuais do que os machos. </w:t>
      </w:r>
    </w:p>
    <w:p w14:paraId="703A2177" w14:textId="77777777" w:rsidR="00AA5951" w:rsidRPr="008A63A4" w:rsidRDefault="00AA5951" w:rsidP="00AA5951">
      <w:pPr>
        <w:spacing w:before="30" w:after="30" w:line="360" w:lineRule="auto"/>
        <w:ind w:firstLine="708"/>
        <w:jc w:val="both"/>
        <w:rPr>
          <w:sz w:val="24"/>
          <w:szCs w:val="24"/>
        </w:rPr>
      </w:pPr>
      <w:r>
        <w:rPr>
          <w:sz w:val="24"/>
          <w:szCs w:val="24"/>
        </w:rPr>
        <w:t xml:space="preserve">O Tumor Venéreo Transmissível na forma extragenital tem uma casuística mais rara do que na forma genital, mas são relatados casos, onde há necessidade de atenção diagnostica no acometimento dessa neoplasia. Os sítios extragenitais desses tumores, ainda podem ser adquiridos por implantação primaria devido ao hábito desses cães interagirem com outros que estão doentes ou por meio de transplantação, ainda há de se considerar que possam ser metástases (com menos frequência) do tumor primário que tem origem na região genital. (Chociai, 2024). </w:t>
      </w:r>
    </w:p>
    <w:p w14:paraId="0122CFE4" w14:textId="71FD5917" w:rsidR="00AA5951" w:rsidRDefault="00AA5951" w:rsidP="00AA5951">
      <w:pPr>
        <w:spacing w:before="30" w:after="30" w:line="360" w:lineRule="auto"/>
        <w:ind w:firstLine="708"/>
        <w:jc w:val="both"/>
        <w:rPr>
          <w:sz w:val="24"/>
          <w:szCs w:val="24"/>
        </w:rPr>
      </w:pPr>
      <w:r w:rsidRPr="008A63A4">
        <w:rPr>
          <w:sz w:val="24"/>
          <w:szCs w:val="24"/>
        </w:rPr>
        <w:t xml:space="preserve">O caso relatado neste trabalho trata-se de um animal nessas condições, que vivia em situação de rua e que estava predisposto a ocorrência de TVT. </w:t>
      </w:r>
      <w:r>
        <w:rPr>
          <w:sz w:val="24"/>
          <w:szCs w:val="24"/>
        </w:rPr>
        <w:t xml:space="preserve">Tento em vista a falta de informações e histórico clinico anterior do animal, não foi possível a análise de exames anteriores no animal, a constatação dessa neoplasia foi realizada através de diagnostico diferencial pelo Médico Veterinário que atendeu o animal. Como relatado por Chociai, (2024), Gollman </w:t>
      </w:r>
      <w:r>
        <w:rPr>
          <w:i/>
          <w:iCs/>
          <w:sz w:val="24"/>
          <w:szCs w:val="24"/>
        </w:rPr>
        <w:t xml:space="preserve">et. al. </w:t>
      </w:r>
      <w:r>
        <w:rPr>
          <w:sz w:val="24"/>
          <w:szCs w:val="24"/>
        </w:rPr>
        <w:t xml:space="preserve">(2023) e Lira </w:t>
      </w:r>
      <w:r>
        <w:rPr>
          <w:i/>
          <w:iCs/>
          <w:sz w:val="24"/>
          <w:szCs w:val="24"/>
        </w:rPr>
        <w:t xml:space="preserve">et. al. </w:t>
      </w:r>
      <w:r>
        <w:rPr>
          <w:sz w:val="24"/>
          <w:szCs w:val="24"/>
        </w:rPr>
        <w:t xml:space="preserve">(2022), o diagnostico diferencial Feito pelo </w:t>
      </w:r>
      <w:r w:rsidR="002B5D1E">
        <w:rPr>
          <w:sz w:val="24"/>
          <w:szCs w:val="24"/>
        </w:rPr>
        <w:t>Médico</w:t>
      </w:r>
      <w:r>
        <w:rPr>
          <w:sz w:val="24"/>
          <w:szCs w:val="24"/>
        </w:rPr>
        <w:t xml:space="preserve"> Veterinário é de suma importância para definir a conduta adequada para o tratamento, sendo </w:t>
      </w:r>
      <w:r>
        <w:rPr>
          <w:sz w:val="24"/>
          <w:szCs w:val="24"/>
        </w:rPr>
        <w:lastRenderedPageBreak/>
        <w:t xml:space="preserve">que na maioria dos casos o tratamento com sulfato de vincristina apresentou bons resultados e melhora dos sinais clínicos. </w:t>
      </w:r>
    </w:p>
    <w:p w14:paraId="2F8E0278" w14:textId="67A95438" w:rsidR="00AA5951" w:rsidRDefault="00AA5951" w:rsidP="00AA5951">
      <w:pPr>
        <w:spacing w:before="30" w:after="30" w:line="360" w:lineRule="auto"/>
        <w:ind w:firstLine="708"/>
        <w:jc w:val="both"/>
        <w:rPr>
          <w:sz w:val="24"/>
          <w:szCs w:val="24"/>
        </w:rPr>
      </w:pPr>
      <w:r>
        <w:rPr>
          <w:sz w:val="24"/>
          <w:szCs w:val="24"/>
        </w:rPr>
        <w:t xml:space="preserve">Segundo Souza </w:t>
      </w:r>
      <w:r>
        <w:rPr>
          <w:i/>
          <w:iCs/>
          <w:sz w:val="24"/>
          <w:szCs w:val="24"/>
        </w:rPr>
        <w:t>et. al.</w:t>
      </w:r>
      <w:r>
        <w:rPr>
          <w:sz w:val="24"/>
          <w:szCs w:val="24"/>
        </w:rPr>
        <w:t xml:space="preserve"> (2017), alguns autores descrevem o TVT como células ovais ou redondas com bordas citoplasmáticas delimitadas, núcleo oval ou redondo, e nucléolos proeminentes. Já Lira </w:t>
      </w:r>
      <w:r w:rsidRPr="006D5A34">
        <w:rPr>
          <w:i/>
          <w:iCs/>
          <w:sz w:val="24"/>
          <w:szCs w:val="24"/>
        </w:rPr>
        <w:t xml:space="preserve">et. al. </w:t>
      </w:r>
      <w:r>
        <w:rPr>
          <w:sz w:val="24"/>
          <w:szCs w:val="24"/>
        </w:rPr>
        <w:t>(2022), descreve que o TVT cutâneo pode estar ou não associada a presença de massa na região genital e se caracteriza macroscopicamente como lesões de consistência firme, nódulos múltiplos, de bordas elevadas quando ulcerados, exudativas, sendo encontrados principalmente em cabeça, dorso e região inguinal, mas podendo ser distribuídas por todo o corpo do animal.</w:t>
      </w:r>
    </w:p>
    <w:p w14:paraId="7601889D" w14:textId="7C20C5D0" w:rsidR="00AA5951" w:rsidRDefault="00AA5951" w:rsidP="00AA5951">
      <w:pPr>
        <w:spacing w:before="30" w:after="30" w:line="360" w:lineRule="auto"/>
        <w:ind w:firstLine="708"/>
        <w:jc w:val="both"/>
        <w:rPr>
          <w:sz w:val="24"/>
          <w:szCs w:val="24"/>
        </w:rPr>
      </w:pPr>
      <w:r>
        <w:rPr>
          <w:sz w:val="24"/>
          <w:szCs w:val="24"/>
        </w:rPr>
        <w:t>O diagnostico diferencial do TVT é fundamental para que haja distinção entre outras neoplasias que tenham apresentação similar, como por exemplo, mastocitoma, histocitoma, linfoma, melanoma, tumor de células de Merkel e lesões granulomatosas não neoplásicas. (</w:t>
      </w:r>
      <w:r w:rsidRPr="00D03F59">
        <w:rPr>
          <w:sz w:val="24"/>
          <w:szCs w:val="24"/>
        </w:rPr>
        <w:t>Silva</w:t>
      </w:r>
      <w:r>
        <w:rPr>
          <w:sz w:val="24"/>
          <w:szCs w:val="24"/>
        </w:rPr>
        <w:t xml:space="preserve">, </w:t>
      </w:r>
      <w:r w:rsidRPr="00D03F59">
        <w:rPr>
          <w:sz w:val="24"/>
          <w:szCs w:val="24"/>
        </w:rPr>
        <w:t>2022)</w:t>
      </w:r>
      <w:r>
        <w:rPr>
          <w:sz w:val="24"/>
          <w:szCs w:val="24"/>
        </w:rPr>
        <w:t xml:space="preserve">. Segundo diversos autores o TVT canino possui alta taxa de sucesso em seus tratamentos, sendo uma neoplasia que responde bem ao tratamento com quimioterápicos. Outras formas de tratamento são radioterapia e cirurgia oncológica, sendo que esta </w:t>
      </w:r>
      <w:r w:rsidR="005D649B">
        <w:rPr>
          <w:sz w:val="24"/>
          <w:szCs w:val="24"/>
        </w:rPr>
        <w:t>última</w:t>
      </w:r>
      <w:r>
        <w:rPr>
          <w:sz w:val="24"/>
          <w:szCs w:val="24"/>
        </w:rPr>
        <w:t xml:space="preserve"> possui uma alta taxa de recidivas, na área da cirurgia ou em outras áreas que podem ser levadas através de fômites cirúrgicos. Ela só se torna um tratamento eficiente se associada à quimioterapia ou radioterapia. (Dutra, 2022)</w:t>
      </w:r>
    </w:p>
    <w:p w14:paraId="33E2DE44" w14:textId="77777777" w:rsidR="00AA5951" w:rsidRDefault="00AA5951" w:rsidP="00AA5951">
      <w:pPr>
        <w:spacing w:before="30" w:after="30" w:line="360" w:lineRule="auto"/>
        <w:ind w:firstLine="708"/>
        <w:jc w:val="both"/>
        <w:rPr>
          <w:sz w:val="24"/>
          <w:szCs w:val="24"/>
        </w:rPr>
      </w:pPr>
      <w:r>
        <w:rPr>
          <w:sz w:val="24"/>
          <w:szCs w:val="24"/>
        </w:rPr>
        <w:t xml:space="preserve">Existem diversos protocolos terapêuticos para o TVT, sendo o sulfato de vincristina o quimioterápico mais utilizado e considerado por diversos autores como um dos mais eficazes no tratamento desse tipo de tumor. (Lira </w:t>
      </w:r>
      <w:r>
        <w:rPr>
          <w:i/>
          <w:iCs/>
          <w:sz w:val="24"/>
          <w:szCs w:val="24"/>
        </w:rPr>
        <w:t xml:space="preserve">et. al., </w:t>
      </w:r>
      <w:r>
        <w:rPr>
          <w:sz w:val="24"/>
          <w:szCs w:val="24"/>
        </w:rPr>
        <w:t>2022). Onde é possível observar uma diminuição satisfatória das lesões cutâneas após a primeira sessão de quimioterapia. Esse medicamento atua interrompendo a mitose consequentemente interrompendo a multiplicação dessas células patológicas. (Silva, 2021)</w:t>
      </w:r>
    </w:p>
    <w:p w14:paraId="2175B63D" w14:textId="2798E16C" w:rsidR="00AA5951" w:rsidRDefault="00AA5951" w:rsidP="00AA5951">
      <w:pPr>
        <w:spacing w:before="30" w:after="30" w:line="360" w:lineRule="auto"/>
        <w:ind w:firstLine="708"/>
        <w:jc w:val="both"/>
        <w:rPr>
          <w:sz w:val="24"/>
          <w:szCs w:val="24"/>
        </w:rPr>
      </w:pPr>
      <w:r>
        <w:rPr>
          <w:sz w:val="24"/>
          <w:szCs w:val="24"/>
        </w:rPr>
        <w:t xml:space="preserve">Segundo Gollman (2023), </w:t>
      </w:r>
      <w:r w:rsidRPr="000D20C8">
        <w:rPr>
          <w:sz w:val="24"/>
          <w:szCs w:val="24"/>
        </w:rPr>
        <w:t>Silva (2022),</w:t>
      </w:r>
      <w:r>
        <w:rPr>
          <w:sz w:val="24"/>
          <w:szCs w:val="24"/>
        </w:rPr>
        <w:t xml:space="preserve"> e Ramos (2019) apesar da baixa toxicidade o tratamento </w:t>
      </w:r>
      <w:r w:rsidR="005D649B">
        <w:rPr>
          <w:sz w:val="24"/>
          <w:szCs w:val="24"/>
        </w:rPr>
        <w:t>à</w:t>
      </w:r>
      <w:r>
        <w:rPr>
          <w:sz w:val="24"/>
          <w:szCs w:val="24"/>
        </w:rPr>
        <w:t xml:space="preserve"> base de sulfato de vincristina pode apresentar efeitos colaterais, pois o antineoplásico, assim como os outros da mesma categoria não agem apenas nas células neoplásicas. Entre os efeitos colaterais estão: febre, hipertensão, alopecia, paresia, poliuria, disuria e convulsão. Além de distúrbios gastrointestinais podendo levar o animal a êmese e lesões locais caso haja extravasamento da droga no momento da aplicação intravenosa e mielossupressão que pode acarretar em alterações significativas nos exames hematológicos.</w:t>
      </w:r>
    </w:p>
    <w:p w14:paraId="3BDD0C57" w14:textId="77777777" w:rsidR="00AA5951" w:rsidRDefault="00AA5951" w:rsidP="00AA5951">
      <w:pPr>
        <w:spacing w:before="30" w:after="30" w:line="360" w:lineRule="auto"/>
        <w:ind w:firstLine="708"/>
        <w:jc w:val="both"/>
        <w:rPr>
          <w:sz w:val="24"/>
          <w:szCs w:val="24"/>
        </w:rPr>
      </w:pPr>
      <w:r>
        <w:rPr>
          <w:sz w:val="24"/>
          <w:szCs w:val="24"/>
        </w:rPr>
        <w:lastRenderedPageBreak/>
        <w:t>O sulfato de vincristina pode levar a diminuição da proliferação celular da linhagem eritróide refletindo em um estado de anemia hipoplásica, sendo esperada uma anemia normocítica e normocrômica, e ainda leucopenia e linfocitose (Souza et. al, 2017). Podendo induzir também uma trombocitopenia, em que a diminuição de plaquetas decorrente da diminuição da produção plaquetária decorrente da ação do fármaco. (Ramos, 2019).</w:t>
      </w:r>
    </w:p>
    <w:p w14:paraId="2A2F38B4" w14:textId="15011C24" w:rsidR="00AA5951" w:rsidRDefault="00AA5951" w:rsidP="00AA5951">
      <w:pPr>
        <w:spacing w:before="30" w:after="30" w:line="360" w:lineRule="auto"/>
        <w:ind w:firstLine="708"/>
        <w:jc w:val="both"/>
        <w:rPr>
          <w:sz w:val="24"/>
          <w:szCs w:val="24"/>
        </w:rPr>
      </w:pPr>
      <w:r>
        <w:rPr>
          <w:sz w:val="24"/>
          <w:szCs w:val="24"/>
        </w:rPr>
        <w:t xml:space="preserve">Segundo a literatura o tratamento com sulfato de vincristina é o mais realizado por possuir uma boa eficiência e ajuda bastante o paciente chegar em um excelente quadro de melhora. (Silva, 2022). No </w:t>
      </w:r>
      <w:r w:rsidR="005D649B">
        <w:rPr>
          <w:sz w:val="24"/>
          <w:szCs w:val="24"/>
        </w:rPr>
        <w:t>início</w:t>
      </w:r>
      <w:r>
        <w:rPr>
          <w:sz w:val="24"/>
          <w:szCs w:val="24"/>
        </w:rPr>
        <w:t xml:space="preserve"> do tratamento o fármaco deve ser aplicado com a dose máxima tolerável, pois a entrada do fármaco na célula tumoral é através de difusão passiva, e quanto mais tempo de exposição das células ao medicamento, e quanto mais ascendência da sua concentração, maior sua citotoxicidade. (Dutra, 2022).</w:t>
      </w:r>
    </w:p>
    <w:p w14:paraId="709F15B9" w14:textId="56DACA36" w:rsidR="00AA5951" w:rsidRPr="008A57CD" w:rsidRDefault="00AA5951" w:rsidP="00AA5951">
      <w:pPr>
        <w:spacing w:before="30" w:after="30" w:line="360" w:lineRule="auto"/>
        <w:ind w:firstLine="708"/>
        <w:jc w:val="both"/>
        <w:rPr>
          <w:sz w:val="24"/>
          <w:szCs w:val="24"/>
        </w:rPr>
      </w:pPr>
      <w:r>
        <w:rPr>
          <w:sz w:val="24"/>
          <w:szCs w:val="24"/>
        </w:rPr>
        <w:t xml:space="preserve">No paciente com a afecção descrita neste trabalho foi utilizado o quimioterápico sulfato de vincristina na dose de 0,025mg/kg, via intravenosa diluída com solução fisiológica 0,9%, uma vez a cada sete dias durante quatro semanas. Conforme já descrito anteriormente sobre a eficácia desse tratamento pela literatura, após o </w:t>
      </w:r>
      <w:r w:rsidR="005D649B">
        <w:rPr>
          <w:sz w:val="24"/>
          <w:szCs w:val="24"/>
        </w:rPr>
        <w:t>início</w:t>
      </w:r>
      <w:r>
        <w:rPr>
          <w:sz w:val="24"/>
          <w:szCs w:val="24"/>
        </w:rPr>
        <w:t xml:space="preserve"> do tratamento foi observado uma melhora significativa nas lesões do animal, sendo que após a terceira aplicação o animal apresentava remissão parcial dos nódulos tumorais, além de redução das ulcerações, dos nódulos tumorais e cessamento de secreção serossanguinolenta, conforme descrito em literatura por Ramos</w:t>
      </w:r>
      <w:r>
        <w:rPr>
          <w:i/>
          <w:iCs/>
          <w:sz w:val="24"/>
          <w:szCs w:val="24"/>
        </w:rPr>
        <w:t xml:space="preserve"> </w:t>
      </w:r>
      <w:r>
        <w:rPr>
          <w:sz w:val="24"/>
          <w:szCs w:val="24"/>
        </w:rPr>
        <w:t xml:space="preserve">(2019) onde afirma que o quimioterápico atinge bons resultados entre quatro e seis aplicações semanais. </w:t>
      </w:r>
    </w:p>
    <w:p w14:paraId="06D437DA" w14:textId="22114D39" w:rsidR="00231E91" w:rsidRDefault="00231E91" w:rsidP="00367B6C">
      <w:pPr>
        <w:spacing w:line="360" w:lineRule="auto"/>
        <w:ind w:left="170" w:right="113"/>
        <w:rPr>
          <w:b/>
          <w:sz w:val="24"/>
          <w:szCs w:val="24"/>
        </w:rPr>
      </w:pPr>
    </w:p>
    <w:p w14:paraId="166F66C9" w14:textId="77777777" w:rsidR="00231E91" w:rsidRDefault="004907B9" w:rsidP="00367B6C">
      <w:pPr>
        <w:spacing w:line="360" w:lineRule="auto"/>
        <w:ind w:left="170" w:right="113"/>
        <w:rPr>
          <w:sz w:val="24"/>
          <w:szCs w:val="24"/>
        </w:rPr>
      </w:pPr>
      <w:r>
        <w:rPr>
          <w:b/>
          <w:sz w:val="24"/>
          <w:szCs w:val="24"/>
        </w:rPr>
        <w:t>5 CONSIDERAÇÕES FINAIS</w:t>
      </w:r>
    </w:p>
    <w:p w14:paraId="4AC6F686" w14:textId="77777777" w:rsidR="0085778C" w:rsidRDefault="003815E0" w:rsidP="00367B6C">
      <w:pPr>
        <w:spacing w:line="360" w:lineRule="auto"/>
        <w:ind w:left="170" w:right="113" w:firstLine="709"/>
        <w:jc w:val="both"/>
        <w:rPr>
          <w:sz w:val="24"/>
          <w:szCs w:val="24"/>
        </w:rPr>
      </w:pPr>
      <w:r>
        <w:rPr>
          <w:sz w:val="24"/>
          <w:szCs w:val="24"/>
        </w:rPr>
        <w:t>Os casos de</w:t>
      </w:r>
      <w:r w:rsidR="0085778C">
        <w:rPr>
          <w:sz w:val="24"/>
          <w:szCs w:val="24"/>
        </w:rPr>
        <w:t xml:space="preserve"> tumor venéreo transmissível cu</w:t>
      </w:r>
      <w:r>
        <w:rPr>
          <w:sz w:val="24"/>
          <w:szCs w:val="24"/>
        </w:rPr>
        <w:t>tâneo</w:t>
      </w:r>
      <w:r w:rsidR="00E404BC">
        <w:rPr>
          <w:sz w:val="24"/>
          <w:szCs w:val="24"/>
        </w:rPr>
        <w:t xml:space="preserve">, podem ocorrer </w:t>
      </w:r>
      <w:r w:rsidR="00E97147">
        <w:rPr>
          <w:sz w:val="24"/>
          <w:szCs w:val="24"/>
        </w:rPr>
        <w:t xml:space="preserve">através de contato direto com animais infectados, podendo ser </w:t>
      </w:r>
      <w:r w:rsidR="00A46A14">
        <w:rPr>
          <w:sz w:val="24"/>
          <w:szCs w:val="24"/>
        </w:rPr>
        <w:t>por lambed</w:t>
      </w:r>
      <w:r w:rsidR="005C17B3">
        <w:rPr>
          <w:sz w:val="24"/>
          <w:szCs w:val="24"/>
        </w:rPr>
        <w:t>uras</w:t>
      </w:r>
      <w:r w:rsidR="00E97147">
        <w:rPr>
          <w:sz w:val="24"/>
          <w:szCs w:val="24"/>
        </w:rPr>
        <w:t xml:space="preserve"> ou em</w:t>
      </w:r>
      <w:r w:rsidR="00A46A14">
        <w:rPr>
          <w:sz w:val="24"/>
          <w:szCs w:val="24"/>
        </w:rPr>
        <w:t xml:space="preserve"> contato com</w:t>
      </w:r>
      <w:r w:rsidR="00E97147">
        <w:rPr>
          <w:sz w:val="24"/>
          <w:szCs w:val="24"/>
        </w:rPr>
        <w:t xml:space="preserve"> superfícies contaminadas</w:t>
      </w:r>
      <w:r>
        <w:rPr>
          <w:sz w:val="24"/>
          <w:szCs w:val="24"/>
        </w:rPr>
        <w:t xml:space="preserve"> por células neoplásicas</w:t>
      </w:r>
      <w:r w:rsidR="00E97147">
        <w:rPr>
          <w:sz w:val="24"/>
          <w:szCs w:val="24"/>
        </w:rPr>
        <w:t xml:space="preserve">. O </w:t>
      </w:r>
      <w:r w:rsidR="00A46A14">
        <w:rPr>
          <w:sz w:val="24"/>
          <w:szCs w:val="24"/>
        </w:rPr>
        <w:t>pro</w:t>
      </w:r>
      <w:r w:rsidR="00E97147">
        <w:rPr>
          <w:sz w:val="24"/>
          <w:szCs w:val="24"/>
        </w:rPr>
        <w:t>gnóstico</w:t>
      </w:r>
      <w:r w:rsidR="00E075EF">
        <w:rPr>
          <w:sz w:val="24"/>
          <w:szCs w:val="24"/>
        </w:rPr>
        <w:t xml:space="preserve"> em </w:t>
      </w:r>
      <w:r w:rsidR="00A46A14">
        <w:rPr>
          <w:sz w:val="24"/>
          <w:szCs w:val="24"/>
        </w:rPr>
        <w:t>maioria dos casos</w:t>
      </w:r>
      <w:r w:rsidR="00E97147">
        <w:rPr>
          <w:sz w:val="24"/>
          <w:szCs w:val="24"/>
        </w:rPr>
        <w:t xml:space="preserve"> é favorável, com obtenção de bons resultados</w:t>
      </w:r>
      <w:r w:rsidR="00E075EF">
        <w:rPr>
          <w:sz w:val="24"/>
          <w:szCs w:val="24"/>
        </w:rPr>
        <w:t>,</w:t>
      </w:r>
      <w:r w:rsidR="00E97147">
        <w:rPr>
          <w:sz w:val="24"/>
          <w:szCs w:val="24"/>
        </w:rPr>
        <w:t xml:space="preserve"> usando o quimioterápico sulfato de vincristina</w:t>
      </w:r>
      <w:r w:rsidR="00D14A2F">
        <w:rPr>
          <w:sz w:val="24"/>
          <w:szCs w:val="24"/>
        </w:rPr>
        <w:t xml:space="preserve">, sendo eficaz para regressão dos tumores </w:t>
      </w:r>
      <w:r w:rsidR="00B93CAE">
        <w:rPr>
          <w:sz w:val="24"/>
          <w:szCs w:val="24"/>
        </w:rPr>
        <w:t>nas regiões acometidas.</w:t>
      </w:r>
    </w:p>
    <w:p w14:paraId="4DEC53C9" w14:textId="77777777" w:rsidR="0085778C" w:rsidRPr="00E404BC" w:rsidRDefault="0085778C" w:rsidP="0085778C">
      <w:pPr>
        <w:spacing w:line="360" w:lineRule="auto"/>
        <w:ind w:left="170" w:right="113" w:firstLine="709"/>
        <w:jc w:val="both"/>
        <w:rPr>
          <w:sz w:val="24"/>
          <w:szCs w:val="24"/>
        </w:rPr>
      </w:pPr>
    </w:p>
    <w:p w14:paraId="7E572F71" w14:textId="77777777" w:rsidR="0085778C" w:rsidRDefault="004907B9" w:rsidP="0085778C">
      <w:pPr>
        <w:spacing w:line="360" w:lineRule="auto"/>
        <w:jc w:val="center"/>
        <w:rPr>
          <w:b/>
          <w:sz w:val="24"/>
          <w:szCs w:val="24"/>
        </w:rPr>
      </w:pPr>
      <w:r>
        <w:rPr>
          <w:b/>
          <w:sz w:val="24"/>
          <w:szCs w:val="24"/>
        </w:rPr>
        <w:t>REFERÊNCIAS</w:t>
      </w:r>
    </w:p>
    <w:p w14:paraId="71C3F1B1" w14:textId="77777777" w:rsidR="0085778C" w:rsidRDefault="0085778C" w:rsidP="004F6E68">
      <w:pPr>
        <w:rPr>
          <w:b/>
          <w:sz w:val="24"/>
          <w:szCs w:val="24"/>
        </w:rPr>
      </w:pPr>
    </w:p>
    <w:p w14:paraId="3130C114" w14:textId="1E678E89" w:rsidR="00960368" w:rsidRDefault="00960368" w:rsidP="004F6E68">
      <w:pPr>
        <w:rPr>
          <w:rFonts w:eastAsia="Calibri"/>
          <w:sz w:val="24"/>
          <w:szCs w:val="24"/>
          <w:lang w:eastAsia="en-US"/>
        </w:rPr>
      </w:pPr>
      <w:r w:rsidRPr="00960368">
        <w:rPr>
          <w:rFonts w:eastAsia="Calibri"/>
          <w:sz w:val="24"/>
          <w:szCs w:val="24"/>
          <w:lang w:eastAsia="en-US"/>
        </w:rPr>
        <w:t xml:space="preserve">ANDRIÃO, N.A. Quimioterapia com sulfato de vincristina no tratamento do Tumor Venéreo Transmissível (TVT) de cadela: Relato de Caso. </w:t>
      </w:r>
      <w:r w:rsidRPr="002B5D1E">
        <w:rPr>
          <w:rFonts w:eastAsia="Calibri"/>
          <w:b/>
          <w:bCs/>
          <w:sz w:val="24"/>
          <w:szCs w:val="24"/>
          <w:lang w:eastAsia="en-US"/>
        </w:rPr>
        <w:t>PUBVET</w:t>
      </w:r>
      <w:r w:rsidRPr="00960368">
        <w:rPr>
          <w:rFonts w:eastAsia="Calibri"/>
          <w:sz w:val="24"/>
          <w:szCs w:val="24"/>
          <w:lang w:eastAsia="en-US"/>
        </w:rPr>
        <w:t>, Londrina, V.3, N.16, Maio, 2009.</w:t>
      </w:r>
    </w:p>
    <w:p w14:paraId="453E3C28" w14:textId="485F5DE4" w:rsidR="00960368" w:rsidRDefault="00960368" w:rsidP="004F6E68">
      <w:pPr>
        <w:rPr>
          <w:rFonts w:eastAsia="Calibri"/>
          <w:sz w:val="24"/>
          <w:szCs w:val="24"/>
          <w:lang w:eastAsia="en-US"/>
        </w:rPr>
      </w:pPr>
    </w:p>
    <w:p w14:paraId="00CC58CF" w14:textId="77777777" w:rsidR="004F6E68" w:rsidRPr="004F6E68" w:rsidRDefault="004F6E68" w:rsidP="004F6E68">
      <w:pPr>
        <w:rPr>
          <w:rFonts w:eastAsia="Calibri"/>
          <w:sz w:val="24"/>
          <w:szCs w:val="24"/>
          <w:lang w:eastAsia="en-US"/>
        </w:rPr>
      </w:pPr>
      <w:r w:rsidRPr="004F6E68">
        <w:rPr>
          <w:rFonts w:eastAsia="Calibri"/>
          <w:sz w:val="24"/>
          <w:szCs w:val="24"/>
          <w:lang w:eastAsia="en-US"/>
        </w:rPr>
        <w:lastRenderedPageBreak/>
        <w:t>CHOCIAI, S.; MOTTA, G. T.; PRADO, M. C.; CARRASCO, A. de O. T.; SEKI, M. C. Extragenital transmissible venereal tumor in dog: case report. </w:t>
      </w:r>
      <w:r w:rsidRPr="004F6E68">
        <w:rPr>
          <w:rFonts w:eastAsia="Calibri"/>
          <w:b/>
          <w:bCs/>
          <w:sz w:val="24"/>
          <w:szCs w:val="24"/>
          <w:lang w:eastAsia="en-US"/>
        </w:rPr>
        <w:t>OBSERVATÓRIO DE LA ECONOMÍA LATINOAMERICANA</w:t>
      </w:r>
      <w:r w:rsidRPr="004F6E68">
        <w:rPr>
          <w:rFonts w:eastAsia="Calibri"/>
          <w:sz w:val="24"/>
          <w:szCs w:val="24"/>
          <w:lang w:eastAsia="en-US"/>
        </w:rPr>
        <w:t>, </w:t>
      </w:r>
      <w:r w:rsidRPr="004F6E68">
        <w:rPr>
          <w:rFonts w:eastAsia="Calibri"/>
          <w:i/>
          <w:iCs/>
          <w:sz w:val="24"/>
          <w:szCs w:val="24"/>
          <w:lang w:eastAsia="en-US"/>
        </w:rPr>
        <w:t>[S. l.]</w:t>
      </w:r>
      <w:r w:rsidRPr="004F6E68">
        <w:rPr>
          <w:rFonts w:eastAsia="Calibri"/>
          <w:sz w:val="24"/>
          <w:szCs w:val="24"/>
          <w:lang w:eastAsia="en-US"/>
        </w:rPr>
        <w:t>, v. 22, n. 2, p. e3260, 2024. DOI: 10.55905/oelv22n2-113. Disponível em: https://ojs.observatoriolatinoamericano.com/ojs/index.php/olel/article/view/3260. Acesso em: 6 sep. 2024.</w:t>
      </w:r>
    </w:p>
    <w:p w14:paraId="3A77A630" w14:textId="77777777" w:rsidR="004F6E68" w:rsidRPr="004F6E68" w:rsidRDefault="004F6E68" w:rsidP="004F6E68">
      <w:pPr>
        <w:rPr>
          <w:rFonts w:eastAsia="Calibri"/>
          <w:sz w:val="24"/>
          <w:szCs w:val="24"/>
          <w:lang w:eastAsia="en-US"/>
        </w:rPr>
      </w:pPr>
    </w:p>
    <w:p w14:paraId="1B2F40A1" w14:textId="77777777" w:rsidR="004F6E68" w:rsidRPr="004F6E68" w:rsidRDefault="004F6E68" w:rsidP="004F6E68">
      <w:pPr>
        <w:rPr>
          <w:rFonts w:eastAsia="Calibri"/>
          <w:sz w:val="24"/>
          <w:szCs w:val="24"/>
          <w:lang w:eastAsia="en-US"/>
        </w:rPr>
      </w:pPr>
      <w:r w:rsidRPr="004F6E68">
        <w:rPr>
          <w:rFonts w:eastAsia="Calibri"/>
          <w:sz w:val="24"/>
          <w:szCs w:val="24"/>
          <w:lang w:eastAsia="en-US"/>
        </w:rPr>
        <w:t>DUTRA, Caio Queiroz. TVT cutâneo em um cão: relato de caso. Orientador: Margareti Medeiros. 2022. 20f. Trabalho de Conclusão de Curso (graduação) - Centro Universitário do Planalto Central Apparecido dos Santos, Faculdade de Medicina Veterinária, 2022. Disponível em: https://dspace.uniceplac.edu.br/handle/123456789/2529. Acesso em 04 de set. 2024.</w:t>
      </w:r>
    </w:p>
    <w:p w14:paraId="0DA1C188" w14:textId="77777777" w:rsidR="004F6E68" w:rsidRDefault="004F6E68" w:rsidP="004F6E68">
      <w:pPr>
        <w:rPr>
          <w:rFonts w:eastAsia="Calibri"/>
          <w:sz w:val="24"/>
          <w:szCs w:val="24"/>
          <w:lang w:eastAsia="en-US"/>
        </w:rPr>
      </w:pPr>
    </w:p>
    <w:p w14:paraId="651E0EE1" w14:textId="22C39BD7" w:rsidR="00960368" w:rsidRDefault="00960368" w:rsidP="004F6E68">
      <w:pPr>
        <w:rPr>
          <w:rFonts w:eastAsia="Calibri"/>
          <w:sz w:val="24"/>
          <w:szCs w:val="24"/>
          <w:lang w:eastAsia="en-US"/>
        </w:rPr>
      </w:pPr>
      <w:r w:rsidRPr="00960368">
        <w:rPr>
          <w:rFonts w:eastAsia="Calibri"/>
          <w:sz w:val="24"/>
          <w:szCs w:val="24"/>
          <w:lang w:eastAsia="en-US"/>
        </w:rPr>
        <w:t xml:space="preserve">FILGUEIRA, K.D. Tumor venéreo transmissível canino com localização primária e única em cavidade oral. </w:t>
      </w:r>
      <w:r w:rsidRPr="002B5D1E">
        <w:rPr>
          <w:rFonts w:eastAsia="Calibri"/>
          <w:b/>
          <w:bCs/>
          <w:sz w:val="24"/>
          <w:szCs w:val="24"/>
          <w:lang w:eastAsia="en-US"/>
        </w:rPr>
        <w:t>Acta Scientiae Veterinariae</w:t>
      </w:r>
      <w:r w:rsidRPr="00960368">
        <w:rPr>
          <w:rFonts w:eastAsia="Calibri"/>
          <w:sz w:val="24"/>
          <w:szCs w:val="24"/>
          <w:lang w:eastAsia="en-US"/>
        </w:rPr>
        <w:t>. 38(1): 91-94, 2010.</w:t>
      </w:r>
    </w:p>
    <w:p w14:paraId="1E2733A7" w14:textId="77777777" w:rsidR="004F6E68" w:rsidRDefault="004F6E68" w:rsidP="004F6E68">
      <w:pPr>
        <w:rPr>
          <w:rFonts w:eastAsia="Calibri"/>
          <w:sz w:val="24"/>
          <w:szCs w:val="24"/>
          <w:lang w:eastAsia="en-US"/>
        </w:rPr>
      </w:pPr>
    </w:p>
    <w:p w14:paraId="53DFCFBC" w14:textId="14F1DFE6" w:rsidR="004F6E68" w:rsidRPr="004F6E68" w:rsidRDefault="004F6E68" w:rsidP="004F6E68">
      <w:pPr>
        <w:rPr>
          <w:rFonts w:eastAsia="Calibri"/>
          <w:sz w:val="24"/>
          <w:szCs w:val="24"/>
          <w:lang w:eastAsia="en-US"/>
        </w:rPr>
      </w:pPr>
      <w:r w:rsidRPr="004F6E68">
        <w:rPr>
          <w:rFonts w:eastAsia="Calibri"/>
          <w:sz w:val="24"/>
          <w:szCs w:val="24"/>
          <w:lang w:eastAsia="en-US"/>
        </w:rPr>
        <w:t xml:space="preserve">GOLLMANN, B. G. de O.; DE OLIVEIRA, L. C. C.; MOREIRA, E. B. dos S.; CHIMINELLI JUNIOR, D. A.; KOLLING, G. J. Tumor venéreo transmissível cutâneo em canino – relato de caso. </w:t>
      </w:r>
      <w:r w:rsidRPr="004F6E68">
        <w:rPr>
          <w:rFonts w:eastAsia="Calibri"/>
          <w:b/>
          <w:bCs/>
          <w:sz w:val="24"/>
          <w:szCs w:val="24"/>
          <w:lang w:eastAsia="en-US"/>
        </w:rPr>
        <w:t xml:space="preserve">Brazilian Journal of Development, </w:t>
      </w:r>
      <w:r w:rsidRPr="004F6E68">
        <w:rPr>
          <w:rFonts w:eastAsia="Calibri"/>
          <w:sz w:val="24"/>
          <w:szCs w:val="24"/>
          <w:lang w:eastAsia="en-US"/>
        </w:rPr>
        <w:t>[S. l.], v. 9, n. 4, p. 13446–13454, 2023. DOI: 10.34117/bjdv9n4-060. Disponível em: https://ojs.brazilianjournals.com.br/ojs/index.php/BRJD/article/view/58883. Acesso em: 6 sep. 2024.</w:t>
      </w:r>
    </w:p>
    <w:p w14:paraId="4C3132FE" w14:textId="77777777" w:rsidR="004F6E68" w:rsidRPr="004F6E68" w:rsidRDefault="004F6E68" w:rsidP="004F6E68">
      <w:pPr>
        <w:rPr>
          <w:rFonts w:eastAsia="Calibri"/>
          <w:sz w:val="24"/>
          <w:szCs w:val="24"/>
          <w:lang w:eastAsia="en-US"/>
        </w:rPr>
      </w:pPr>
    </w:p>
    <w:p w14:paraId="167E0FFF" w14:textId="77777777" w:rsidR="004F6E68" w:rsidRPr="004F6E68" w:rsidRDefault="004F6E68" w:rsidP="004F6E68">
      <w:pPr>
        <w:rPr>
          <w:rFonts w:eastAsia="Calibri"/>
          <w:sz w:val="24"/>
          <w:szCs w:val="24"/>
          <w:lang w:eastAsia="en-US"/>
        </w:rPr>
      </w:pPr>
      <w:r w:rsidRPr="004F6E68">
        <w:rPr>
          <w:rFonts w:eastAsia="Calibri"/>
          <w:sz w:val="24"/>
          <w:szCs w:val="24"/>
          <w:lang w:eastAsia="en-US"/>
        </w:rPr>
        <w:t xml:space="preserve">LIRA, T. L.; </w:t>
      </w:r>
      <w:r w:rsidRPr="004F6E68">
        <w:rPr>
          <w:rFonts w:eastAsia="Calibri"/>
          <w:i/>
          <w:iCs/>
          <w:sz w:val="24"/>
          <w:szCs w:val="24"/>
          <w:lang w:eastAsia="en-US"/>
        </w:rPr>
        <w:t xml:space="preserve">et al. </w:t>
      </w:r>
      <w:r w:rsidRPr="004F6E68">
        <w:rPr>
          <w:rFonts w:eastAsia="Calibri"/>
          <w:sz w:val="24"/>
          <w:szCs w:val="24"/>
          <w:lang w:eastAsia="en-US"/>
        </w:rPr>
        <w:t xml:space="preserve">Tumor venéreo transmissível cutâneo: Relato de casos. </w:t>
      </w:r>
      <w:r w:rsidRPr="002B5D1E">
        <w:rPr>
          <w:rFonts w:eastAsia="Calibri"/>
          <w:b/>
          <w:bCs/>
          <w:sz w:val="24"/>
          <w:szCs w:val="24"/>
          <w:lang w:eastAsia="en-US"/>
        </w:rPr>
        <w:t>Pubvet</w:t>
      </w:r>
      <w:r w:rsidRPr="004F6E68">
        <w:rPr>
          <w:rFonts w:eastAsia="Calibri"/>
          <w:sz w:val="24"/>
          <w:szCs w:val="24"/>
          <w:lang w:eastAsia="en-US"/>
        </w:rPr>
        <w:t>, [S. l.], v. 16, n. 12, p. e1288, 2022. DOI: 10.31533/pubvet.v16n12a1288.1-9. Disponível em: https://ojs.pubvet.com.br/index.php/revista/article/view/2973. Acesso em: 6 set. 2024.</w:t>
      </w:r>
    </w:p>
    <w:p w14:paraId="4EE23C91" w14:textId="77777777" w:rsidR="00960368" w:rsidRDefault="00960368" w:rsidP="004F6E68">
      <w:pPr>
        <w:rPr>
          <w:rFonts w:eastAsia="Calibri"/>
          <w:sz w:val="24"/>
          <w:szCs w:val="24"/>
          <w:lang w:eastAsia="en-US"/>
        </w:rPr>
      </w:pPr>
    </w:p>
    <w:p w14:paraId="15F51E5F" w14:textId="7F969515" w:rsidR="00960368" w:rsidRPr="00960368" w:rsidRDefault="00960368" w:rsidP="004F6E68">
      <w:pPr>
        <w:rPr>
          <w:rFonts w:eastAsia="Calibri"/>
          <w:sz w:val="24"/>
          <w:szCs w:val="24"/>
          <w:lang w:eastAsia="en-US"/>
        </w:rPr>
      </w:pPr>
      <w:r w:rsidRPr="00960368">
        <w:rPr>
          <w:rFonts w:eastAsia="Calibri"/>
          <w:sz w:val="24"/>
          <w:szCs w:val="24"/>
          <w:lang w:eastAsia="en-US"/>
        </w:rPr>
        <w:t>NASCIMENTO, E.F; SANTOS, R.L</w:t>
      </w:r>
      <w:r w:rsidRPr="002B5D1E">
        <w:rPr>
          <w:rFonts w:eastAsia="Calibri"/>
          <w:b/>
          <w:bCs/>
          <w:sz w:val="24"/>
          <w:szCs w:val="24"/>
          <w:lang w:eastAsia="en-US"/>
        </w:rPr>
        <w:t>. Patologia da Reprodução dos Animais Domésticos</w:t>
      </w:r>
      <w:r w:rsidRPr="00960368">
        <w:rPr>
          <w:rFonts w:eastAsia="Calibri"/>
          <w:sz w:val="24"/>
          <w:szCs w:val="24"/>
          <w:lang w:eastAsia="en-US"/>
        </w:rPr>
        <w:t>. 4. ed. Rio de Janeiro: Guanabara Koogan, 2021. cap. 10, p. 101-104.</w:t>
      </w:r>
    </w:p>
    <w:p w14:paraId="0D771566" w14:textId="3235DB18" w:rsidR="00960368" w:rsidRDefault="00960368" w:rsidP="004F6E68">
      <w:pPr>
        <w:rPr>
          <w:rFonts w:eastAsia="Calibri"/>
          <w:sz w:val="24"/>
          <w:szCs w:val="24"/>
          <w:lang w:eastAsia="en-US"/>
        </w:rPr>
      </w:pPr>
    </w:p>
    <w:p w14:paraId="2DBAEC3C" w14:textId="7BB56952" w:rsidR="004F6E68" w:rsidRPr="004F6E68" w:rsidRDefault="004F6E68" w:rsidP="004F6E68">
      <w:pPr>
        <w:rPr>
          <w:rFonts w:eastAsia="Calibri"/>
          <w:sz w:val="24"/>
          <w:szCs w:val="24"/>
          <w:lang w:eastAsia="en-US"/>
        </w:rPr>
      </w:pPr>
      <w:r w:rsidRPr="004F6E68">
        <w:rPr>
          <w:rFonts w:eastAsia="Calibri"/>
          <w:sz w:val="24"/>
          <w:szCs w:val="24"/>
          <w:lang w:eastAsia="en-US"/>
        </w:rPr>
        <w:t>Ramos JN, Monte AMP, Santos CR, Queiroz RW, Sobrinho FBS, Lopes, IBL, Gomes, AAD. Tumor venéreo</w:t>
      </w:r>
      <w:r w:rsidR="005D649B">
        <w:rPr>
          <w:rFonts w:eastAsia="Calibri"/>
          <w:sz w:val="24"/>
          <w:szCs w:val="24"/>
          <w:lang w:eastAsia="en-US"/>
        </w:rPr>
        <w:t xml:space="preserve"> </w:t>
      </w:r>
      <w:r w:rsidRPr="004F6E68">
        <w:rPr>
          <w:rFonts w:eastAsia="Calibri"/>
          <w:sz w:val="24"/>
          <w:szCs w:val="24"/>
          <w:lang w:eastAsia="en-US"/>
        </w:rPr>
        <w:t xml:space="preserve">transmissível cutâneo sem envolvimento genital em cão macho. </w:t>
      </w:r>
      <w:r w:rsidRPr="002B5D1E">
        <w:rPr>
          <w:rFonts w:eastAsia="Calibri"/>
          <w:b/>
          <w:bCs/>
          <w:sz w:val="24"/>
          <w:szCs w:val="24"/>
          <w:lang w:eastAsia="en-US"/>
        </w:rPr>
        <w:t>Vet. e Zootec.</w:t>
      </w:r>
      <w:r w:rsidRPr="004F6E68">
        <w:rPr>
          <w:rFonts w:eastAsia="Calibri"/>
          <w:sz w:val="24"/>
          <w:szCs w:val="24"/>
          <w:lang w:eastAsia="en-US"/>
        </w:rPr>
        <w:t xml:space="preserve"> 2019; 26: 001-006. Disponivel em: https://rvz.emnuvens.com.br/rvz/article/view/213/104. Acesso em: 05 de set. 2024.</w:t>
      </w:r>
    </w:p>
    <w:p w14:paraId="6BDA4B35" w14:textId="77777777" w:rsidR="004F6E68" w:rsidRDefault="004F6E68" w:rsidP="004F6E68">
      <w:pPr>
        <w:rPr>
          <w:rFonts w:eastAsia="Calibri"/>
          <w:sz w:val="24"/>
          <w:szCs w:val="24"/>
          <w:lang w:eastAsia="en-US"/>
        </w:rPr>
      </w:pPr>
    </w:p>
    <w:p w14:paraId="268DDECD" w14:textId="463DDEDA" w:rsidR="00960368" w:rsidRDefault="0085778C" w:rsidP="004F6E68">
      <w:pPr>
        <w:rPr>
          <w:rFonts w:eastAsia="Calibri"/>
          <w:sz w:val="24"/>
          <w:szCs w:val="24"/>
          <w:lang w:eastAsia="en-US"/>
        </w:rPr>
      </w:pPr>
      <w:r w:rsidRPr="0085778C">
        <w:rPr>
          <w:rFonts w:eastAsia="Calibri"/>
          <w:sz w:val="24"/>
          <w:szCs w:val="24"/>
          <w:lang w:eastAsia="en-US"/>
        </w:rPr>
        <w:t xml:space="preserve">SANTOS, R.L; ALESSI, A.C. </w:t>
      </w:r>
      <w:r w:rsidRPr="0085778C">
        <w:rPr>
          <w:rFonts w:eastAsia="Calibri"/>
          <w:b/>
          <w:sz w:val="24"/>
          <w:szCs w:val="24"/>
          <w:lang w:eastAsia="en-US"/>
        </w:rPr>
        <w:t>Patologia Veterinária.</w:t>
      </w:r>
      <w:r w:rsidRPr="0085778C">
        <w:rPr>
          <w:rFonts w:eastAsia="Calibri"/>
          <w:sz w:val="24"/>
          <w:szCs w:val="24"/>
          <w:lang w:eastAsia="en-US"/>
        </w:rPr>
        <w:t xml:space="preserve"> 2. ed. Rio de Janeiro: Roca, 2016. cap. 15, p. 1302-1346.</w:t>
      </w:r>
    </w:p>
    <w:p w14:paraId="4E9B1FF2" w14:textId="0FE90371" w:rsidR="00960368" w:rsidRDefault="00960368" w:rsidP="004F6E68">
      <w:pPr>
        <w:rPr>
          <w:rFonts w:eastAsia="Calibri"/>
          <w:sz w:val="24"/>
          <w:szCs w:val="24"/>
          <w:lang w:eastAsia="en-US"/>
        </w:rPr>
      </w:pPr>
    </w:p>
    <w:p w14:paraId="766D5ADE" w14:textId="77777777" w:rsidR="004F6E68" w:rsidRPr="004F6E68" w:rsidRDefault="004F6E68" w:rsidP="004F6E68">
      <w:pPr>
        <w:rPr>
          <w:rFonts w:eastAsia="Calibri"/>
          <w:sz w:val="24"/>
          <w:szCs w:val="24"/>
          <w:lang w:eastAsia="en-US"/>
        </w:rPr>
      </w:pPr>
      <w:r w:rsidRPr="004F6E68">
        <w:rPr>
          <w:rFonts w:eastAsia="Calibri"/>
          <w:sz w:val="24"/>
          <w:szCs w:val="24"/>
          <w:lang w:eastAsia="en-US"/>
        </w:rPr>
        <w:t xml:space="preserve">SILVA, Clebson Marques da. Tumor venéreo transmissível (TVT) cutâneo: relato de caso / Clebson Marques da Silva. – 2022.  36 f.; il. Trabalho de conclusão de curso (Graduação em Medicina Veterinária) - Universidade Federal de Alagoas, Campus Ceca, Polo Viçosa, 2022. Orientação: Prof.ª. Dra. Karla Patrícia Chaves da Silva. Disponível em: http://www.repositorio.ufal.br/jspui/handle/123456789/13943. Acesso em 04 de set. 2024. </w:t>
      </w:r>
    </w:p>
    <w:p w14:paraId="5C43DB47" w14:textId="77777777" w:rsidR="004F6E68" w:rsidRPr="004F6E68" w:rsidRDefault="004F6E68" w:rsidP="004F6E68">
      <w:pPr>
        <w:rPr>
          <w:rFonts w:eastAsia="Calibri"/>
          <w:sz w:val="24"/>
          <w:szCs w:val="24"/>
          <w:lang w:eastAsia="en-US"/>
        </w:rPr>
      </w:pPr>
    </w:p>
    <w:p w14:paraId="32400A89" w14:textId="5FD6BFAA" w:rsidR="004F6E68" w:rsidRPr="004F6E68" w:rsidRDefault="004F6E68" w:rsidP="004F6E68">
      <w:pPr>
        <w:rPr>
          <w:rFonts w:eastAsia="Calibri"/>
          <w:sz w:val="24"/>
          <w:szCs w:val="24"/>
          <w:lang w:eastAsia="en-US"/>
        </w:rPr>
      </w:pPr>
      <w:r w:rsidRPr="004F6E68">
        <w:rPr>
          <w:rFonts w:eastAsia="Calibri"/>
          <w:sz w:val="24"/>
          <w:szCs w:val="24"/>
          <w:lang w:eastAsia="en-US"/>
        </w:rPr>
        <w:t>SILVA, Esli Jansen Dantas. </w:t>
      </w:r>
      <w:r w:rsidRPr="004F6E68">
        <w:rPr>
          <w:rFonts w:eastAsia="Calibri"/>
          <w:b/>
          <w:bCs/>
          <w:sz w:val="24"/>
          <w:szCs w:val="24"/>
          <w:lang w:eastAsia="en-US"/>
        </w:rPr>
        <w:t>Tumor venereo transmissivel (TVT) genital e cutâneo em canino: Relato de caso</w:t>
      </w:r>
      <w:r w:rsidRPr="004F6E68">
        <w:rPr>
          <w:rFonts w:eastAsia="Calibri"/>
          <w:sz w:val="24"/>
          <w:szCs w:val="24"/>
          <w:lang w:eastAsia="en-US"/>
        </w:rPr>
        <w:t>. Orientador: Ricardo Barbosa de Lucena. 2021. Traballho de conclusão de curso (Bacharelado em medicina veterinaria) - Universidade Federal da Paraíba</w:t>
      </w:r>
      <w:r w:rsidR="005D649B">
        <w:rPr>
          <w:rFonts w:eastAsia="Calibri"/>
          <w:sz w:val="24"/>
          <w:szCs w:val="24"/>
          <w:lang w:eastAsia="en-US"/>
        </w:rPr>
        <w:t xml:space="preserve"> </w:t>
      </w:r>
      <w:r w:rsidRPr="004F6E68">
        <w:rPr>
          <w:rFonts w:eastAsia="Calibri"/>
          <w:sz w:val="24"/>
          <w:szCs w:val="24"/>
          <w:lang w:eastAsia="en-US"/>
        </w:rPr>
        <w:lastRenderedPageBreak/>
        <w:t>- UFPB, [</w:t>
      </w:r>
      <w:r w:rsidRPr="004F6E68">
        <w:rPr>
          <w:rFonts w:eastAsia="Calibri"/>
          <w:i/>
          <w:iCs/>
          <w:sz w:val="24"/>
          <w:szCs w:val="24"/>
          <w:lang w:eastAsia="en-US"/>
        </w:rPr>
        <w:t>S. l.</w:t>
      </w:r>
      <w:r w:rsidRPr="004F6E68">
        <w:rPr>
          <w:rFonts w:eastAsia="Calibri"/>
          <w:sz w:val="24"/>
          <w:szCs w:val="24"/>
          <w:lang w:eastAsia="en-US"/>
        </w:rPr>
        <w:t>], 2021. Disponível em:</w:t>
      </w:r>
      <w:r w:rsidR="005D649B">
        <w:rPr>
          <w:rFonts w:eastAsia="Calibri"/>
          <w:sz w:val="24"/>
          <w:szCs w:val="24"/>
          <w:lang w:eastAsia="en-US"/>
        </w:rPr>
        <w:t xml:space="preserve"> </w:t>
      </w:r>
      <w:r w:rsidRPr="004F6E68">
        <w:rPr>
          <w:rFonts w:eastAsia="Calibri"/>
          <w:sz w:val="24"/>
          <w:szCs w:val="24"/>
          <w:lang w:eastAsia="en-US"/>
        </w:rPr>
        <w:t>https://repositorio.ufpb.br/jspui/handle/123456789/21603. Acesso em: 5 set. 2024.</w:t>
      </w:r>
    </w:p>
    <w:p w14:paraId="5DE0F825" w14:textId="77777777" w:rsidR="004F6E68" w:rsidRPr="004F6E68" w:rsidRDefault="004F6E68" w:rsidP="004F6E68">
      <w:pPr>
        <w:rPr>
          <w:rFonts w:eastAsia="Calibri"/>
          <w:sz w:val="24"/>
          <w:szCs w:val="24"/>
          <w:lang w:eastAsia="en-US"/>
        </w:rPr>
      </w:pPr>
    </w:p>
    <w:p w14:paraId="1A9C7D22" w14:textId="77777777" w:rsidR="004F6E68" w:rsidRPr="004F6E68" w:rsidRDefault="004F6E68" w:rsidP="004F6E68">
      <w:pPr>
        <w:rPr>
          <w:rFonts w:eastAsia="Calibri"/>
          <w:sz w:val="24"/>
          <w:szCs w:val="24"/>
          <w:lang w:eastAsia="en-US"/>
        </w:rPr>
      </w:pPr>
      <w:r w:rsidRPr="004F6E68">
        <w:rPr>
          <w:rFonts w:eastAsia="Calibri"/>
          <w:sz w:val="24"/>
          <w:szCs w:val="24"/>
          <w:lang w:eastAsia="en-US"/>
        </w:rPr>
        <w:t>SILVA, Felipe Ramos da. Tumor venéreo trasmissível canino cutâneo: relato de caso. 2022. 43 f. Relatório (Graduação) - Curso de Medicina Veterinária, Universidade Federal do Tocantins, Araguaína, 2022.</w:t>
      </w:r>
      <w:r w:rsidRPr="004F6E68">
        <w:rPr>
          <w:rFonts w:eastAsia="Calibri"/>
          <w:lang w:eastAsia="en-US"/>
        </w:rPr>
        <w:t xml:space="preserve"> </w:t>
      </w:r>
      <w:r w:rsidRPr="004F6E68">
        <w:rPr>
          <w:rFonts w:eastAsia="Calibri"/>
          <w:sz w:val="24"/>
          <w:szCs w:val="24"/>
          <w:lang w:eastAsia="en-US"/>
        </w:rPr>
        <w:t>Disponível em: http://hdl.handle.net/11612/4876. Acesso em: 03 de set. 2024</w:t>
      </w:r>
    </w:p>
    <w:p w14:paraId="00794517" w14:textId="77777777" w:rsidR="004F6E68" w:rsidRPr="004F6E68" w:rsidRDefault="004F6E68" w:rsidP="004F6E68">
      <w:pPr>
        <w:rPr>
          <w:rFonts w:eastAsia="Calibri"/>
          <w:sz w:val="24"/>
          <w:szCs w:val="24"/>
          <w:lang w:eastAsia="en-US"/>
        </w:rPr>
      </w:pPr>
    </w:p>
    <w:p w14:paraId="475C3EA0" w14:textId="77777777" w:rsidR="004F6E68" w:rsidRPr="004F6E68" w:rsidRDefault="004F6E68" w:rsidP="004F6E68">
      <w:pPr>
        <w:rPr>
          <w:rFonts w:eastAsia="Calibri"/>
          <w:sz w:val="24"/>
          <w:szCs w:val="24"/>
          <w:lang w:eastAsia="en-US"/>
        </w:rPr>
      </w:pPr>
      <w:r w:rsidRPr="004F6E68">
        <w:rPr>
          <w:rFonts w:eastAsia="Calibri"/>
          <w:sz w:val="24"/>
          <w:szCs w:val="24"/>
          <w:lang w:eastAsia="en-US"/>
        </w:rPr>
        <w:t xml:space="preserve">SILVA, Iury de Azevedo Rodrigues, et al.. Tumor venéreo transmissível (tvt) nasal com metástase óssea em um cão. </w:t>
      </w:r>
      <w:r w:rsidRPr="002B5D1E">
        <w:rPr>
          <w:rFonts w:eastAsia="Calibri"/>
          <w:b/>
          <w:bCs/>
          <w:sz w:val="24"/>
          <w:szCs w:val="24"/>
          <w:lang w:eastAsia="en-US"/>
        </w:rPr>
        <w:t>Acta Scientiae Veterinariae</w:t>
      </w:r>
      <w:r w:rsidRPr="004F6E68">
        <w:rPr>
          <w:rFonts w:eastAsia="Calibri"/>
          <w:sz w:val="24"/>
          <w:szCs w:val="24"/>
          <w:lang w:eastAsia="en-US"/>
        </w:rPr>
        <w:t>. 50(Suppl 1): 740, 2022. Disponível em: file:///C:/Users/vinic/Desktop/TVT%207.pdf. Acesso em: 03 set. 2024.</w:t>
      </w:r>
    </w:p>
    <w:p w14:paraId="7935CE21" w14:textId="2031BE27" w:rsidR="004F6E68" w:rsidRDefault="004F6E68" w:rsidP="004F6E68">
      <w:pPr>
        <w:rPr>
          <w:rFonts w:eastAsia="Calibri"/>
          <w:sz w:val="24"/>
          <w:szCs w:val="24"/>
          <w:lang w:eastAsia="en-US"/>
        </w:rPr>
      </w:pPr>
    </w:p>
    <w:p w14:paraId="61EC417D" w14:textId="03C559DC" w:rsidR="004F6E68" w:rsidRDefault="00960368" w:rsidP="004F6E68">
      <w:pPr>
        <w:rPr>
          <w:rFonts w:eastAsia="Calibri"/>
          <w:sz w:val="24"/>
          <w:szCs w:val="24"/>
          <w:lang w:eastAsia="en-US"/>
        </w:rPr>
      </w:pPr>
      <w:r w:rsidRPr="00960368">
        <w:rPr>
          <w:rFonts w:eastAsia="Calibri"/>
          <w:sz w:val="24"/>
          <w:szCs w:val="24"/>
          <w:lang w:eastAsia="en-US"/>
        </w:rPr>
        <w:t>SILVA, L.P. Diagnóstico de Tumor Venéreo Transmissível (TVT) em cães (Canis lupus familiaris) por meio do método de “Imprint”. 34 p, Universidade Federal de Rondônia, Rolim de Moura, 2018.</w:t>
      </w:r>
    </w:p>
    <w:p w14:paraId="4514F48F" w14:textId="77777777" w:rsidR="004F6E68" w:rsidRDefault="004F6E68" w:rsidP="004F6E68">
      <w:pPr>
        <w:rPr>
          <w:rFonts w:eastAsia="Calibri"/>
          <w:sz w:val="24"/>
          <w:szCs w:val="24"/>
          <w:lang w:eastAsia="en-US"/>
        </w:rPr>
      </w:pPr>
    </w:p>
    <w:p w14:paraId="0D3465BB" w14:textId="32E41CFB" w:rsidR="004F6E68" w:rsidRPr="004F6E68" w:rsidRDefault="004F6E68" w:rsidP="004F6E68">
      <w:pPr>
        <w:rPr>
          <w:rFonts w:eastAsia="Calibri"/>
          <w:sz w:val="24"/>
          <w:szCs w:val="24"/>
          <w:lang w:eastAsia="en-US"/>
        </w:rPr>
      </w:pPr>
      <w:r w:rsidRPr="004F6E68">
        <w:rPr>
          <w:rFonts w:eastAsia="Calibri"/>
          <w:sz w:val="24"/>
          <w:szCs w:val="24"/>
          <w:lang w:eastAsia="en-US"/>
        </w:rPr>
        <w:t>SOUZA, M.D.C. et al. Tumor venéreo transmissível cutâneo canino: Relato de caso</w:t>
      </w:r>
      <w:r w:rsidR="00817FFA">
        <w:rPr>
          <w:rFonts w:eastAsia="Calibri"/>
          <w:sz w:val="24"/>
          <w:szCs w:val="24"/>
          <w:lang w:eastAsia="en-US"/>
        </w:rPr>
        <w:t>.</w:t>
      </w:r>
      <w:r w:rsidRPr="002B5D1E">
        <w:rPr>
          <w:rFonts w:eastAsia="Calibri"/>
          <w:b/>
          <w:bCs/>
          <w:sz w:val="24"/>
          <w:szCs w:val="24"/>
          <w:lang w:eastAsia="en-US"/>
        </w:rPr>
        <w:t xml:space="preserve"> Revista Bionorte</w:t>
      </w:r>
      <w:r w:rsidRPr="004F6E68">
        <w:rPr>
          <w:rFonts w:eastAsia="Calibri"/>
          <w:sz w:val="24"/>
          <w:szCs w:val="24"/>
          <w:lang w:eastAsia="en-US"/>
        </w:rPr>
        <w:t xml:space="preserve">, v.6, S1, dez. 2017. Disponível em: &lt;https://www.revistabionorte.com.br/artigo_no =a113.pdf&gt;. acesso em 03 de setembro de 2024. </w:t>
      </w:r>
    </w:p>
    <w:p w14:paraId="7468A490" w14:textId="77777777" w:rsidR="004F6E68" w:rsidRPr="0085778C" w:rsidRDefault="004F6E68" w:rsidP="004F6E68">
      <w:pPr>
        <w:rPr>
          <w:rFonts w:eastAsia="Calibri"/>
          <w:sz w:val="24"/>
          <w:szCs w:val="24"/>
          <w:lang w:eastAsia="en-US"/>
        </w:rPr>
      </w:pPr>
    </w:p>
    <w:sectPr w:rsidR="004F6E68" w:rsidRPr="0085778C" w:rsidSect="0055575A">
      <w:headerReference w:type="even" r:id="rId11"/>
      <w:headerReference w:type="default" r:id="rId12"/>
      <w:footerReference w:type="even" r:id="rId13"/>
      <w:footerReference w:type="default" r:id="rId14"/>
      <w:headerReference w:type="first" r:id="rId15"/>
      <w:footerReference w:type="first" r:id="rId16"/>
      <w:pgSz w:w="11906" w:h="16840"/>
      <w:pgMar w:top="2410" w:right="1134"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919A3" w14:textId="77777777" w:rsidR="00032D50" w:rsidRDefault="00032D50">
      <w:r>
        <w:separator/>
      </w:r>
    </w:p>
  </w:endnote>
  <w:endnote w:type="continuationSeparator" w:id="0">
    <w:p w14:paraId="14E3631F" w14:textId="77777777" w:rsidR="00032D50" w:rsidRDefault="0003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E4CB0" w14:textId="77777777" w:rsidR="00231E91" w:rsidRDefault="00231E91">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88A4" w14:textId="77777777" w:rsidR="00231E91" w:rsidRDefault="00231E91" w:rsidP="00C03332">
    <w:pPr>
      <w:pBdr>
        <w:top w:val="nil"/>
        <w:left w:val="nil"/>
        <w:bottom w:val="nil"/>
        <w:right w:val="nil"/>
        <w:between w:val="nil"/>
      </w:pBdr>
      <w:tabs>
        <w:tab w:val="center" w:pos="4252"/>
        <w:tab w:val="right" w:pos="8504"/>
      </w:tabs>
      <w:rPr>
        <w:color w:val="000000"/>
      </w:rPr>
    </w:pPr>
  </w:p>
  <w:p w14:paraId="5605E72D" w14:textId="77777777" w:rsidR="00231E91" w:rsidRDefault="004907B9">
    <w:pPr>
      <w:pBdr>
        <w:top w:val="nil"/>
        <w:left w:val="nil"/>
        <w:bottom w:val="nil"/>
        <w:right w:val="nil"/>
        <w:between w:val="nil"/>
      </w:pBdr>
      <w:tabs>
        <w:tab w:val="center" w:pos="4252"/>
        <w:tab w:val="right" w:pos="8504"/>
      </w:tabs>
      <w:ind w:hanging="1418"/>
      <w:rPr>
        <w:color w:val="000000"/>
      </w:rPr>
    </w:pPr>
    <w:r>
      <w:rPr>
        <w:noProof/>
      </w:rPr>
      <w:drawing>
        <wp:anchor distT="0" distB="0" distL="0" distR="0" simplePos="0" relativeHeight="251659264" behindDoc="1" locked="0" layoutInCell="1" hidden="0" allowOverlap="1" wp14:anchorId="67045E98" wp14:editId="2DADCB2E">
          <wp:simplePos x="0" y="0"/>
          <wp:positionH relativeFrom="column">
            <wp:posOffset>0</wp:posOffset>
          </wp:positionH>
          <wp:positionV relativeFrom="paragraph">
            <wp:posOffset>-767714</wp:posOffset>
          </wp:positionV>
          <wp:extent cx="6161461" cy="9806276"/>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61461" cy="9806276"/>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CFA81" w14:textId="77777777" w:rsidR="00231E91" w:rsidRDefault="00231E91">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2A100" w14:textId="77777777" w:rsidR="00032D50" w:rsidRDefault="00032D50">
      <w:r>
        <w:separator/>
      </w:r>
    </w:p>
  </w:footnote>
  <w:footnote w:type="continuationSeparator" w:id="0">
    <w:p w14:paraId="7C227867" w14:textId="77777777" w:rsidR="00032D50" w:rsidRDefault="00032D50">
      <w:r>
        <w:continuationSeparator/>
      </w:r>
    </w:p>
  </w:footnote>
  <w:footnote w:id="1">
    <w:p w14:paraId="7F587501" w14:textId="77777777" w:rsidR="00A11343" w:rsidRPr="00C86E38" w:rsidRDefault="00A11343" w:rsidP="00A11343">
      <w:pPr>
        <w:pStyle w:val="Textodenotaderodap"/>
        <w:jc w:val="both"/>
        <w:rPr>
          <w:rFonts w:ascii="Times New Roman" w:hAnsi="Times New Roman"/>
          <w:szCs w:val="16"/>
        </w:rPr>
      </w:pPr>
      <w:r w:rsidRPr="00C86E38">
        <w:rPr>
          <w:rStyle w:val="Refdenotaderodap"/>
          <w:rFonts w:ascii="Times New Roman" w:hAnsi="Times New Roman"/>
          <w:szCs w:val="16"/>
        </w:rPr>
        <w:footnoteRef/>
      </w:r>
      <w:r w:rsidRPr="00C86E38">
        <w:rPr>
          <w:rFonts w:ascii="Times New Roman" w:hAnsi="Times New Roman"/>
          <w:szCs w:val="16"/>
        </w:rPr>
        <w:t xml:space="preserve"> Discente do Curso de Bacharelado em Medicina Veterinária – Christus Faculdade do Piauí.</w:t>
      </w:r>
    </w:p>
  </w:footnote>
  <w:footnote w:id="2">
    <w:p w14:paraId="7F8DAAA2" w14:textId="77777777" w:rsidR="00A11343" w:rsidRDefault="00A11343" w:rsidP="00A11343">
      <w:pPr>
        <w:pStyle w:val="Textodenotaderodap"/>
        <w:jc w:val="both"/>
      </w:pPr>
      <w:r w:rsidRPr="00C86E38">
        <w:rPr>
          <w:rStyle w:val="Refdenotaderodap"/>
          <w:rFonts w:ascii="Times New Roman" w:hAnsi="Times New Roman"/>
          <w:szCs w:val="16"/>
        </w:rPr>
        <w:footnoteRef/>
      </w:r>
      <w:r w:rsidR="00E904BB">
        <w:rPr>
          <w:rFonts w:ascii="Times New Roman" w:hAnsi="Times New Roman"/>
          <w:szCs w:val="16"/>
        </w:rPr>
        <w:t xml:space="preserve"> Médico</w:t>
      </w:r>
      <w:r w:rsidR="008576A0" w:rsidRPr="00C86E38">
        <w:rPr>
          <w:rFonts w:ascii="Times New Roman" w:hAnsi="Times New Roman"/>
          <w:szCs w:val="16"/>
        </w:rPr>
        <w:t xml:space="preserve"> Veterinário</w:t>
      </w:r>
      <w:r w:rsidRPr="00C86E38">
        <w:rPr>
          <w:rFonts w:ascii="Times New Roman" w:hAnsi="Times New Roman"/>
          <w:szCs w:val="16"/>
        </w:rPr>
        <w:t xml:space="preserve"> – UFPI. Docente do curso em Bacharelado em Medicina Veterinári</w:t>
      </w:r>
      <w:r w:rsidR="008576A0" w:rsidRPr="00C86E38">
        <w:rPr>
          <w:rFonts w:ascii="Times New Roman" w:hAnsi="Times New Roman"/>
          <w:szCs w:val="16"/>
        </w:rPr>
        <w:t>a – Christus Faculdade do Piauí</w:t>
      </w:r>
      <w:r w:rsidRPr="00C86E38">
        <w:rPr>
          <w:rFonts w:ascii="Times New Roman" w:hAnsi="Times New Roman"/>
          <w:szCs w:val="16"/>
        </w:rPr>
        <w:t>. E-mail:</w:t>
      </w:r>
      <w:r w:rsidRPr="00C86E38">
        <w:rPr>
          <w:rFonts w:ascii="Arial" w:hAnsi="Arial" w:cs="Arial"/>
          <w:szCs w:val="16"/>
        </w:rPr>
        <w:t xml:space="preserve"> </w:t>
      </w:r>
      <w:r w:rsidR="007D407C" w:rsidRPr="007D407C">
        <w:rPr>
          <w:rFonts w:ascii="Times New Roman" w:hAnsi="Times New Roman"/>
          <w:szCs w:val="24"/>
        </w:rPr>
        <w:t>andresistem16@gmail.com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06B9" w14:textId="77777777" w:rsidR="00231E91" w:rsidRDefault="00231E9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322E" w14:textId="77777777" w:rsidR="00231E91" w:rsidRDefault="004907B9">
    <w:pPr>
      <w:pBdr>
        <w:top w:val="nil"/>
        <w:left w:val="nil"/>
        <w:bottom w:val="nil"/>
        <w:right w:val="nil"/>
        <w:between w:val="nil"/>
      </w:pBdr>
      <w:tabs>
        <w:tab w:val="center" w:pos="4252"/>
        <w:tab w:val="right" w:pos="8504"/>
        <w:tab w:val="left" w:pos="2595"/>
      </w:tabs>
      <w:rPr>
        <w:color w:val="000000"/>
      </w:rPr>
    </w:pPr>
    <w:r>
      <w:rPr>
        <w:color w:val="000000"/>
      </w:rPr>
      <w:tab/>
    </w:r>
    <w:r>
      <w:rPr>
        <w:noProof/>
      </w:rPr>
      <w:drawing>
        <wp:anchor distT="0" distB="0" distL="0" distR="0" simplePos="0" relativeHeight="251658240" behindDoc="1" locked="0" layoutInCell="1" hidden="0" allowOverlap="1" wp14:anchorId="0B49CAF6" wp14:editId="28FC02CE">
          <wp:simplePos x="0" y="0"/>
          <wp:positionH relativeFrom="column">
            <wp:posOffset>-1080134</wp:posOffset>
          </wp:positionH>
          <wp:positionV relativeFrom="paragraph">
            <wp:posOffset>-601979</wp:posOffset>
          </wp:positionV>
          <wp:extent cx="7629525" cy="11181080"/>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29525" cy="1118108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24FA" w14:textId="77777777" w:rsidR="00231E91" w:rsidRDefault="00231E91">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91"/>
    <w:rsid w:val="00001F5D"/>
    <w:rsid w:val="0000531B"/>
    <w:rsid w:val="00032D50"/>
    <w:rsid w:val="00080EE6"/>
    <w:rsid w:val="000954E3"/>
    <w:rsid w:val="000F3D72"/>
    <w:rsid w:val="00130C2A"/>
    <w:rsid w:val="001838B9"/>
    <w:rsid w:val="001955E0"/>
    <w:rsid w:val="00195B89"/>
    <w:rsid w:val="001A09DE"/>
    <w:rsid w:val="002054EA"/>
    <w:rsid w:val="00231E91"/>
    <w:rsid w:val="002653F8"/>
    <w:rsid w:val="002B5D1E"/>
    <w:rsid w:val="00343E58"/>
    <w:rsid w:val="003558F3"/>
    <w:rsid w:val="00367B6C"/>
    <w:rsid w:val="0037553E"/>
    <w:rsid w:val="003815E0"/>
    <w:rsid w:val="003B2BA3"/>
    <w:rsid w:val="003B7A49"/>
    <w:rsid w:val="0045636D"/>
    <w:rsid w:val="004907B9"/>
    <w:rsid w:val="00495B1E"/>
    <w:rsid w:val="004B1F01"/>
    <w:rsid w:val="004D7416"/>
    <w:rsid w:val="004F6E68"/>
    <w:rsid w:val="00505F2D"/>
    <w:rsid w:val="00513F9E"/>
    <w:rsid w:val="005230A0"/>
    <w:rsid w:val="0055575A"/>
    <w:rsid w:val="005A3C11"/>
    <w:rsid w:val="005C17B3"/>
    <w:rsid w:val="005C7AB0"/>
    <w:rsid w:val="005D33A5"/>
    <w:rsid w:val="005D649B"/>
    <w:rsid w:val="005F48FE"/>
    <w:rsid w:val="00603532"/>
    <w:rsid w:val="0065627C"/>
    <w:rsid w:val="0066793D"/>
    <w:rsid w:val="00695992"/>
    <w:rsid w:val="00736D21"/>
    <w:rsid w:val="0073775C"/>
    <w:rsid w:val="00742EEE"/>
    <w:rsid w:val="007A3A26"/>
    <w:rsid w:val="007D407C"/>
    <w:rsid w:val="007E0D79"/>
    <w:rsid w:val="00813450"/>
    <w:rsid w:val="00817FFA"/>
    <w:rsid w:val="008576A0"/>
    <w:rsid w:val="0085778C"/>
    <w:rsid w:val="0086696E"/>
    <w:rsid w:val="009348D8"/>
    <w:rsid w:val="00936B00"/>
    <w:rsid w:val="00952184"/>
    <w:rsid w:val="00957719"/>
    <w:rsid w:val="00960368"/>
    <w:rsid w:val="00984B6F"/>
    <w:rsid w:val="009B5A88"/>
    <w:rsid w:val="009C7C7B"/>
    <w:rsid w:val="00A11343"/>
    <w:rsid w:val="00A164CE"/>
    <w:rsid w:val="00A46A14"/>
    <w:rsid w:val="00A476E8"/>
    <w:rsid w:val="00A84D0D"/>
    <w:rsid w:val="00AA2035"/>
    <w:rsid w:val="00AA5951"/>
    <w:rsid w:val="00AC3886"/>
    <w:rsid w:val="00AC5455"/>
    <w:rsid w:val="00B8496F"/>
    <w:rsid w:val="00B93CAE"/>
    <w:rsid w:val="00BB507F"/>
    <w:rsid w:val="00BC57B8"/>
    <w:rsid w:val="00C03332"/>
    <w:rsid w:val="00C472E6"/>
    <w:rsid w:val="00C55851"/>
    <w:rsid w:val="00C601D8"/>
    <w:rsid w:val="00C61A4E"/>
    <w:rsid w:val="00C7360B"/>
    <w:rsid w:val="00C86E38"/>
    <w:rsid w:val="00C92D1B"/>
    <w:rsid w:val="00C9712B"/>
    <w:rsid w:val="00D00FDC"/>
    <w:rsid w:val="00D14A2F"/>
    <w:rsid w:val="00D30FEB"/>
    <w:rsid w:val="00D319A7"/>
    <w:rsid w:val="00DC30AE"/>
    <w:rsid w:val="00DE25FA"/>
    <w:rsid w:val="00E075EF"/>
    <w:rsid w:val="00E12A30"/>
    <w:rsid w:val="00E32AD3"/>
    <w:rsid w:val="00E37EEF"/>
    <w:rsid w:val="00E404BC"/>
    <w:rsid w:val="00E50C79"/>
    <w:rsid w:val="00E72CE0"/>
    <w:rsid w:val="00E87D86"/>
    <w:rsid w:val="00E904BB"/>
    <w:rsid w:val="00E97147"/>
    <w:rsid w:val="00EF0828"/>
    <w:rsid w:val="00F24937"/>
    <w:rsid w:val="00F37708"/>
    <w:rsid w:val="00F651B2"/>
    <w:rsid w:val="00F72B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95E9C6"/>
  <w15:docId w15:val="{9F248ECC-8489-4B14-8BC6-CEE1DE23C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rsid w:val="00A11343"/>
    <w:rPr>
      <w:rFonts w:ascii="Calibri" w:eastAsia="Calibri" w:hAnsi="Calibri"/>
      <w:sz w:val="20"/>
      <w:szCs w:val="20"/>
      <w:lang w:eastAsia="en-US"/>
    </w:rPr>
  </w:style>
  <w:style w:type="character" w:customStyle="1" w:styleId="TextodenotaderodapChar">
    <w:name w:val="Texto de nota de rodapé Char"/>
    <w:basedOn w:val="Fontepargpadro"/>
    <w:link w:val="Textodenotaderodap"/>
    <w:uiPriority w:val="99"/>
    <w:semiHidden/>
    <w:rsid w:val="00A11343"/>
    <w:rPr>
      <w:rFonts w:ascii="Calibri" w:eastAsia="Calibri" w:hAnsi="Calibri"/>
      <w:sz w:val="20"/>
      <w:szCs w:val="20"/>
      <w:lang w:eastAsia="en-US"/>
    </w:rPr>
  </w:style>
  <w:style w:type="character" w:styleId="Refdenotaderodap">
    <w:name w:val="footnote reference"/>
    <w:basedOn w:val="Fontepargpadro"/>
    <w:uiPriority w:val="99"/>
    <w:semiHidden/>
    <w:unhideWhenUsed/>
    <w:rsid w:val="00A113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60278-156A-4DE6-B54E-AB40B11AE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2415</Words>
  <Characters>13045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CABANHA CBM</dc:creator>
  <cp:lastModifiedBy>Stella</cp:lastModifiedBy>
  <cp:revision>10</cp:revision>
  <dcterms:created xsi:type="dcterms:W3CDTF">2024-09-06T17:28:00Z</dcterms:created>
  <dcterms:modified xsi:type="dcterms:W3CDTF">2024-09-10T00:37:00Z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230172fd55a07de5f706eef8482b0b681de4e828a18131b5c7466d0b9964734c</vt:lpwstr>
  </property>
</Properties>
</file>