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0BC07" w14:textId="023FCC24" w:rsidR="008C38B2" w:rsidRDefault="008C38B2">
      <w:pPr>
        <w:spacing w:after="0" w:line="240" w:lineRule="auto"/>
        <w:jc w:val="center"/>
        <w:rPr>
          <w:rFonts w:ascii="Times New Roman" w:eastAsia="Times New Roman" w:hAnsi="Times New Roman" w:cs="Times New Roman"/>
          <w:b/>
          <w:bCs/>
          <w:sz w:val="24"/>
          <w:szCs w:val="24"/>
        </w:rPr>
      </w:pPr>
      <w:r w:rsidRPr="008C38B2">
        <w:rPr>
          <w:rFonts w:ascii="Times New Roman" w:eastAsia="Times New Roman" w:hAnsi="Times New Roman" w:cs="Times New Roman"/>
          <w:b/>
          <w:bCs/>
          <w:sz w:val="24"/>
          <w:szCs w:val="24"/>
        </w:rPr>
        <w:t xml:space="preserve">ANÁLISE DA PRODUÇÃO, COMERCIALIZAÇÃO E </w:t>
      </w:r>
      <w:r w:rsidR="0075505F">
        <w:rPr>
          <w:rFonts w:ascii="Times New Roman" w:eastAsia="Times New Roman" w:hAnsi="Times New Roman" w:cs="Times New Roman"/>
          <w:b/>
          <w:bCs/>
          <w:sz w:val="24"/>
          <w:szCs w:val="24"/>
        </w:rPr>
        <w:t xml:space="preserve">SAZONALIDADE </w:t>
      </w:r>
      <w:r w:rsidRPr="008C38B2">
        <w:rPr>
          <w:rFonts w:ascii="Times New Roman" w:eastAsia="Times New Roman" w:hAnsi="Times New Roman" w:cs="Times New Roman"/>
          <w:b/>
          <w:bCs/>
          <w:sz w:val="24"/>
          <w:szCs w:val="24"/>
        </w:rPr>
        <w:t>DE</w:t>
      </w:r>
      <w:r w:rsidR="0075505F">
        <w:rPr>
          <w:rFonts w:ascii="Times New Roman" w:eastAsia="Times New Roman" w:hAnsi="Times New Roman" w:cs="Times New Roman"/>
          <w:b/>
          <w:bCs/>
          <w:sz w:val="24"/>
          <w:szCs w:val="24"/>
        </w:rPr>
        <w:t xml:space="preserve"> VOLUME E</w:t>
      </w:r>
      <w:r w:rsidRPr="008C38B2">
        <w:rPr>
          <w:rFonts w:ascii="Times New Roman" w:eastAsia="Times New Roman" w:hAnsi="Times New Roman" w:cs="Times New Roman"/>
          <w:b/>
          <w:bCs/>
          <w:sz w:val="24"/>
          <w:szCs w:val="24"/>
        </w:rPr>
        <w:t xml:space="preserve"> PREÇO DE HORTIFRÚTIS NO BRASIL: A PARTICIPAÇÃO DE SANTA CATARINA EM FRUTAS E FRUTOS</w:t>
      </w:r>
    </w:p>
    <w:p w14:paraId="6205AC72" w14:textId="77777777" w:rsidR="000C69C2" w:rsidRDefault="000C69C2">
      <w:pPr>
        <w:spacing w:after="0" w:line="480" w:lineRule="auto"/>
        <w:jc w:val="center"/>
        <w:rPr>
          <w:rFonts w:ascii="Times New Roman" w:eastAsia="Times New Roman" w:hAnsi="Times New Roman" w:cs="Times New Roman"/>
          <w:b/>
          <w:sz w:val="24"/>
          <w:szCs w:val="24"/>
        </w:rPr>
      </w:pPr>
    </w:p>
    <w:p w14:paraId="0EB572F9" w14:textId="79AA978C" w:rsidR="000C69C2" w:rsidRDefault="004E759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Júlia de Oliveira Silva</w:t>
      </w:r>
      <w:r w:rsidR="00E75D6C">
        <w:rPr>
          <w:rFonts w:ascii="Times New Roman" w:eastAsia="Times New Roman" w:hAnsi="Times New Roman" w:cs="Times New Roman"/>
          <w:color w:val="000000"/>
          <w:sz w:val="24"/>
          <w:szCs w:val="24"/>
        </w:rPr>
        <w:t xml:space="preserve">; </w:t>
      </w:r>
      <w:r w:rsidR="001D186C">
        <w:rPr>
          <w:rFonts w:ascii="Times New Roman" w:eastAsia="Times New Roman" w:hAnsi="Times New Roman" w:cs="Times New Roman"/>
          <w:color w:val="000000"/>
          <w:sz w:val="24"/>
          <w:szCs w:val="24"/>
        </w:rPr>
        <w:t>CSE/</w:t>
      </w:r>
      <w:r>
        <w:rPr>
          <w:rFonts w:ascii="Times New Roman" w:eastAsia="Times New Roman" w:hAnsi="Times New Roman" w:cs="Times New Roman"/>
          <w:color w:val="000000"/>
          <w:sz w:val="24"/>
          <w:szCs w:val="24"/>
        </w:rPr>
        <w:t>UFSC</w:t>
      </w:r>
      <w:r w:rsidR="0037181A">
        <w:rPr>
          <w:rFonts w:ascii="Times New Roman" w:eastAsia="Times New Roman" w:hAnsi="Times New Roman" w:cs="Times New Roman"/>
          <w:color w:val="000000"/>
          <w:sz w:val="24"/>
          <w:szCs w:val="24"/>
        </w:rPr>
        <w:t xml:space="preserve">; </w:t>
      </w:r>
      <w:r w:rsidR="00176A90">
        <w:rPr>
          <w:rFonts w:ascii="Times New Roman" w:eastAsia="Times New Roman" w:hAnsi="Times New Roman" w:cs="Times New Roman"/>
          <w:color w:val="000000"/>
          <w:sz w:val="24"/>
          <w:szCs w:val="24"/>
        </w:rPr>
        <w:t>J.O</w:t>
      </w:r>
      <w:r w:rsidR="00C85A89">
        <w:rPr>
          <w:rFonts w:ascii="Times New Roman" w:eastAsia="Times New Roman" w:hAnsi="Times New Roman" w:cs="Times New Roman"/>
          <w:color w:val="000000"/>
          <w:sz w:val="24"/>
          <w:szCs w:val="24"/>
        </w:rPr>
        <w:t>liveira.Silv@hotmail.com</w:t>
      </w:r>
    </w:p>
    <w:p w14:paraId="504BDA1C" w14:textId="46C22085" w:rsidR="005712A4" w:rsidRDefault="00111207" w:rsidP="005712A4">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Lilian de Pellegrini Elias</w:t>
      </w:r>
      <w:r w:rsidR="00E75D6C">
        <w:rPr>
          <w:rFonts w:ascii="Times New Roman" w:eastAsia="Times New Roman" w:hAnsi="Times New Roman" w:cs="Times New Roman"/>
          <w:color w:val="000000"/>
          <w:sz w:val="24"/>
          <w:szCs w:val="24"/>
        </w:rPr>
        <w:t xml:space="preserve">; </w:t>
      </w:r>
      <w:r w:rsidR="001B4F71">
        <w:rPr>
          <w:rFonts w:ascii="Times New Roman" w:eastAsia="Times New Roman" w:hAnsi="Times New Roman" w:cs="Times New Roman"/>
          <w:color w:val="000000"/>
          <w:sz w:val="24"/>
          <w:szCs w:val="24"/>
        </w:rPr>
        <w:t>CEPA-</w:t>
      </w:r>
      <w:r w:rsidR="00D66403">
        <w:rPr>
          <w:rFonts w:ascii="Times New Roman" w:eastAsia="Times New Roman" w:hAnsi="Times New Roman" w:cs="Times New Roman"/>
          <w:color w:val="000000"/>
          <w:sz w:val="24"/>
          <w:szCs w:val="24"/>
        </w:rPr>
        <w:t>EPAGRI</w:t>
      </w:r>
      <w:r w:rsidR="0037181A">
        <w:rPr>
          <w:rFonts w:ascii="Times New Roman" w:eastAsia="Times New Roman" w:hAnsi="Times New Roman" w:cs="Times New Roman"/>
          <w:color w:val="000000"/>
          <w:sz w:val="24"/>
          <w:szCs w:val="24"/>
        </w:rPr>
        <w:t xml:space="preserve">; </w:t>
      </w:r>
      <w:r w:rsidR="005712A4">
        <w:rPr>
          <w:rFonts w:ascii="Times New Roman" w:eastAsia="Times New Roman" w:hAnsi="Times New Roman" w:cs="Times New Roman"/>
          <w:color w:val="000000"/>
          <w:sz w:val="24"/>
          <w:szCs w:val="24"/>
        </w:rPr>
        <w:t>lilianelias</w:t>
      </w:r>
      <w:r w:rsidR="005712A4" w:rsidRPr="00111207">
        <w:rPr>
          <w:rFonts w:ascii="Times New Roman" w:eastAsia="Times New Roman" w:hAnsi="Times New Roman" w:cs="Times New Roman"/>
          <w:color w:val="000000"/>
          <w:sz w:val="24"/>
          <w:szCs w:val="24"/>
        </w:rPr>
        <w:t>@epagri.sc.gov.br</w:t>
      </w:r>
    </w:p>
    <w:p w14:paraId="5744AF7E" w14:textId="20667771" w:rsidR="001B4F71" w:rsidRDefault="001B4F71" w:rsidP="001B4F71">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2F042F">
        <w:rPr>
          <w:rFonts w:ascii="Times New Roman" w:eastAsia="Times New Roman" w:hAnsi="Times New Roman" w:cs="Times New Roman"/>
          <w:color w:val="000000"/>
          <w:sz w:val="24"/>
          <w:szCs w:val="24"/>
        </w:rPr>
        <w:t>Rogério Goulart Jr.</w:t>
      </w:r>
      <w:r>
        <w:rPr>
          <w:rFonts w:ascii="Times New Roman" w:eastAsia="Times New Roman" w:hAnsi="Times New Roman" w:cs="Times New Roman"/>
          <w:color w:val="000000"/>
          <w:sz w:val="24"/>
          <w:szCs w:val="24"/>
        </w:rPr>
        <w:t>; CEPA-EPAGRI</w:t>
      </w:r>
      <w:r w:rsidR="0037181A">
        <w:rPr>
          <w:rFonts w:ascii="Times New Roman" w:eastAsia="Times New Roman" w:hAnsi="Times New Roman" w:cs="Times New Roman"/>
          <w:color w:val="000000"/>
          <w:sz w:val="24"/>
          <w:szCs w:val="24"/>
        </w:rPr>
        <w:t xml:space="preserve">; </w:t>
      </w:r>
      <w:r w:rsidRPr="00111207">
        <w:rPr>
          <w:rFonts w:ascii="Times New Roman" w:eastAsia="Times New Roman" w:hAnsi="Times New Roman" w:cs="Times New Roman"/>
          <w:color w:val="000000"/>
          <w:sz w:val="24"/>
          <w:szCs w:val="24"/>
        </w:rPr>
        <w:t>rogeriojunior@epagri.sc.gov.br</w:t>
      </w:r>
    </w:p>
    <w:p w14:paraId="7B485AA5" w14:textId="2CB2BED8" w:rsidR="000C69C2" w:rsidRDefault="000C69C2">
      <w:pPr>
        <w:pBdr>
          <w:top w:val="nil"/>
          <w:left w:val="nil"/>
          <w:bottom w:val="nil"/>
          <w:right w:val="nil"/>
          <w:between w:val="nil"/>
        </w:pBdr>
        <w:spacing w:after="0" w:line="240" w:lineRule="auto"/>
        <w:jc w:val="right"/>
        <w:rPr>
          <w:rFonts w:ascii="Times New Roman" w:eastAsia="Times New Roman" w:hAnsi="Times New Roman" w:cs="Times New Roman"/>
          <w:color w:val="0563C1"/>
          <w:sz w:val="24"/>
          <w:szCs w:val="24"/>
          <w:u w:val="single"/>
        </w:rPr>
      </w:pPr>
    </w:p>
    <w:p w14:paraId="2084C9A0" w14:textId="77777777" w:rsidR="001D186C" w:rsidRDefault="001D186C">
      <w:pPr>
        <w:pBdr>
          <w:top w:val="nil"/>
          <w:left w:val="nil"/>
          <w:bottom w:val="nil"/>
          <w:right w:val="nil"/>
          <w:between w:val="nil"/>
        </w:pBdr>
        <w:spacing w:after="0" w:line="240" w:lineRule="auto"/>
        <w:jc w:val="right"/>
        <w:rPr>
          <w:rFonts w:ascii="Times New Roman" w:eastAsia="Times New Roman" w:hAnsi="Times New Roman" w:cs="Times New Roman"/>
          <w:color w:val="0563C1"/>
          <w:sz w:val="24"/>
          <w:szCs w:val="24"/>
          <w:u w:val="single"/>
        </w:rPr>
      </w:pPr>
    </w:p>
    <w:p w14:paraId="3E69C76A" w14:textId="28A88B3E" w:rsidR="000C69C2" w:rsidRDefault="00E75D6C" w:rsidP="001D18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Área Temática</w:t>
      </w:r>
      <w:r w:rsidR="001D186C">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 xml:space="preserve">: </w:t>
      </w:r>
      <w:r w:rsidR="001D186C" w:rsidRPr="001D186C">
        <w:rPr>
          <w:rFonts w:ascii="Times New Roman" w:eastAsia="Times New Roman" w:hAnsi="Times New Roman" w:cs="Times New Roman"/>
          <w:sz w:val="24"/>
          <w:szCs w:val="24"/>
        </w:rPr>
        <w:t>Desenvolvimento rural e agricultura familiar</w:t>
      </w:r>
    </w:p>
    <w:p w14:paraId="7B140B8A" w14:textId="77777777" w:rsidR="000C69C2" w:rsidRDefault="000C69C2">
      <w:pPr>
        <w:spacing w:after="0" w:line="480" w:lineRule="auto"/>
        <w:jc w:val="both"/>
        <w:rPr>
          <w:rFonts w:ascii="Times New Roman" w:eastAsia="Times New Roman" w:hAnsi="Times New Roman" w:cs="Times New Roman"/>
          <w:b/>
          <w:sz w:val="24"/>
          <w:szCs w:val="24"/>
        </w:rPr>
      </w:pPr>
    </w:p>
    <w:p w14:paraId="4B0BABC3" w14:textId="77777777" w:rsidR="000C69C2" w:rsidRDefault="00E75D6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19C930C8" w14:textId="77777777" w:rsidR="000C69C2" w:rsidRDefault="000C69C2">
      <w:pPr>
        <w:spacing w:after="0" w:line="480" w:lineRule="auto"/>
        <w:jc w:val="center"/>
        <w:rPr>
          <w:rFonts w:ascii="Times New Roman" w:eastAsia="Times New Roman" w:hAnsi="Times New Roman" w:cs="Times New Roman"/>
          <w:b/>
          <w:sz w:val="24"/>
          <w:szCs w:val="24"/>
        </w:rPr>
      </w:pPr>
    </w:p>
    <w:p w14:paraId="74AD8F26" w14:textId="56879F6D" w:rsidR="00800DCE" w:rsidRDefault="00800DCE" w:rsidP="00800DCE">
      <w:pPr>
        <w:jc w:val="both"/>
        <w:rPr>
          <w:rFonts w:ascii="Times New Roman" w:eastAsia="Times New Roman" w:hAnsi="Times New Roman" w:cs="Times New Roman"/>
          <w:sz w:val="24"/>
          <w:szCs w:val="24"/>
        </w:rPr>
      </w:pPr>
      <w:bookmarkStart w:id="0" w:name="_Hlk192693660"/>
      <w:r w:rsidRPr="00800DCE">
        <w:rPr>
          <w:rFonts w:ascii="Times New Roman" w:eastAsia="Times New Roman" w:hAnsi="Times New Roman" w:cs="Times New Roman"/>
          <w:sz w:val="24"/>
          <w:szCs w:val="24"/>
        </w:rPr>
        <w:t xml:space="preserve">Este estudo </w:t>
      </w:r>
      <w:r>
        <w:rPr>
          <w:rFonts w:ascii="Times New Roman" w:eastAsia="Times New Roman" w:hAnsi="Times New Roman" w:cs="Times New Roman"/>
          <w:sz w:val="24"/>
          <w:szCs w:val="24"/>
        </w:rPr>
        <w:t>investiga</w:t>
      </w:r>
      <w:r w:rsidRPr="00800DCE">
        <w:rPr>
          <w:rFonts w:ascii="Times New Roman" w:eastAsia="Times New Roman" w:hAnsi="Times New Roman" w:cs="Times New Roman"/>
          <w:sz w:val="24"/>
          <w:szCs w:val="24"/>
        </w:rPr>
        <w:t xml:space="preserve"> a comercialização e sazonalidade de hortifrútis no Brasil, com foco especial na participação de Santa Catarina no mercado de frutas e frutos</w:t>
      </w:r>
      <w:r>
        <w:rPr>
          <w:rFonts w:ascii="Times New Roman" w:eastAsia="Times New Roman" w:hAnsi="Times New Roman" w:cs="Times New Roman"/>
          <w:sz w:val="24"/>
          <w:szCs w:val="24"/>
        </w:rPr>
        <w:t xml:space="preserve"> </w:t>
      </w:r>
      <w:r w:rsidRPr="009F1CAE">
        <w:rPr>
          <w:rFonts w:ascii="Times New Roman" w:eastAsia="Times New Roman" w:hAnsi="Times New Roman" w:cs="Times New Roman"/>
          <w:sz w:val="24"/>
          <w:szCs w:val="24"/>
        </w:rPr>
        <w:t>nas Centrais de Abastecimento (</w:t>
      </w:r>
      <w:proofErr w:type="spellStart"/>
      <w:r w:rsidRPr="009F1CAE">
        <w:rPr>
          <w:rFonts w:ascii="Times New Roman" w:eastAsia="Times New Roman" w:hAnsi="Times New Roman" w:cs="Times New Roman"/>
          <w:sz w:val="24"/>
          <w:szCs w:val="24"/>
        </w:rPr>
        <w:t>CEASAs</w:t>
      </w:r>
      <w:proofErr w:type="spellEnd"/>
      <w:r w:rsidRPr="009F1CAE">
        <w:rPr>
          <w:rFonts w:ascii="Times New Roman" w:eastAsia="Times New Roman" w:hAnsi="Times New Roman" w:cs="Times New Roman"/>
          <w:sz w:val="24"/>
          <w:szCs w:val="24"/>
        </w:rPr>
        <w:t>)</w:t>
      </w:r>
      <w:r w:rsidRPr="00800DCE">
        <w:rPr>
          <w:rFonts w:ascii="Times New Roman" w:eastAsia="Times New Roman" w:hAnsi="Times New Roman" w:cs="Times New Roman"/>
          <w:sz w:val="24"/>
          <w:szCs w:val="24"/>
        </w:rPr>
        <w:t>. Utilizando dados do Programa Brasileiro de Modernização do Mercado Hortigranjeiro (</w:t>
      </w:r>
      <w:proofErr w:type="spellStart"/>
      <w:r w:rsidRPr="00800DCE">
        <w:rPr>
          <w:rFonts w:ascii="Times New Roman" w:eastAsia="Times New Roman" w:hAnsi="Times New Roman" w:cs="Times New Roman"/>
          <w:sz w:val="24"/>
          <w:szCs w:val="24"/>
        </w:rPr>
        <w:t>Prohort</w:t>
      </w:r>
      <w:proofErr w:type="spellEnd"/>
      <w:r w:rsidRPr="00800DCE">
        <w:rPr>
          <w:rFonts w:ascii="Times New Roman" w:eastAsia="Times New Roman" w:hAnsi="Times New Roman" w:cs="Times New Roman"/>
          <w:sz w:val="24"/>
          <w:szCs w:val="24"/>
        </w:rPr>
        <w:t>) e do Censo Agropecuário de 2017, a pesquisa examina as variações sazonais e regionais na comercialização desses produtos, bem como as flutuações de preços ao longo do ano. O objetivo é compreender os fatores que impactam a dinâmica de preços e a logística de abastecimento, visando garantir uma oferta estável e eficiente de alimentos frescos para a população.</w:t>
      </w:r>
      <w:r w:rsidRPr="00800DCE">
        <w:rPr>
          <w:rFonts w:ascii="Times New Roman" w:eastAsia="Times New Roman" w:hAnsi="Times New Roman" w:cs="Times New Roman"/>
          <w:sz w:val="24"/>
          <w:szCs w:val="24"/>
        </w:rPr>
        <w:t xml:space="preserve"> </w:t>
      </w:r>
      <w:r w:rsidRPr="00800DCE">
        <w:rPr>
          <w:rFonts w:ascii="Times New Roman" w:eastAsia="Times New Roman" w:hAnsi="Times New Roman" w:cs="Times New Roman"/>
          <w:sz w:val="24"/>
          <w:szCs w:val="24"/>
        </w:rPr>
        <w:t>Santa Catarina destaca-se como um dos principais produtores de frutas e frutos no Brasil, com ênfase na maçã, banana, abóbora e tomate. O estado contribui significativamente para a produção nacional, com destaque para municípios como São Joaquim e Fraiburgo na produção de maçãs, e Corupá e Luiz Alves na produção de bananas. A análise dos dados revela que a comercialização de frutas e frutos sofre variações sazonais, com picos de preços no inverno, quando a oferta diminui. A pesquisa também identifica desafios logísticos e climáticos que afetam a produção e a distribuição, especialmente após eventos climáticos extremos e a pandemia de COVID-19.</w:t>
      </w:r>
      <w:r>
        <w:rPr>
          <w:rFonts w:ascii="Times New Roman" w:eastAsia="Times New Roman" w:hAnsi="Times New Roman" w:cs="Times New Roman"/>
          <w:sz w:val="24"/>
          <w:szCs w:val="24"/>
        </w:rPr>
        <w:t xml:space="preserve"> </w:t>
      </w:r>
      <w:r w:rsidRPr="00800DCE">
        <w:rPr>
          <w:rFonts w:ascii="Times New Roman" w:eastAsia="Times New Roman" w:hAnsi="Times New Roman" w:cs="Times New Roman"/>
          <w:sz w:val="24"/>
          <w:szCs w:val="24"/>
        </w:rPr>
        <w:t>Conclui-se que políticas públicas e estratégias de planejamento são essenciais para mitigar os impactos das variações sazonais e climáticas, garantindo a segurança alimentar e nutricional da população. A inclusão de produtos orgânicos nas centrais de abastecimento é sugerida como uma forma de atender à crescente demanda por alimentos saudáveis e sustentáveis, beneficiando tanto consumidores quanto produtores.</w:t>
      </w:r>
    </w:p>
    <w:bookmarkEnd w:id="0"/>
    <w:p w14:paraId="78C16190" w14:textId="3DD3BD88" w:rsidR="000C69C2" w:rsidRDefault="00E75D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sidR="004009F4" w:rsidRPr="004009F4">
        <w:rPr>
          <w:rFonts w:ascii="Times New Roman" w:eastAsia="Times New Roman" w:hAnsi="Times New Roman" w:cs="Times New Roman"/>
          <w:b/>
          <w:bCs/>
          <w:sz w:val="24"/>
          <w:szCs w:val="24"/>
        </w:rPr>
        <w:t> </w:t>
      </w:r>
      <w:r w:rsidR="00AC1C2D" w:rsidRPr="0075505F">
        <w:rPr>
          <w:rFonts w:ascii="Times New Roman" w:eastAsia="Times New Roman" w:hAnsi="Times New Roman" w:cs="Times New Roman"/>
          <w:bCs/>
          <w:sz w:val="24"/>
          <w:szCs w:val="24"/>
        </w:rPr>
        <w:t xml:space="preserve">Economia agrícola, </w:t>
      </w:r>
      <w:r w:rsidR="004009F4" w:rsidRPr="0075505F">
        <w:rPr>
          <w:rFonts w:ascii="Times New Roman" w:eastAsia="Times New Roman" w:hAnsi="Times New Roman" w:cs="Times New Roman"/>
          <w:sz w:val="24"/>
          <w:szCs w:val="24"/>
        </w:rPr>
        <w:t xml:space="preserve">Abastecimento; Mercados atacadistas; </w:t>
      </w:r>
      <w:r w:rsidR="00AC1C2D" w:rsidRPr="0075505F">
        <w:rPr>
          <w:rFonts w:ascii="Times New Roman" w:eastAsia="Times New Roman" w:hAnsi="Times New Roman" w:cs="Times New Roman"/>
          <w:sz w:val="24"/>
          <w:szCs w:val="24"/>
        </w:rPr>
        <w:t>Hortifrútis</w:t>
      </w:r>
    </w:p>
    <w:p w14:paraId="2DC8C753" w14:textId="77777777" w:rsidR="000C69C2" w:rsidRDefault="000C69C2">
      <w:pPr>
        <w:spacing w:after="0" w:line="480" w:lineRule="auto"/>
        <w:jc w:val="both"/>
        <w:rPr>
          <w:rFonts w:ascii="Times New Roman" w:eastAsia="Times New Roman" w:hAnsi="Times New Roman" w:cs="Times New Roman"/>
          <w:b/>
          <w:sz w:val="24"/>
          <w:szCs w:val="24"/>
        </w:rPr>
      </w:pPr>
    </w:p>
    <w:p w14:paraId="0A93984B" w14:textId="77777777" w:rsidR="000C69C2" w:rsidRDefault="00E75D6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5B462041" w14:textId="77777777" w:rsidR="000C69C2" w:rsidRDefault="000C69C2">
      <w:pPr>
        <w:spacing w:after="0" w:line="360" w:lineRule="auto"/>
        <w:jc w:val="both"/>
        <w:rPr>
          <w:rFonts w:ascii="Times New Roman" w:eastAsia="Times New Roman" w:hAnsi="Times New Roman" w:cs="Times New Roman"/>
          <w:sz w:val="24"/>
          <w:szCs w:val="24"/>
        </w:rPr>
      </w:pPr>
    </w:p>
    <w:p w14:paraId="2120D7D7" w14:textId="77777777" w:rsidR="00C848D2" w:rsidRPr="00C848D2" w:rsidRDefault="00C848D2" w:rsidP="001D186C">
      <w:pPr>
        <w:spacing w:after="0" w:line="360" w:lineRule="auto"/>
        <w:ind w:firstLine="709"/>
        <w:jc w:val="both"/>
        <w:rPr>
          <w:rFonts w:ascii="Times New Roman" w:eastAsia="Times New Roman" w:hAnsi="Times New Roman" w:cs="Times New Roman"/>
          <w:sz w:val="24"/>
          <w:szCs w:val="24"/>
        </w:rPr>
      </w:pPr>
      <w:r w:rsidRPr="00C848D2">
        <w:rPr>
          <w:rFonts w:ascii="Times New Roman" w:eastAsia="Times New Roman" w:hAnsi="Times New Roman" w:cs="Times New Roman"/>
          <w:sz w:val="24"/>
          <w:szCs w:val="24"/>
        </w:rPr>
        <w:t xml:space="preserve">A segurança alimentar e nutricional é um tema prioritário no Brasil, com o Governo Federal implementando políticas para ampliar o acesso a alimentos, especialmente os hortifrútis. Esses alimentos são essenciais para uma dieta equilibrada e saudável, conforme destacado no </w:t>
      </w:r>
      <w:r w:rsidRPr="001B4F71">
        <w:rPr>
          <w:rFonts w:ascii="Times New Roman" w:eastAsia="Times New Roman" w:hAnsi="Times New Roman" w:cs="Times New Roman"/>
          <w:iCs/>
          <w:sz w:val="24"/>
          <w:szCs w:val="24"/>
        </w:rPr>
        <w:t>Guia Alimentar para a População Brasileira</w:t>
      </w:r>
      <w:r w:rsidRPr="00C848D2">
        <w:rPr>
          <w:rFonts w:ascii="Times New Roman" w:eastAsia="Times New Roman" w:hAnsi="Times New Roman" w:cs="Times New Roman"/>
          <w:sz w:val="24"/>
          <w:szCs w:val="24"/>
        </w:rPr>
        <w:t xml:space="preserve"> (BRASIL, </w:t>
      </w:r>
      <w:r w:rsidRPr="00C848D2">
        <w:rPr>
          <w:rFonts w:ascii="Times New Roman" w:eastAsia="Times New Roman" w:hAnsi="Times New Roman" w:cs="Times New Roman"/>
          <w:sz w:val="24"/>
          <w:szCs w:val="24"/>
        </w:rPr>
        <w:lastRenderedPageBreak/>
        <w:t>2014). O guia recomenda o consumo diário de frutas in natura, preferindo aquelas da estação e de origem local. Essa prática beneficia a saúde da população, promove a sustentabilidade e apoia a agricultura familiar, fortalecendo os pequenos produtores.</w:t>
      </w:r>
    </w:p>
    <w:p w14:paraId="040511AD" w14:textId="77777777" w:rsidR="00C848D2" w:rsidRPr="00C848D2" w:rsidRDefault="00C848D2" w:rsidP="00C848D2">
      <w:pPr>
        <w:spacing w:after="0" w:line="360" w:lineRule="auto"/>
        <w:ind w:firstLine="708"/>
        <w:jc w:val="both"/>
        <w:rPr>
          <w:rFonts w:ascii="Times New Roman" w:eastAsia="Times New Roman" w:hAnsi="Times New Roman" w:cs="Times New Roman"/>
          <w:sz w:val="24"/>
          <w:szCs w:val="24"/>
        </w:rPr>
      </w:pPr>
      <w:r w:rsidRPr="00C848D2">
        <w:rPr>
          <w:rFonts w:ascii="Times New Roman" w:eastAsia="Times New Roman" w:hAnsi="Times New Roman" w:cs="Times New Roman"/>
          <w:sz w:val="24"/>
          <w:szCs w:val="24"/>
        </w:rPr>
        <w:t>O Brasil se destaca como um dos maiores produtores de frutas do mundo, com uma produção significativa que atende tanto ao mercado interno quanto às exportações, conforme dados da Companhia Nacional de Abastecimento (Conab, 2024). A maior parte dessa produção é destinada ao consumo doméstico, evidenciando a relevância do mercado interno para o setor. No entanto, a distribuição desses alimentos enfrenta obstáculos, especialmente em regiões mais afastadas dos principais polos produtores, o que pode limitar o acesso a frutas frescas e de qualidade em determinadas áreas do país.</w:t>
      </w:r>
    </w:p>
    <w:p w14:paraId="5183C0A9" w14:textId="77777777" w:rsidR="00C848D2" w:rsidRPr="00C848D2" w:rsidRDefault="00C848D2" w:rsidP="00C848D2">
      <w:pPr>
        <w:spacing w:after="0" w:line="360" w:lineRule="auto"/>
        <w:ind w:firstLine="708"/>
        <w:jc w:val="both"/>
        <w:rPr>
          <w:rFonts w:ascii="Times New Roman" w:eastAsia="Times New Roman" w:hAnsi="Times New Roman" w:cs="Times New Roman"/>
          <w:sz w:val="24"/>
          <w:szCs w:val="24"/>
        </w:rPr>
      </w:pPr>
      <w:r w:rsidRPr="00C848D2">
        <w:rPr>
          <w:rFonts w:ascii="Times New Roman" w:eastAsia="Times New Roman" w:hAnsi="Times New Roman" w:cs="Times New Roman"/>
          <w:sz w:val="24"/>
          <w:szCs w:val="24"/>
        </w:rPr>
        <w:t>Nesse cenário, as Centrais de Abastecimento (</w:t>
      </w:r>
      <w:proofErr w:type="spellStart"/>
      <w:r w:rsidRPr="00C848D2">
        <w:rPr>
          <w:rFonts w:ascii="Times New Roman" w:eastAsia="Times New Roman" w:hAnsi="Times New Roman" w:cs="Times New Roman"/>
          <w:sz w:val="24"/>
          <w:szCs w:val="24"/>
        </w:rPr>
        <w:t>CEASAs</w:t>
      </w:r>
      <w:proofErr w:type="spellEnd"/>
      <w:r w:rsidRPr="00C848D2">
        <w:rPr>
          <w:rFonts w:ascii="Times New Roman" w:eastAsia="Times New Roman" w:hAnsi="Times New Roman" w:cs="Times New Roman"/>
          <w:sz w:val="24"/>
          <w:szCs w:val="24"/>
        </w:rPr>
        <w:t xml:space="preserve">), criadas nos anos 1960, são fundamentais para garantir o acesso da população urbana a alimentos frescos. Elas conectam produtores e consumidores, garantindo diversidade alimentar e estabilidade de preços. Segundo Maluf e Luz (2016), as </w:t>
      </w:r>
      <w:proofErr w:type="spellStart"/>
      <w:r w:rsidRPr="00C848D2">
        <w:rPr>
          <w:rFonts w:ascii="Times New Roman" w:eastAsia="Times New Roman" w:hAnsi="Times New Roman" w:cs="Times New Roman"/>
          <w:sz w:val="24"/>
          <w:szCs w:val="24"/>
        </w:rPr>
        <w:t>CEASAs</w:t>
      </w:r>
      <w:proofErr w:type="spellEnd"/>
      <w:r w:rsidRPr="00C848D2">
        <w:rPr>
          <w:rFonts w:ascii="Times New Roman" w:eastAsia="Times New Roman" w:hAnsi="Times New Roman" w:cs="Times New Roman"/>
          <w:sz w:val="24"/>
          <w:szCs w:val="24"/>
        </w:rPr>
        <w:t xml:space="preserve"> são um elo vital entre a produção agrícola e o consumo urbano, facilitando a comercialização de hortifrutis e outros produtos.</w:t>
      </w:r>
    </w:p>
    <w:p w14:paraId="4682F0AE" w14:textId="6473AFEB" w:rsidR="00C848D2" w:rsidRPr="00C848D2" w:rsidRDefault="00C848D2" w:rsidP="00C848D2">
      <w:pPr>
        <w:spacing w:after="0" w:line="360" w:lineRule="auto"/>
        <w:ind w:firstLine="708"/>
        <w:jc w:val="both"/>
        <w:rPr>
          <w:rFonts w:ascii="Times New Roman" w:eastAsia="Times New Roman" w:hAnsi="Times New Roman" w:cs="Times New Roman"/>
          <w:sz w:val="24"/>
          <w:szCs w:val="24"/>
        </w:rPr>
      </w:pPr>
      <w:r w:rsidRPr="00C848D2">
        <w:rPr>
          <w:rFonts w:ascii="Times New Roman" w:eastAsia="Times New Roman" w:hAnsi="Times New Roman" w:cs="Times New Roman"/>
          <w:sz w:val="24"/>
          <w:szCs w:val="24"/>
        </w:rPr>
        <w:t xml:space="preserve">O trabalho analisa a comercialização de frutas e frutos nas </w:t>
      </w:r>
      <w:r w:rsidR="001D186C">
        <w:rPr>
          <w:rFonts w:ascii="Times New Roman" w:eastAsia="Times New Roman" w:hAnsi="Times New Roman" w:cs="Times New Roman"/>
          <w:sz w:val="24"/>
          <w:szCs w:val="24"/>
        </w:rPr>
        <w:t xml:space="preserve">centrais de abastecimento </w:t>
      </w:r>
      <w:r w:rsidRPr="00C848D2">
        <w:rPr>
          <w:rFonts w:ascii="Times New Roman" w:eastAsia="Times New Roman" w:hAnsi="Times New Roman" w:cs="Times New Roman"/>
          <w:sz w:val="24"/>
          <w:szCs w:val="24"/>
        </w:rPr>
        <w:t>públicas, com base em dados do Programa Brasileiro de Modernização do Mercado Hortigranjeiro (</w:t>
      </w:r>
      <w:proofErr w:type="spellStart"/>
      <w:r w:rsidRPr="00C848D2">
        <w:rPr>
          <w:rFonts w:ascii="Times New Roman" w:eastAsia="Times New Roman" w:hAnsi="Times New Roman" w:cs="Times New Roman"/>
          <w:sz w:val="24"/>
          <w:szCs w:val="24"/>
        </w:rPr>
        <w:t>Prohort</w:t>
      </w:r>
      <w:proofErr w:type="spellEnd"/>
      <w:r w:rsidRPr="00C848D2">
        <w:rPr>
          <w:rFonts w:ascii="Times New Roman" w:eastAsia="Times New Roman" w:hAnsi="Times New Roman" w:cs="Times New Roman"/>
          <w:sz w:val="24"/>
          <w:szCs w:val="24"/>
        </w:rPr>
        <w:t xml:space="preserve">), referentes aos anos de 2019, 2022 e 2023 (Conab, 2024). O foco será o volume mensal comercializado em todas as </w:t>
      </w:r>
      <w:proofErr w:type="spellStart"/>
      <w:r w:rsidRPr="00C848D2">
        <w:rPr>
          <w:rFonts w:ascii="Times New Roman" w:eastAsia="Times New Roman" w:hAnsi="Times New Roman" w:cs="Times New Roman"/>
          <w:sz w:val="24"/>
          <w:szCs w:val="24"/>
        </w:rPr>
        <w:t>CEASAs</w:t>
      </w:r>
      <w:proofErr w:type="spellEnd"/>
      <w:r w:rsidRPr="00C848D2">
        <w:rPr>
          <w:rFonts w:ascii="Times New Roman" w:eastAsia="Times New Roman" w:hAnsi="Times New Roman" w:cs="Times New Roman"/>
          <w:sz w:val="24"/>
          <w:szCs w:val="24"/>
        </w:rPr>
        <w:t xml:space="preserve"> do país, com destaque para Santa Catarina, e nos grupos de Frutas (FRT) e Frutos (FTO). Em 2023, por exemplo, a CEASA de Santa Catarina registrou um aumento de 15% no volume de frutas comercializadas em relação a 2022, refletindo a maior demanda por alimentos frescos e a eficácia das políticas de abastecimento.</w:t>
      </w:r>
    </w:p>
    <w:p w14:paraId="28582286" w14:textId="2CB4E3BA" w:rsidR="00C848D2" w:rsidRPr="00C848D2" w:rsidRDefault="00C848D2" w:rsidP="00C848D2">
      <w:pPr>
        <w:spacing w:after="0" w:line="360" w:lineRule="auto"/>
        <w:ind w:firstLine="708"/>
        <w:jc w:val="both"/>
        <w:rPr>
          <w:rFonts w:ascii="Times New Roman" w:eastAsia="Times New Roman" w:hAnsi="Times New Roman" w:cs="Times New Roman"/>
          <w:sz w:val="24"/>
          <w:szCs w:val="24"/>
        </w:rPr>
      </w:pPr>
      <w:r w:rsidRPr="00C848D2">
        <w:rPr>
          <w:rFonts w:ascii="Times New Roman" w:eastAsia="Times New Roman" w:hAnsi="Times New Roman" w:cs="Times New Roman"/>
          <w:sz w:val="24"/>
          <w:szCs w:val="24"/>
        </w:rPr>
        <w:t xml:space="preserve">Além disso, a análise das variações sazonais e regionais revela padrões importantes. Em 2022, por exemplo, o preço médio das frutas nas </w:t>
      </w:r>
      <w:r w:rsidR="001D186C">
        <w:rPr>
          <w:rFonts w:ascii="Times New Roman" w:eastAsia="Times New Roman" w:hAnsi="Times New Roman" w:cs="Times New Roman"/>
          <w:sz w:val="24"/>
          <w:szCs w:val="24"/>
        </w:rPr>
        <w:t>centrais de abastecimento</w:t>
      </w:r>
      <w:r w:rsidRPr="00C848D2">
        <w:rPr>
          <w:rFonts w:ascii="Times New Roman" w:eastAsia="Times New Roman" w:hAnsi="Times New Roman" w:cs="Times New Roman"/>
          <w:sz w:val="24"/>
          <w:szCs w:val="24"/>
        </w:rPr>
        <w:t xml:space="preserve"> variou com picos no inverno, quando a oferta de certas frutas diminui. Esses dados destacam a necessidade de políticas públicas que incentivem a produção e distribuição de alimentos durante todo o ano, garantindo preços acessíveis e abastecimento regular.</w:t>
      </w:r>
    </w:p>
    <w:p w14:paraId="583123F4" w14:textId="12B018DF" w:rsidR="00C848D2" w:rsidRPr="0037181A" w:rsidRDefault="00C848D2" w:rsidP="00C848D2">
      <w:pPr>
        <w:spacing w:after="0" w:line="360" w:lineRule="auto"/>
        <w:ind w:firstLine="708"/>
        <w:jc w:val="both"/>
        <w:rPr>
          <w:rFonts w:ascii="Times New Roman" w:eastAsia="Times New Roman" w:hAnsi="Times New Roman" w:cs="Times New Roman"/>
          <w:sz w:val="24"/>
          <w:szCs w:val="24"/>
        </w:rPr>
      </w:pPr>
      <w:r w:rsidRPr="0037181A">
        <w:rPr>
          <w:rFonts w:ascii="Times New Roman" w:eastAsia="Times New Roman" w:hAnsi="Times New Roman" w:cs="Times New Roman"/>
          <w:sz w:val="24"/>
          <w:szCs w:val="24"/>
        </w:rPr>
        <w:t xml:space="preserve">A análise da comercialização de frutas e frutos nas </w:t>
      </w:r>
      <w:proofErr w:type="spellStart"/>
      <w:r w:rsidRPr="0037181A">
        <w:rPr>
          <w:rFonts w:ascii="Times New Roman" w:eastAsia="Times New Roman" w:hAnsi="Times New Roman" w:cs="Times New Roman"/>
          <w:sz w:val="24"/>
          <w:szCs w:val="24"/>
        </w:rPr>
        <w:t>CEASAs</w:t>
      </w:r>
      <w:proofErr w:type="spellEnd"/>
      <w:r w:rsidRPr="0037181A">
        <w:rPr>
          <w:rFonts w:ascii="Times New Roman" w:eastAsia="Times New Roman" w:hAnsi="Times New Roman" w:cs="Times New Roman"/>
          <w:sz w:val="24"/>
          <w:szCs w:val="24"/>
        </w:rPr>
        <w:t xml:space="preserve">, com base nos dados do </w:t>
      </w:r>
      <w:proofErr w:type="spellStart"/>
      <w:r w:rsidRPr="0037181A">
        <w:rPr>
          <w:rFonts w:ascii="Times New Roman" w:eastAsia="Times New Roman" w:hAnsi="Times New Roman" w:cs="Times New Roman"/>
          <w:sz w:val="24"/>
          <w:szCs w:val="24"/>
        </w:rPr>
        <w:t>Prohort</w:t>
      </w:r>
      <w:proofErr w:type="spellEnd"/>
      <w:r w:rsidRPr="0037181A">
        <w:rPr>
          <w:rFonts w:ascii="Times New Roman" w:eastAsia="Times New Roman" w:hAnsi="Times New Roman" w:cs="Times New Roman"/>
          <w:sz w:val="24"/>
          <w:szCs w:val="24"/>
        </w:rPr>
        <w:t xml:space="preserve">, ajuda a entender as dinâmicas de oferta e demanda, além dos desafios e oportunidades para a segurança alimentar no Brasil. A continuidade desses estudos é </w:t>
      </w:r>
      <w:r w:rsidR="00176A90" w:rsidRPr="0037181A">
        <w:rPr>
          <w:rFonts w:ascii="Times New Roman" w:eastAsia="Times New Roman" w:hAnsi="Times New Roman" w:cs="Times New Roman"/>
          <w:sz w:val="24"/>
          <w:szCs w:val="24"/>
        </w:rPr>
        <w:t xml:space="preserve">de </w:t>
      </w:r>
      <w:r w:rsidR="00176A90" w:rsidRPr="0037181A">
        <w:rPr>
          <w:rFonts w:ascii="Times New Roman" w:eastAsia="Times New Roman" w:hAnsi="Times New Roman" w:cs="Times New Roman"/>
          <w:sz w:val="24"/>
          <w:szCs w:val="24"/>
        </w:rPr>
        <w:lastRenderedPageBreak/>
        <w:t xml:space="preserve">fundamental importância </w:t>
      </w:r>
      <w:r w:rsidRPr="0037181A">
        <w:rPr>
          <w:rFonts w:ascii="Times New Roman" w:eastAsia="Times New Roman" w:hAnsi="Times New Roman" w:cs="Times New Roman"/>
          <w:sz w:val="24"/>
          <w:szCs w:val="24"/>
        </w:rPr>
        <w:t>para embasar políticas que fortaleçam a agricultura familiar, reduzam desigualdades regionais e garantam o acesso a alimentos saudáveis para todos.</w:t>
      </w:r>
    </w:p>
    <w:p w14:paraId="703D2719" w14:textId="56B08BEB" w:rsidR="00C848D2" w:rsidRPr="00C848D2" w:rsidRDefault="00C848D2" w:rsidP="00C848D2">
      <w:pPr>
        <w:spacing w:after="0" w:line="360" w:lineRule="auto"/>
        <w:ind w:firstLine="708"/>
        <w:jc w:val="both"/>
        <w:rPr>
          <w:rFonts w:ascii="Times New Roman" w:eastAsia="Times New Roman" w:hAnsi="Times New Roman" w:cs="Times New Roman"/>
          <w:sz w:val="24"/>
          <w:szCs w:val="24"/>
        </w:rPr>
      </w:pPr>
      <w:r w:rsidRPr="0037181A">
        <w:rPr>
          <w:rFonts w:ascii="Times New Roman" w:eastAsia="Times New Roman" w:hAnsi="Times New Roman" w:cs="Times New Roman"/>
          <w:sz w:val="24"/>
          <w:szCs w:val="24"/>
        </w:rPr>
        <w:t>Conhecer a dinâmica da comercialização de hortifrutis é indispensável, pois envolve aspectos que impactam diretamente a saúde, a economia e a sustentabilidade. Além disso, fortalece a economia local ao gerar emprego e renda para produtores e comerciantes.</w:t>
      </w:r>
      <w:r w:rsidRPr="00C848D2">
        <w:rPr>
          <w:rFonts w:ascii="Times New Roman" w:eastAsia="Times New Roman" w:hAnsi="Times New Roman" w:cs="Times New Roman"/>
          <w:sz w:val="24"/>
          <w:szCs w:val="24"/>
        </w:rPr>
        <w:t> </w:t>
      </w:r>
    </w:p>
    <w:p w14:paraId="7511D3A7" w14:textId="77777777" w:rsidR="00C848D2" w:rsidRPr="00C848D2" w:rsidRDefault="00C848D2" w:rsidP="00C848D2">
      <w:pPr>
        <w:spacing w:after="0" w:line="360" w:lineRule="auto"/>
        <w:ind w:firstLine="708"/>
        <w:jc w:val="both"/>
        <w:rPr>
          <w:rFonts w:ascii="Times New Roman" w:eastAsia="Times New Roman" w:hAnsi="Times New Roman" w:cs="Times New Roman"/>
          <w:sz w:val="24"/>
          <w:szCs w:val="24"/>
        </w:rPr>
      </w:pPr>
      <w:r w:rsidRPr="00C848D2">
        <w:rPr>
          <w:rFonts w:ascii="Times New Roman" w:eastAsia="Times New Roman" w:hAnsi="Times New Roman" w:cs="Times New Roman"/>
          <w:sz w:val="24"/>
          <w:szCs w:val="24"/>
        </w:rPr>
        <w:t>Compreender as dinâmicas logísticas e de fornecimento é fundamental para fomentar a produção agrícola regional e avaliar a viabilidade de incorporar frutas e frutos orgânicos, alinhando-se à crescente demanda por alimentos saudáveis e sustentáveis. Segundo a Embrapa (2022), o mercado de orgânicos no Brasil apresenta um significativo potencial de expansão, beneficiando não apenas os consumidores, que passam a ter acesso a produtos mais nutritivos e livres de agrotóxicos, mas também os produtores, que encontram novas oportunidades de diversificação e aumento da rentabilidade. A adoção de práticas sustentáveis ​​na agricultura contribui para a redução dos impactos ambientais e ao mesmo tempo fortalece as cadeias produtivas locais, criando um sistema alimentar mais resistente e inclusivo. </w:t>
      </w:r>
    </w:p>
    <w:p w14:paraId="47F1AB53" w14:textId="4EA828AC" w:rsidR="00C848D2" w:rsidRPr="001D186C" w:rsidRDefault="00C848D2" w:rsidP="00C848D2">
      <w:pPr>
        <w:spacing w:after="0" w:line="360" w:lineRule="auto"/>
        <w:ind w:firstLine="708"/>
        <w:jc w:val="both"/>
        <w:rPr>
          <w:rFonts w:ascii="Times New Roman" w:eastAsia="Times New Roman" w:hAnsi="Times New Roman" w:cs="Times New Roman"/>
          <w:sz w:val="24"/>
          <w:szCs w:val="24"/>
        </w:rPr>
      </w:pPr>
      <w:r w:rsidRPr="00C848D2">
        <w:rPr>
          <w:rFonts w:ascii="Times New Roman" w:eastAsia="Times New Roman" w:hAnsi="Times New Roman" w:cs="Times New Roman"/>
          <w:sz w:val="24"/>
          <w:szCs w:val="24"/>
        </w:rPr>
        <w:t>Integrar políticas públicas externas para a produção agrícola é essencial para enfrentar desafios como os impactos ambientais, as dificuldades logísticas na distribuição e a falta de co</w:t>
      </w:r>
      <w:r w:rsidR="00E75D6C">
        <w:rPr>
          <w:rFonts w:ascii="Times New Roman" w:eastAsia="Times New Roman" w:hAnsi="Times New Roman" w:cs="Times New Roman"/>
          <w:sz w:val="24"/>
          <w:szCs w:val="24"/>
        </w:rPr>
        <w:t>nscientização dos consumidores</w:t>
      </w:r>
      <w:r w:rsidR="00AE65B2">
        <w:rPr>
          <w:rFonts w:ascii="Times New Roman" w:eastAsia="Times New Roman" w:hAnsi="Times New Roman" w:cs="Times New Roman"/>
          <w:sz w:val="24"/>
          <w:szCs w:val="24"/>
        </w:rPr>
        <w:t>.</w:t>
      </w:r>
      <w:r w:rsidR="00E75D6C">
        <w:rPr>
          <w:rFonts w:ascii="Times New Roman" w:eastAsia="Times New Roman" w:hAnsi="Times New Roman" w:cs="Times New Roman"/>
          <w:sz w:val="24"/>
          <w:szCs w:val="24"/>
        </w:rPr>
        <w:t xml:space="preserve"> </w:t>
      </w:r>
      <w:r w:rsidRPr="00C848D2">
        <w:rPr>
          <w:rFonts w:ascii="Times New Roman" w:eastAsia="Times New Roman" w:hAnsi="Times New Roman" w:cs="Times New Roman"/>
          <w:sz w:val="24"/>
          <w:szCs w:val="24"/>
        </w:rPr>
        <w:t xml:space="preserve">Essa abordagem integrada permite alinhar os interesses dos produtores, do mercado </w:t>
      </w:r>
      <w:r w:rsidRPr="001D186C">
        <w:rPr>
          <w:rFonts w:ascii="Times New Roman" w:eastAsia="Times New Roman" w:hAnsi="Times New Roman" w:cs="Times New Roman"/>
          <w:sz w:val="24"/>
          <w:szCs w:val="24"/>
        </w:rPr>
        <w:t>e da sociedade, garantindo a previsão de sistemas agrícolas mais sustentáveis ​​e eficientes</w:t>
      </w:r>
      <w:r w:rsidR="00AE65B2" w:rsidRPr="001D186C">
        <w:rPr>
          <w:rFonts w:ascii="Times New Roman" w:eastAsia="Times New Roman" w:hAnsi="Times New Roman" w:cs="Times New Roman"/>
          <w:sz w:val="24"/>
          <w:szCs w:val="24"/>
        </w:rPr>
        <w:t xml:space="preserve"> (BELIK e CUNHA, 2015).</w:t>
      </w:r>
    </w:p>
    <w:p w14:paraId="1DED5D7C" w14:textId="5024D94E" w:rsidR="000C69C2" w:rsidRPr="001D186C" w:rsidRDefault="00C848D2" w:rsidP="00C848D2">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Portanto, compreender o mercado de hortifrútis não apenas permite a negociação de preços justos, beneficiando produtores e consumidores, mas também contribui para a construção de um sistema alimentar mais sustentável e inclusivo. Essa análise é fundamental para orientar políticas públicas e práticas comerciais que promovam a segurança alimentar e nutricional no país.</w:t>
      </w:r>
    </w:p>
    <w:p w14:paraId="3D9EEC09" w14:textId="77777777" w:rsidR="000C69C2" w:rsidRPr="001D186C" w:rsidRDefault="000C69C2">
      <w:pPr>
        <w:spacing w:after="0" w:line="360" w:lineRule="auto"/>
        <w:jc w:val="both"/>
        <w:rPr>
          <w:rFonts w:ascii="Times New Roman" w:eastAsia="Times New Roman" w:hAnsi="Times New Roman" w:cs="Times New Roman"/>
          <w:sz w:val="24"/>
          <w:szCs w:val="24"/>
        </w:rPr>
      </w:pPr>
    </w:p>
    <w:p w14:paraId="14D1FBD9" w14:textId="05858017" w:rsidR="000C69C2" w:rsidRPr="001D186C" w:rsidRDefault="00E75D6C">
      <w:pPr>
        <w:spacing w:after="0" w:line="360" w:lineRule="auto"/>
        <w:jc w:val="both"/>
        <w:rPr>
          <w:rFonts w:ascii="Times New Roman" w:eastAsia="Times New Roman" w:hAnsi="Times New Roman" w:cs="Times New Roman"/>
          <w:b/>
          <w:sz w:val="24"/>
          <w:szCs w:val="24"/>
        </w:rPr>
      </w:pPr>
      <w:r w:rsidRPr="001D186C">
        <w:rPr>
          <w:rFonts w:ascii="Times New Roman" w:eastAsia="Times New Roman" w:hAnsi="Times New Roman" w:cs="Times New Roman"/>
          <w:b/>
          <w:sz w:val="24"/>
          <w:szCs w:val="24"/>
        </w:rPr>
        <w:t xml:space="preserve"> 2 </w:t>
      </w:r>
      <w:r w:rsidR="00C848D2" w:rsidRPr="001D186C">
        <w:rPr>
          <w:rFonts w:ascii="Times New Roman" w:eastAsia="Times New Roman" w:hAnsi="Times New Roman" w:cs="Times New Roman"/>
          <w:b/>
          <w:sz w:val="24"/>
          <w:szCs w:val="24"/>
        </w:rPr>
        <w:t>CENSO 2017</w:t>
      </w:r>
      <w:r w:rsidRPr="001D186C">
        <w:rPr>
          <w:rFonts w:ascii="Times New Roman" w:eastAsia="Times New Roman" w:hAnsi="Times New Roman" w:cs="Times New Roman"/>
          <w:b/>
          <w:sz w:val="24"/>
          <w:szCs w:val="24"/>
        </w:rPr>
        <w:t xml:space="preserve"> </w:t>
      </w:r>
    </w:p>
    <w:p w14:paraId="5A5799AA" w14:textId="77777777" w:rsidR="00B9210A" w:rsidRPr="001D186C" w:rsidRDefault="00B9210A" w:rsidP="00B9210A">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O Censo Agropecuário de 2017 (IBGE) evidenciou a relevância do setor agropecuário em Santa Catarina, com 183 mil estabelecimentos rurais distribuídos em uma área total de 6.446.155 hectares e empregando 502 mil pessoas. Esses números reforçam o papel central do agronegócio na economia e na estrutura produtiva do estado.</w:t>
      </w:r>
    </w:p>
    <w:p w14:paraId="6DAEE945" w14:textId="77777777" w:rsidR="00B9210A" w:rsidRPr="001D186C" w:rsidRDefault="00B9210A" w:rsidP="00B9210A">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No cenário nacional de comercialização de hortifrutis, Santa Catarina destaca-se como um dos principais produtores, especialmente nos subgrupos de frutas (FRT) e frutos </w:t>
      </w:r>
      <w:r w:rsidRPr="001D186C">
        <w:rPr>
          <w:rFonts w:ascii="Times New Roman" w:eastAsia="Times New Roman" w:hAnsi="Times New Roman" w:cs="Times New Roman"/>
          <w:sz w:val="24"/>
          <w:szCs w:val="24"/>
        </w:rPr>
        <w:lastRenderedPageBreak/>
        <w:t>(FTO). Segundo o Censo Agropecuário (IBGE, 2017), o estado ocupa a 6ª posição na comercialização de frutas (FRT) e a 9ª posição em frutos (FTO), consolidando-se como um ator estratégico no mercado de hortifrútis do país.</w:t>
      </w:r>
    </w:p>
    <w:p w14:paraId="6A37E616" w14:textId="77777777" w:rsidR="00B9210A" w:rsidRPr="001D186C" w:rsidRDefault="00B9210A" w:rsidP="00B9210A">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De acordo com o Censo Agropecuário de 2017 (IBGE), Santa Catarina contribui com 5,79% da comercialização total de frutas no Brasil, produzindo 1,19 milhão de toneladas no estado. Dentre as frutas, a maçã e a banana se destacam, representando juntas mais de 1 milhão de toneladas da produção catarinense. No subgrupo de frutos (FTO), o estado participa com 4,38% da comercialização nacional, totalizando 131,3 mil toneladas produzidas. Os frutos de maior destaque são o tomate e a abóbora, que, juntos, ultrapassam 150 mil toneladas de produção.</w:t>
      </w:r>
    </w:p>
    <w:p w14:paraId="7D82DB17" w14:textId="150E61D4" w:rsidR="00B9210A" w:rsidRPr="001D186C" w:rsidRDefault="00B9210A" w:rsidP="00B9210A">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No Censo de 2017, os frutos que faziam parte do subgrupo eram Abóbora, Abobrinha, Berinjela, Chuchu, Pepino, Pimentão e Tomate. Já o subgrupo de frutas é composto por Abacate, Abacaxi, Açaí, Acerola, Ameixa, Amora, </w:t>
      </w:r>
      <w:proofErr w:type="spellStart"/>
      <w:r w:rsidRPr="001D186C">
        <w:rPr>
          <w:rFonts w:ascii="Times New Roman" w:eastAsia="Times New Roman" w:hAnsi="Times New Roman" w:cs="Times New Roman"/>
          <w:sz w:val="24"/>
          <w:szCs w:val="24"/>
        </w:rPr>
        <w:t>Atemoia</w:t>
      </w:r>
      <w:proofErr w:type="spellEnd"/>
      <w:r w:rsidRPr="001D186C">
        <w:rPr>
          <w:rFonts w:ascii="Times New Roman" w:eastAsia="Times New Roman" w:hAnsi="Times New Roman" w:cs="Times New Roman"/>
          <w:sz w:val="24"/>
          <w:szCs w:val="24"/>
        </w:rPr>
        <w:t xml:space="preserve">, Banana, Caju, Carambola, Coco-da-baía, Figo, Goiaba, Graviola, Jabuticaba, Jaca, Jambo, Kiwi, Laranja, Lichia, Lima, Limão, Maçã, Manga, Mamão, Maracujá, Melancia, Melão, Nectarina, Nêspera, Pera, Pêssego, Pitaia, Pitanga, Romã, Tangerina, Uva, Pupunha e Cupuaçu. </w:t>
      </w:r>
      <w:r w:rsidR="00176A90" w:rsidRPr="001D186C">
        <w:rPr>
          <w:rFonts w:ascii="Times New Roman" w:eastAsia="Times New Roman" w:hAnsi="Times New Roman" w:cs="Times New Roman"/>
          <w:sz w:val="24"/>
          <w:szCs w:val="24"/>
        </w:rPr>
        <w:t xml:space="preserve">Neste estudo </w:t>
      </w:r>
      <w:r w:rsidR="0037181A" w:rsidRPr="001D186C">
        <w:rPr>
          <w:rFonts w:ascii="Times New Roman" w:eastAsia="Times New Roman" w:hAnsi="Times New Roman" w:cs="Times New Roman"/>
          <w:sz w:val="24"/>
          <w:szCs w:val="24"/>
        </w:rPr>
        <w:t xml:space="preserve">são destaques </w:t>
      </w:r>
      <w:proofErr w:type="gramStart"/>
      <w:r w:rsidR="0037181A" w:rsidRPr="001D186C">
        <w:rPr>
          <w:rFonts w:ascii="Times New Roman" w:eastAsia="Times New Roman" w:hAnsi="Times New Roman" w:cs="Times New Roman"/>
          <w:sz w:val="24"/>
          <w:szCs w:val="24"/>
        </w:rPr>
        <w:t xml:space="preserve">as frutas </w:t>
      </w:r>
      <w:r w:rsidR="00176A90" w:rsidRPr="001D186C">
        <w:rPr>
          <w:rFonts w:ascii="Times New Roman" w:eastAsia="Times New Roman" w:hAnsi="Times New Roman" w:cs="Times New Roman"/>
          <w:sz w:val="24"/>
          <w:szCs w:val="24"/>
        </w:rPr>
        <w:t>maça</w:t>
      </w:r>
      <w:proofErr w:type="gramEnd"/>
      <w:r w:rsidR="0037181A" w:rsidRPr="001D186C">
        <w:rPr>
          <w:rFonts w:ascii="Times New Roman" w:eastAsia="Times New Roman" w:hAnsi="Times New Roman" w:cs="Times New Roman"/>
          <w:sz w:val="24"/>
          <w:szCs w:val="24"/>
        </w:rPr>
        <w:t xml:space="preserve"> e</w:t>
      </w:r>
      <w:r w:rsidR="00176A90" w:rsidRPr="001D186C">
        <w:rPr>
          <w:rFonts w:ascii="Times New Roman" w:eastAsia="Times New Roman" w:hAnsi="Times New Roman" w:cs="Times New Roman"/>
          <w:sz w:val="24"/>
          <w:szCs w:val="24"/>
        </w:rPr>
        <w:t xml:space="preserve"> banana, </w:t>
      </w:r>
      <w:r w:rsidR="0037181A" w:rsidRPr="001D186C">
        <w:rPr>
          <w:rFonts w:ascii="Times New Roman" w:eastAsia="Times New Roman" w:hAnsi="Times New Roman" w:cs="Times New Roman"/>
          <w:sz w:val="24"/>
          <w:szCs w:val="24"/>
        </w:rPr>
        <w:t xml:space="preserve">e os frutos </w:t>
      </w:r>
      <w:r w:rsidR="00176A90" w:rsidRPr="001D186C">
        <w:rPr>
          <w:rFonts w:ascii="Times New Roman" w:eastAsia="Times New Roman" w:hAnsi="Times New Roman" w:cs="Times New Roman"/>
          <w:sz w:val="24"/>
          <w:szCs w:val="24"/>
        </w:rPr>
        <w:t xml:space="preserve">tomate e abóbora, os quais são </w:t>
      </w:r>
      <w:r w:rsidR="0037181A" w:rsidRPr="001D186C">
        <w:rPr>
          <w:rFonts w:ascii="Times New Roman" w:eastAsia="Times New Roman" w:hAnsi="Times New Roman" w:cs="Times New Roman"/>
          <w:sz w:val="24"/>
          <w:szCs w:val="24"/>
        </w:rPr>
        <w:t>os</w:t>
      </w:r>
      <w:r w:rsidR="00176A90" w:rsidRPr="001D186C">
        <w:rPr>
          <w:rFonts w:ascii="Times New Roman" w:eastAsia="Times New Roman" w:hAnsi="Times New Roman" w:cs="Times New Roman"/>
          <w:sz w:val="24"/>
          <w:szCs w:val="24"/>
        </w:rPr>
        <w:t xml:space="preserve"> mais produzidos</w:t>
      </w:r>
      <w:r w:rsidRPr="001D186C">
        <w:rPr>
          <w:rFonts w:ascii="Times New Roman" w:eastAsia="Times New Roman" w:hAnsi="Times New Roman" w:cs="Times New Roman"/>
          <w:sz w:val="24"/>
          <w:szCs w:val="24"/>
        </w:rPr>
        <w:t xml:space="preserve"> no estado de Santa Catarina </w:t>
      </w:r>
    </w:p>
    <w:p w14:paraId="043F5007" w14:textId="77777777" w:rsidR="000C69C2" w:rsidRPr="001D186C" w:rsidRDefault="000C69C2">
      <w:pPr>
        <w:spacing w:after="0" w:line="360" w:lineRule="auto"/>
        <w:ind w:firstLine="708"/>
        <w:jc w:val="both"/>
        <w:rPr>
          <w:rFonts w:ascii="Times New Roman" w:eastAsia="Times New Roman" w:hAnsi="Times New Roman" w:cs="Times New Roman"/>
          <w:sz w:val="24"/>
          <w:szCs w:val="24"/>
        </w:rPr>
      </w:pPr>
    </w:p>
    <w:p w14:paraId="0BEDBC3E" w14:textId="1C717F07" w:rsidR="000C69C2" w:rsidRPr="001D186C" w:rsidRDefault="00E75D6C">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2.1 </w:t>
      </w:r>
      <w:r w:rsidR="00072487" w:rsidRPr="001D186C">
        <w:rPr>
          <w:rFonts w:ascii="Times New Roman" w:eastAsia="Times New Roman" w:hAnsi="Times New Roman" w:cs="Times New Roman"/>
          <w:sz w:val="24"/>
          <w:szCs w:val="24"/>
        </w:rPr>
        <w:t>MAÇÃ</w:t>
      </w:r>
      <w:r w:rsidRPr="001D186C">
        <w:rPr>
          <w:rFonts w:ascii="Times New Roman" w:eastAsia="Times New Roman" w:hAnsi="Times New Roman" w:cs="Times New Roman"/>
          <w:sz w:val="24"/>
          <w:szCs w:val="24"/>
        </w:rPr>
        <w:t xml:space="preserve"> </w:t>
      </w:r>
    </w:p>
    <w:p w14:paraId="182A05B7" w14:textId="77777777" w:rsidR="006E56F1" w:rsidRPr="001D186C" w:rsidRDefault="006E56F1" w:rsidP="0037181A">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O Brasil possui uma área colhida de maçãs que totaliza 30.684 hectares, distribuídos em 3.081 estabelecimentos e com mais de 62 mil unidades de pés de macieira. A produção nacional chega a aproximadamente 1.127.273 toneladas da fruta, gerando um valor de produção de R$ 1.307.896.819 (valores originais do censo 2017, sem correção pelo IGP-DI). A região Sul é responsável por 99,60% de toda a produção de maçãs do país, consolidando-se como o principal polo produtor (IBGE, 2017).</w:t>
      </w:r>
    </w:p>
    <w:p w14:paraId="1F29EDE3" w14:textId="77777777" w:rsidR="006E56F1" w:rsidRPr="001D186C" w:rsidRDefault="006E56F1" w:rsidP="006E56F1">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Santa Catarina se destaca como o maior produtor de maçãs do Brasil, conforme indicado na Tabela 1. Esse percentual é 1% superior ao do Rio Grande do Sul, segundo dados do IBGE. O estado conta com 13 mil hectares de área colhida, 2,1 mil estabelecimentos dedicados ao cultivo e mais de 21,2 mil pés de macieira, de acordo com o Censo Agropecuário (IBGE, 2017). Em termos de produção, Santa Catarina gerou 550 mil toneladas de maçãs, com um valor total de R$ 631.041.781 (valores originais do censo 2017, sem correção pelo IGP-DI).</w:t>
      </w:r>
    </w:p>
    <w:p w14:paraId="5D36DC71" w14:textId="77777777" w:rsidR="00751125" w:rsidRPr="001D186C" w:rsidRDefault="00751125" w:rsidP="008B2542">
      <w:pPr>
        <w:spacing w:after="0" w:line="360" w:lineRule="auto"/>
        <w:ind w:left="720"/>
        <w:jc w:val="both"/>
        <w:rPr>
          <w:rFonts w:ascii="Times New Roman" w:eastAsia="Times New Roman" w:hAnsi="Times New Roman" w:cs="Times New Roman"/>
          <w:sz w:val="24"/>
          <w:szCs w:val="24"/>
        </w:rPr>
      </w:pPr>
    </w:p>
    <w:p w14:paraId="2697DDFB" w14:textId="5E90CAF0" w:rsidR="006E56F1" w:rsidRPr="001D186C" w:rsidRDefault="008B2542" w:rsidP="001B4F71">
      <w:pPr>
        <w:spacing w:after="0" w:line="360" w:lineRule="auto"/>
        <w:ind w:left="720" w:hanging="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lastRenderedPageBreak/>
        <w:t xml:space="preserve">Tabela 1: </w:t>
      </w:r>
      <w:r w:rsidR="00C14226" w:rsidRPr="001D186C">
        <w:rPr>
          <w:rFonts w:ascii="Times New Roman" w:eastAsia="Times New Roman" w:hAnsi="Times New Roman" w:cs="Times New Roman"/>
          <w:sz w:val="24"/>
          <w:szCs w:val="24"/>
        </w:rPr>
        <w:t xml:space="preserve">Frutas e </w:t>
      </w:r>
      <w:r w:rsidR="001B4F71" w:rsidRPr="001D186C">
        <w:rPr>
          <w:rFonts w:ascii="Times New Roman" w:eastAsia="Times New Roman" w:hAnsi="Times New Roman" w:cs="Times New Roman"/>
          <w:sz w:val="24"/>
          <w:szCs w:val="24"/>
        </w:rPr>
        <w:t xml:space="preserve">Maçã – </w:t>
      </w:r>
      <w:r w:rsidRPr="001D186C">
        <w:rPr>
          <w:rFonts w:ascii="Times New Roman" w:eastAsia="Times New Roman" w:hAnsi="Times New Roman" w:cs="Times New Roman"/>
          <w:sz w:val="24"/>
          <w:szCs w:val="24"/>
        </w:rPr>
        <w:t>P</w:t>
      </w:r>
      <w:r w:rsidR="001B4F71" w:rsidRPr="001D186C">
        <w:rPr>
          <w:rFonts w:ascii="Times New Roman" w:eastAsia="Times New Roman" w:hAnsi="Times New Roman" w:cs="Times New Roman"/>
          <w:sz w:val="24"/>
          <w:szCs w:val="24"/>
        </w:rPr>
        <w:t>articipação p</w:t>
      </w:r>
      <w:r w:rsidRPr="001D186C">
        <w:rPr>
          <w:rFonts w:ascii="Times New Roman" w:eastAsia="Times New Roman" w:hAnsi="Times New Roman" w:cs="Times New Roman"/>
          <w:sz w:val="24"/>
          <w:szCs w:val="24"/>
        </w:rPr>
        <w:t xml:space="preserve">ercentual (%) </w:t>
      </w:r>
      <w:r w:rsidR="001B4F71" w:rsidRPr="001D186C">
        <w:rPr>
          <w:rFonts w:ascii="Times New Roman" w:eastAsia="Times New Roman" w:hAnsi="Times New Roman" w:cs="Times New Roman"/>
          <w:sz w:val="24"/>
          <w:szCs w:val="24"/>
        </w:rPr>
        <w:t xml:space="preserve">estadual </w:t>
      </w:r>
      <w:r w:rsidR="00112988" w:rsidRPr="001D186C">
        <w:rPr>
          <w:rFonts w:ascii="Times New Roman" w:eastAsia="Times New Roman" w:hAnsi="Times New Roman" w:cs="Times New Roman"/>
          <w:sz w:val="24"/>
          <w:szCs w:val="24"/>
        </w:rPr>
        <w:t>n</w:t>
      </w:r>
      <w:r w:rsidRPr="001D186C">
        <w:rPr>
          <w:rFonts w:ascii="Times New Roman" w:eastAsia="Times New Roman" w:hAnsi="Times New Roman" w:cs="Times New Roman"/>
          <w:sz w:val="24"/>
          <w:szCs w:val="24"/>
        </w:rPr>
        <w:t xml:space="preserve">o volume de </w:t>
      </w:r>
      <w:r w:rsidR="00112988" w:rsidRPr="001D186C">
        <w:rPr>
          <w:rFonts w:ascii="Times New Roman" w:eastAsia="Times New Roman" w:hAnsi="Times New Roman" w:cs="Times New Roman"/>
          <w:sz w:val="24"/>
          <w:szCs w:val="24"/>
        </w:rPr>
        <w:t>produção</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573AD5" w:rsidRPr="001D186C" w14:paraId="58F5927B" w14:textId="77777777" w:rsidTr="00751125">
        <w:tc>
          <w:tcPr>
            <w:tcW w:w="2831" w:type="dxa"/>
            <w:tcBorders>
              <w:top w:val="single" w:sz="4" w:space="0" w:color="auto"/>
              <w:bottom w:val="single" w:sz="4" w:space="0" w:color="auto"/>
            </w:tcBorders>
          </w:tcPr>
          <w:p w14:paraId="68245009" w14:textId="77777777" w:rsidR="00573AD5" w:rsidRPr="001D186C" w:rsidRDefault="00573AD5" w:rsidP="00800783">
            <w:pPr>
              <w:spacing w:line="360" w:lineRule="auto"/>
              <w:jc w:val="both"/>
              <w:rPr>
                <w:rFonts w:ascii="Times New Roman" w:eastAsia="Times New Roman" w:hAnsi="Times New Roman" w:cs="Times New Roman"/>
                <w:b/>
                <w:bCs/>
                <w:szCs w:val="24"/>
              </w:rPr>
            </w:pPr>
            <w:r w:rsidRPr="001D186C">
              <w:rPr>
                <w:rFonts w:ascii="Times New Roman" w:eastAsia="Times New Roman" w:hAnsi="Times New Roman" w:cs="Times New Roman"/>
                <w:b/>
                <w:bCs/>
                <w:szCs w:val="24"/>
              </w:rPr>
              <w:t>UF</w:t>
            </w:r>
          </w:p>
        </w:tc>
        <w:tc>
          <w:tcPr>
            <w:tcW w:w="2831" w:type="dxa"/>
            <w:tcBorders>
              <w:top w:val="single" w:sz="4" w:space="0" w:color="auto"/>
              <w:bottom w:val="single" w:sz="4" w:space="0" w:color="auto"/>
            </w:tcBorders>
          </w:tcPr>
          <w:p w14:paraId="541F6234" w14:textId="77777777" w:rsidR="00573AD5" w:rsidRPr="001D186C" w:rsidRDefault="00573AD5" w:rsidP="00800783">
            <w:pPr>
              <w:spacing w:line="360" w:lineRule="auto"/>
              <w:jc w:val="both"/>
              <w:rPr>
                <w:rFonts w:ascii="Times New Roman" w:eastAsia="Times New Roman" w:hAnsi="Times New Roman" w:cs="Times New Roman"/>
                <w:b/>
                <w:bCs/>
                <w:szCs w:val="24"/>
              </w:rPr>
            </w:pPr>
            <w:r w:rsidRPr="001D186C">
              <w:rPr>
                <w:rFonts w:ascii="Times New Roman" w:eastAsia="Times New Roman" w:hAnsi="Times New Roman" w:cs="Times New Roman"/>
                <w:b/>
                <w:bCs/>
                <w:szCs w:val="24"/>
              </w:rPr>
              <w:t>Total – Subgrupo Frutas</w:t>
            </w:r>
          </w:p>
        </w:tc>
        <w:tc>
          <w:tcPr>
            <w:tcW w:w="2832" w:type="dxa"/>
            <w:tcBorders>
              <w:top w:val="single" w:sz="4" w:space="0" w:color="auto"/>
              <w:bottom w:val="single" w:sz="4" w:space="0" w:color="auto"/>
            </w:tcBorders>
          </w:tcPr>
          <w:p w14:paraId="5307452C" w14:textId="3E4CB32E" w:rsidR="00573AD5" w:rsidRPr="001D186C" w:rsidRDefault="00C14226" w:rsidP="00751125">
            <w:pPr>
              <w:spacing w:line="360" w:lineRule="auto"/>
              <w:jc w:val="right"/>
              <w:rPr>
                <w:rFonts w:ascii="Times New Roman" w:eastAsia="Times New Roman" w:hAnsi="Times New Roman" w:cs="Times New Roman"/>
                <w:b/>
                <w:bCs/>
                <w:szCs w:val="24"/>
              </w:rPr>
            </w:pPr>
            <w:r w:rsidRPr="001D186C">
              <w:rPr>
                <w:rFonts w:ascii="Times New Roman" w:eastAsia="Times New Roman" w:hAnsi="Times New Roman" w:cs="Times New Roman"/>
                <w:b/>
                <w:bCs/>
                <w:szCs w:val="24"/>
              </w:rPr>
              <w:t>Maçã</w:t>
            </w:r>
          </w:p>
        </w:tc>
      </w:tr>
      <w:tr w:rsidR="00573AD5" w:rsidRPr="001D186C" w14:paraId="7D96D614" w14:textId="77777777" w:rsidTr="00751125">
        <w:tc>
          <w:tcPr>
            <w:tcW w:w="2831" w:type="dxa"/>
            <w:tcBorders>
              <w:top w:val="single" w:sz="4" w:space="0" w:color="auto"/>
              <w:bottom w:val="single" w:sz="4" w:space="0" w:color="auto"/>
            </w:tcBorders>
            <w:vAlign w:val="center"/>
          </w:tcPr>
          <w:p w14:paraId="60016F4B" w14:textId="02494526" w:rsidR="00573AD5" w:rsidRPr="001D186C" w:rsidRDefault="00573AD5" w:rsidP="00573AD5">
            <w:pPr>
              <w:spacing w:line="360" w:lineRule="auto"/>
              <w:jc w:val="both"/>
              <w:rPr>
                <w:rFonts w:ascii="Times New Roman" w:eastAsia="Times New Roman" w:hAnsi="Times New Roman" w:cs="Times New Roman"/>
                <w:b/>
                <w:bCs/>
                <w:szCs w:val="24"/>
              </w:rPr>
            </w:pPr>
            <w:r w:rsidRPr="001D186C">
              <w:rPr>
                <w:rFonts w:ascii="Times New Roman" w:eastAsia="Times New Roman" w:hAnsi="Times New Roman" w:cs="Times New Roman"/>
                <w:b/>
                <w:bCs/>
                <w:sz w:val="24"/>
                <w:szCs w:val="24"/>
              </w:rPr>
              <w:t>Brasil</w:t>
            </w:r>
          </w:p>
        </w:tc>
        <w:tc>
          <w:tcPr>
            <w:tcW w:w="2831" w:type="dxa"/>
            <w:tcBorders>
              <w:top w:val="single" w:sz="4" w:space="0" w:color="auto"/>
              <w:bottom w:val="single" w:sz="4" w:space="0" w:color="auto"/>
            </w:tcBorders>
            <w:vAlign w:val="center"/>
          </w:tcPr>
          <w:p w14:paraId="32177EB1" w14:textId="54405FB4" w:rsidR="00573AD5" w:rsidRPr="001D186C" w:rsidRDefault="00573AD5" w:rsidP="00573AD5">
            <w:pPr>
              <w:spacing w:line="360" w:lineRule="auto"/>
              <w:jc w:val="right"/>
              <w:rPr>
                <w:rFonts w:ascii="Times New Roman" w:eastAsia="Times New Roman" w:hAnsi="Times New Roman" w:cs="Times New Roman"/>
                <w:b/>
                <w:bCs/>
                <w:szCs w:val="24"/>
              </w:rPr>
            </w:pPr>
            <w:r w:rsidRPr="001D186C">
              <w:rPr>
                <w:rFonts w:ascii="Times New Roman" w:eastAsia="Times New Roman" w:hAnsi="Times New Roman" w:cs="Times New Roman"/>
                <w:b/>
                <w:sz w:val="24"/>
                <w:szCs w:val="24"/>
              </w:rPr>
              <w:t>26.068,26 t</w:t>
            </w:r>
          </w:p>
        </w:tc>
        <w:tc>
          <w:tcPr>
            <w:tcW w:w="2832" w:type="dxa"/>
            <w:tcBorders>
              <w:top w:val="single" w:sz="4" w:space="0" w:color="auto"/>
              <w:bottom w:val="single" w:sz="4" w:space="0" w:color="auto"/>
            </w:tcBorders>
            <w:vAlign w:val="center"/>
          </w:tcPr>
          <w:p w14:paraId="4A641C19" w14:textId="5600262F" w:rsidR="00573AD5" w:rsidRPr="001D186C" w:rsidRDefault="00573AD5" w:rsidP="00573AD5">
            <w:pPr>
              <w:spacing w:line="360" w:lineRule="auto"/>
              <w:jc w:val="right"/>
              <w:rPr>
                <w:rFonts w:ascii="Times New Roman" w:eastAsia="Times New Roman" w:hAnsi="Times New Roman" w:cs="Times New Roman"/>
                <w:b/>
                <w:bCs/>
                <w:szCs w:val="24"/>
              </w:rPr>
            </w:pPr>
            <w:r w:rsidRPr="001D186C">
              <w:rPr>
                <w:rFonts w:ascii="Times New Roman" w:eastAsia="Times New Roman" w:hAnsi="Times New Roman" w:cs="Times New Roman"/>
                <w:b/>
                <w:sz w:val="24"/>
                <w:szCs w:val="24"/>
              </w:rPr>
              <w:t>1.127,27 t</w:t>
            </w:r>
          </w:p>
        </w:tc>
      </w:tr>
      <w:tr w:rsidR="00573AD5" w:rsidRPr="001D186C" w14:paraId="614D18E9" w14:textId="77777777" w:rsidTr="00751125">
        <w:tc>
          <w:tcPr>
            <w:tcW w:w="2831" w:type="dxa"/>
            <w:tcBorders>
              <w:top w:val="single" w:sz="4" w:space="0" w:color="auto"/>
            </w:tcBorders>
            <w:vAlign w:val="center"/>
          </w:tcPr>
          <w:p w14:paraId="1E9FA5CB" w14:textId="08E66939" w:rsidR="00573AD5" w:rsidRPr="001D186C" w:rsidRDefault="00573AD5" w:rsidP="00573AD5">
            <w:pPr>
              <w:spacing w:line="360" w:lineRule="auto"/>
              <w:jc w:val="both"/>
              <w:rPr>
                <w:rFonts w:ascii="Times New Roman" w:eastAsia="Times New Roman" w:hAnsi="Times New Roman" w:cs="Times New Roman"/>
                <w:bCs/>
                <w:szCs w:val="24"/>
              </w:rPr>
            </w:pPr>
            <w:r w:rsidRPr="001D186C">
              <w:rPr>
                <w:rFonts w:ascii="Times New Roman" w:eastAsia="Times New Roman" w:hAnsi="Times New Roman" w:cs="Times New Roman"/>
                <w:bCs/>
                <w:sz w:val="24"/>
                <w:szCs w:val="24"/>
              </w:rPr>
              <w:t>São Paulo</w:t>
            </w:r>
          </w:p>
        </w:tc>
        <w:tc>
          <w:tcPr>
            <w:tcW w:w="2831" w:type="dxa"/>
            <w:tcBorders>
              <w:top w:val="single" w:sz="4" w:space="0" w:color="auto"/>
            </w:tcBorders>
            <w:vAlign w:val="center"/>
          </w:tcPr>
          <w:p w14:paraId="6DA81F34" w14:textId="713C13B4" w:rsidR="00573AD5" w:rsidRPr="001D186C" w:rsidRDefault="00573AD5"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sz w:val="24"/>
                <w:szCs w:val="24"/>
              </w:rPr>
              <w:t>47,92%</w:t>
            </w:r>
          </w:p>
        </w:tc>
        <w:tc>
          <w:tcPr>
            <w:tcW w:w="2832" w:type="dxa"/>
            <w:tcBorders>
              <w:top w:val="single" w:sz="4" w:space="0" w:color="auto"/>
            </w:tcBorders>
            <w:vAlign w:val="center"/>
          </w:tcPr>
          <w:p w14:paraId="65C21283" w14:textId="653C00D6" w:rsidR="00573AD5" w:rsidRPr="001D186C" w:rsidRDefault="00573AD5"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sz w:val="24"/>
                <w:szCs w:val="24"/>
              </w:rPr>
              <w:t>0,26%</w:t>
            </w:r>
          </w:p>
        </w:tc>
      </w:tr>
      <w:tr w:rsidR="00573AD5" w:rsidRPr="001D186C" w14:paraId="7D7FBB70" w14:textId="77777777" w:rsidTr="00751125">
        <w:tc>
          <w:tcPr>
            <w:tcW w:w="2831" w:type="dxa"/>
            <w:vAlign w:val="center"/>
          </w:tcPr>
          <w:p w14:paraId="65C17D02" w14:textId="0A8EFB2D" w:rsidR="00573AD5" w:rsidRPr="001D186C" w:rsidRDefault="00573AD5" w:rsidP="00573AD5">
            <w:pPr>
              <w:spacing w:line="360" w:lineRule="auto"/>
              <w:jc w:val="both"/>
              <w:rPr>
                <w:rFonts w:ascii="Times New Roman" w:eastAsia="Times New Roman" w:hAnsi="Times New Roman" w:cs="Times New Roman"/>
                <w:bCs/>
                <w:szCs w:val="24"/>
              </w:rPr>
            </w:pPr>
            <w:r w:rsidRPr="001D186C">
              <w:rPr>
                <w:rFonts w:ascii="Times New Roman" w:eastAsia="Times New Roman" w:hAnsi="Times New Roman" w:cs="Times New Roman"/>
                <w:bCs/>
                <w:sz w:val="24"/>
                <w:szCs w:val="24"/>
              </w:rPr>
              <w:t>Minas Gerais</w:t>
            </w:r>
          </w:p>
        </w:tc>
        <w:tc>
          <w:tcPr>
            <w:tcW w:w="2831" w:type="dxa"/>
            <w:vAlign w:val="center"/>
          </w:tcPr>
          <w:p w14:paraId="4AE591D0" w14:textId="5619013E" w:rsidR="00573AD5" w:rsidRPr="001D186C" w:rsidRDefault="00573AD5"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sz w:val="24"/>
                <w:szCs w:val="24"/>
              </w:rPr>
              <w:t>8,35%</w:t>
            </w:r>
          </w:p>
        </w:tc>
        <w:tc>
          <w:tcPr>
            <w:tcW w:w="2832" w:type="dxa"/>
            <w:vAlign w:val="center"/>
          </w:tcPr>
          <w:p w14:paraId="6417BB77" w14:textId="70BCBEE8" w:rsidR="00573AD5" w:rsidRPr="001D186C" w:rsidRDefault="00573AD5"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sz w:val="24"/>
                <w:szCs w:val="24"/>
              </w:rPr>
              <w:t>0,14%</w:t>
            </w:r>
          </w:p>
        </w:tc>
      </w:tr>
      <w:tr w:rsidR="00573AD5" w:rsidRPr="001D186C" w14:paraId="6C3435D2" w14:textId="77777777" w:rsidTr="00751125">
        <w:tc>
          <w:tcPr>
            <w:tcW w:w="2831" w:type="dxa"/>
            <w:vAlign w:val="center"/>
          </w:tcPr>
          <w:p w14:paraId="2846B784" w14:textId="75E76A0A" w:rsidR="00573AD5" w:rsidRPr="001D186C" w:rsidRDefault="00573AD5" w:rsidP="00573AD5">
            <w:pPr>
              <w:spacing w:line="360" w:lineRule="auto"/>
              <w:jc w:val="both"/>
              <w:rPr>
                <w:rFonts w:ascii="Times New Roman" w:eastAsia="Times New Roman" w:hAnsi="Times New Roman" w:cs="Times New Roman"/>
                <w:bCs/>
                <w:szCs w:val="24"/>
              </w:rPr>
            </w:pPr>
            <w:r w:rsidRPr="001D186C">
              <w:rPr>
                <w:rFonts w:ascii="Times New Roman" w:eastAsia="Times New Roman" w:hAnsi="Times New Roman" w:cs="Times New Roman"/>
                <w:bCs/>
                <w:sz w:val="24"/>
                <w:szCs w:val="24"/>
              </w:rPr>
              <w:t>Rio Grande do Sul</w:t>
            </w:r>
          </w:p>
        </w:tc>
        <w:tc>
          <w:tcPr>
            <w:tcW w:w="2831" w:type="dxa"/>
            <w:vAlign w:val="center"/>
          </w:tcPr>
          <w:p w14:paraId="3BFB184C" w14:textId="0A1EBB7C" w:rsidR="00573AD5" w:rsidRPr="001D186C" w:rsidRDefault="00573AD5"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sz w:val="24"/>
                <w:szCs w:val="24"/>
              </w:rPr>
              <w:t>7,93%</w:t>
            </w:r>
          </w:p>
        </w:tc>
        <w:tc>
          <w:tcPr>
            <w:tcW w:w="2832" w:type="dxa"/>
            <w:vAlign w:val="center"/>
          </w:tcPr>
          <w:p w14:paraId="2ADFF12E" w14:textId="2E3D0912" w:rsidR="00573AD5" w:rsidRPr="001D186C" w:rsidRDefault="00573AD5"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sz w:val="24"/>
                <w:szCs w:val="24"/>
              </w:rPr>
              <w:t>47,86%</w:t>
            </w:r>
          </w:p>
        </w:tc>
      </w:tr>
      <w:tr w:rsidR="00573AD5" w:rsidRPr="001D186C" w14:paraId="6F57BECD" w14:textId="77777777" w:rsidTr="00751125">
        <w:tc>
          <w:tcPr>
            <w:tcW w:w="2831" w:type="dxa"/>
            <w:vAlign w:val="center"/>
          </w:tcPr>
          <w:p w14:paraId="2A019767" w14:textId="1958F3D1" w:rsidR="00573AD5" w:rsidRPr="001D186C" w:rsidRDefault="00573AD5" w:rsidP="00573AD5">
            <w:pPr>
              <w:spacing w:line="360" w:lineRule="auto"/>
              <w:jc w:val="both"/>
              <w:rPr>
                <w:rFonts w:ascii="Times New Roman" w:eastAsia="Times New Roman" w:hAnsi="Times New Roman" w:cs="Times New Roman"/>
                <w:bCs/>
                <w:szCs w:val="24"/>
              </w:rPr>
            </w:pPr>
            <w:r w:rsidRPr="001D186C">
              <w:rPr>
                <w:rFonts w:ascii="Times New Roman" w:eastAsia="Times New Roman" w:hAnsi="Times New Roman" w:cs="Times New Roman"/>
                <w:bCs/>
                <w:sz w:val="24"/>
                <w:szCs w:val="24"/>
              </w:rPr>
              <w:t>Bahia</w:t>
            </w:r>
          </w:p>
        </w:tc>
        <w:tc>
          <w:tcPr>
            <w:tcW w:w="2831" w:type="dxa"/>
            <w:vAlign w:val="center"/>
          </w:tcPr>
          <w:p w14:paraId="1A1A034B" w14:textId="44579F15" w:rsidR="00573AD5" w:rsidRPr="001D186C" w:rsidRDefault="00573AD5"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sz w:val="24"/>
                <w:szCs w:val="24"/>
              </w:rPr>
              <w:t>7,85%</w:t>
            </w:r>
          </w:p>
        </w:tc>
        <w:tc>
          <w:tcPr>
            <w:tcW w:w="2832" w:type="dxa"/>
            <w:vAlign w:val="center"/>
          </w:tcPr>
          <w:p w14:paraId="72FD028D" w14:textId="53ACE150" w:rsidR="00573AD5" w:rsidRPr="001D186C" w:rsidRDefault="00573AD5"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sz w:val="24"/>
                <w:szCs w:val="24"/>
              </w:rPr>
              <w:t>0,00%</w:t>
            </w:r>
          </w:p>
        </w:tc>
      </w:tr>
      <w:tr w:rsidR="00573AD5" w:rsidRPr="001D186C" w14:paraId="4A08A8D3" w14:textId="77777777" w:rsidTr="00751125">
        <w:tc>
          <w:tcPr>
            <w:tcW w:w="2831" w:type="dxa"/>
            <w:vAlign w:val="center"/>
          </w:tcPr>
          <w:p w14:paraId="143FA7C0" w14:textId="65C7928A" w:rsidR="00573AD5" w:rsidRPr="001D186C" w:rsidRDefault="00573AD5" w:rsidP="00573AD5">
            <w:pPr>
              <w:spacing w:line="360" w:lineRule="auto"/>
              <w:jc w:val="both"/>
              <w:rPr>
                <w:rFonts w:ascii="Times New Roman" w:eastAsia="Times New Roman" w:hAnsi="Times New Roman" w:cs="Times New Roman"/>
                <w:bCs/>
                <w:szCs w:val="24"/>
              </w:rPr>
            </w:pPr>
            <w:r w:rsidRPr="001D186C">
              <w:rPr>
                <w:rFonts w:ascii="Times New Roman" w:eastAsia="Times New Roman" w:hAnsi="Times New Roman" w:cs="Times New Roman"/>
                <w:bCs/>
                <w:sz w:val="24"/>
                <w:szCs w:val="24"/>
              </w:rPr>
              <w:t>Santa Catarina</w:t>
            </w:r>
          </w:p>
        </w:tc>
        <w:tc>
          <w:tcPr>
            <w:tcW w:w="2831" w:type="dxa"/>
            <w:vAlign w:val="center"/>
          </w:tcPr>
          <w:p w14:paraId="69132C2A" w14:textId="473706F3" w:rsidR="00573AD5" w:rsidRPr="001D186C" w:rsidRDefault="00573AD5"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sz w:val="24"/>
                <w:szCs w:val="24"/>
              </w:rPr>
              <w:t>4,87%</w:t>
            </w:r>
          </w:p>
        </w:tc>
        <w:tc>
          <w:tcPr>
            <w:tcW w:w="2832" w:type="dxa"/>
            <w:vAlign w:val="center"/>
          </w:tcPr>
          <w:p w14:paraId="1F924909" w14:textId="59C3F4B5" w:rsidR="00573AD5" w:rsidRPr="001D186C" w:rsidRDefault="00573AD5"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sz w:val="24"/>
                <w:szCs w:val="24"/>
              </w:rPr>
              <w:t>48,86%</w:t>
            </w:r>
          </w:p>
        </w:tc>
      </w:tr>
      <w:tr w:rsidR="00573AD5" w:rsidRPr="001D186C" w14:paraId="7CDA4247" w14:textId="77777777" w:rsidTr="00751125">
        <w:tc>
          <w:tcPr>
            <w:tcW w:w="2831" w:type="dxa"/>
            <w:vAlign w:val="center"/>
          </w:tcPr>
          <w:p w14:paraId="4941763A" w14:textId="229D4453" w:rsidR="00573AD5" w:rsidRPr="001D186C" w:rsidRDefault="00573AD5" w:rsidP="00573AD5">
            <w:pPr>
              <w:spacing w:line="360" w:lineRule="auto"/>
              <w:jc w:val="both"/>
              <w:rPr>
                <w:rFonts w:ascii="Times New Roman" w:eastAsia="Times New Roman" w:hAnsi="Times New Roman" w:cs="Times New Roman"/>
                <w:bCs/>
                <w:szCs w:val="24"/>
              </w:rPr>
            </w:pPr>
            <w:r w:rsidRPr="001D186C">
              <w:rPr>
                <w:rFonts w:ascii="Times New Roman" w:eastAsia="Times New Roman" w:hAnsi="Times New Roman" w:cs="Times New Roman"/>
                <w:sz w:val="24"/>
                <w:szCs w:val="24"/>
              </w:rPr>
              <w:t>Paraná</w:t>
            </w:r>
          </w:p>
        </w:tc>
        <w:tc>
          <w:tcPr>
            <w:tcW w:w="2831" w:type="dxa"/>
            <w:vAlign w:val="center"/>
          </w:tcPr>
          <w:p w14:paraId="6F616529" w14:textId="5176E623" w:rsidR="00573AD5" w:rsidRPr="001D186C" w:rsidRDefault="00573AD5"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sz w:val="24"/>
                <w:szCs w:val="24"/>
              </w:rPr>
              <w:t>3,49%</w:t>
            </w:r>
          </w:p>
        </w:tc>
        <w:tc>
          <w:tcPr>
            <w:tcW w:w="2832" w:type="dxa"/>
            <w:vAlign w:val="center"/>
          </w:tcPr>
          <w:p w14:paraId="0672CAC9" w14:textId="18B7AC3D" w:rsidR="00573AD5" w:rsidRPr="001D186C" w:rsidRDefault="00573AD5"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sz w:val="24"/>
                <w:szCs w:val="24"/>
              </w:rPr>
              <w:t>2,87%</w:t>
            </w:r>
          </w:p>
        </w:tc>
      </w:tr>
    </w:tbl>
    <w:p w14:paraId="1A487103" w14:textId="5380F780" w:rsidR="00573AD5" w:rsidRPr="001D186C" w:rsidRDefault="000964F9" w:rsidP="00573AD5">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Fonte: </w:t>
      </w:r>
      <w:r w:rsidR="00573AD5" w:rsidRPr="001D186C">
        <w:rPr>
          <w:rFonts w:ascii="Times New Roman" w:eastAsia="Times New Roman" w:hAnsi="Times New Roman" w:cs="Times New Roman"/>
          <w:sz w:val="24"/>
          <w:szCs w:val="24"/>
        </w:rPr>
        <w:t>IBGE, Censo Agropecuário 2017</w:t>
      </w:r>
    </w:p>
    <w:p w14:paraId="2B671A0F" w14:textId="77777777" w:rsidR="00E75D6C" w:rsidRPr="001D186C" w:rsidRDefault="00E75D6C" w:rsidP="006E56F1">
      <w:pPr>
        <w:spacing w:after="0" w:line="360" w:lineRule="auto"/>
        <w:jc w:val="both"/>
        <w:rPr>
          <w:rFonts w:ascii="Times New Roman" w:eastAsia="Times New Roman" w:hAnsi="Times New Roman" w:cs="Times New Roman"/>
          <w:sz w:val="24"/>
          <w:szCs w:val="24"/>
        </w:rPr>
      </w:pPr>
    </w:p>
    <w:p w14:paraId="77196378" w14:textId="69292E94" w:rsidR="006E56F1" w:rsidRPr="001D186C" w:rsidRDefault="006E56F1" w:rsidP="006E56F1">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O estado de Santa Catarina possui </w:t>
      </w:r>
      <w:r w:rsidR="00DD3ECA" w:rsidRPr="001D186C">
        <w:rPr>
          <w:rFonts w:ascii="Times New Roman" w:eastAsia="Times New Roman" w:hAnsi="Times New Roman" w:cs="Times New Roman"/>
          <w:sz w:val="24"/>
          <w:szCs w:val="24"/>
        </w:rPr>
        <w:t>duas regiões</w:t>
      </w:r>
      <w:r w:rsidRPr="001D186C">
        <w:rPr>
          <w:rFonts w:ascii="Times New Roman" w:eastAsia="Times New Roman" w:hAnsi="Times New Roman" w:cs="Times New Roman"/>
          <w:sz w:val="24"/>
          <w:szCs w:val="24"/>
        </w:rPr>
        <w:t xml:space="preserve"> </w:t>
      </w:r>
      <w:r w:rsidR="00DD3ECA" w:rsidRPr="001D186C">
        <w:rPr>
          <w:rFonts w:ascii="Times New Roman" w:eastAsia="Times New Roman" w:hAnsi="Times New Roman" w:cs="Times New Roman"/>
          <w:sz w:val="24"/>
          <w:szCs w:val="24"/>
        </w:rPr>
        <w:t>principais de produção de maçãs</w:t>
      </w:r>
      <w:r w:rsidRPr="001D186C">
        <w:rPr>
          <w:rFonts w:ascii="Times New Roman" w:eastAsia="Times New Roman" w:hAnsi="Times New Roman" w:cs="Times New Roman"/>
          <w:sz w:val="24"/>
          <w:szCs w:val="24"/>
        </w:rPr>
        <w:t xml:space="preserve">. </w:t>
      </w:r>
      <w:r w:rsidR="00DD3ECA" w:rsidRPr="001D186C">
        <w:rPr>
          <w:rFonts w:ascii="Times New Roman" w:eastAsia="Times New Roman" w:hAnsi="Times New Roman" w:cs="Times New Roman"/>
          <w:sz w:val="24"/>
          <w:szCs w:val="24"/>
        </w:rPr>
        <w:t>A</w:t>
      </w:r>
      <w:r w:rsidRPr="001D186C">
        <w:rPr>
          <w:rFonts w:ascii="Times New Roman" w:eastAsia="Times New Roman" w:hAnsi="Times New Roman" w:cs="Times New Roman"/>
          <w:sz w:val="24"/>
          <w:szCs w:val="24"/>
        </w:rPr>
        <w:t xml:space="preserve"> primeir</w:t>
      </w:r>
      <w:r w:rsidR="00DD3ECA" w:rsidRPr="001D186C">
        <w:rPr>
          <w:rFonts w:ascii="Times New Roman" w:eastAsia="Times New Roman" w:hAnsi="Times New Roman" w:cs="Times New Roman"/>
          <w:sz w:val="24"/>
          <w:szCs w:val="24"/>
        </w:rPr>
        <w:t>a</w:t>
      </w:r>
      <w:r w:rsidRPr="001D186C">
        <w:rPr>
          <w:rFonts w:ascii="Times New Roman" w:eastAsia="Times New Roman" w:hAnsi="Times New Roman" w:cs="Times New Roman"/>
          <w:sz w:val="24"/>
          <w:szCs w:val="24"/>
        </w:rPr>
        <w:t xml:space="preserve"> </w:t>
      </w:r>
      <w:r w:rsidR="00DD3ECA" w:rsidRPr="001D186C">
        <w:rPr>
          <w:rFonts w:ascii="Times New Roman" w:eastAsia="Times New Roman" w:hAnsi="Times New Roman" w:cs="Times New Roman"/>
          <w:sz w:val="24"/>
          <w:szCs w:val="24"/>
        </w:rPr>
        <w:t xml:space="preserve">é a região de Campos de Lages com destaque para o </w:t>
      </w:r>
      <w:r w:rsidRPr="001D186C">
        <w:rPr>
          <w:rFonts w:ascii="Times New Roman" w:eastAsia="Times New Roman" w:hAnsi="Times New Roman" w:cs="Times New Roman"/>
          <w:sz w:val="24"/>
          <w:szCs w:val="24"/>
        </w:rPr>
        <w:t xml:space="preserve">município de São Joaquim. Com uma área montanhosa e clima predominantemente frio, condições ideais para o cultivo da maçã, o município se destaca como </w:t>
      </w:r>
      <w:r w:rsidR="00DD3ECA" w:rsidRPr="001D186C">
        <w:rPr>
          <w:rFonts w:ascii="Times New Roman" w:eastAsia="Times New Roman" w:hAnsi="Times New Roman" w:cs="Times New Roman"/>
          <w:sz w:val="24"/>
          <w:szCs w:val="24"/>
        </w:rPr>
        <w:t>o maior</w:t>
      </w:r>
      <w:r w:rsidRPr="001D186C">
        <w:rPr>
          <w:rFonts w:ascii="Times New Roman" w:eastAsia="Times New Roman" w:hAnsi="Times New Roman" w:cs="Times New Roman"/>
          <w:sz w:val="24"/>
          <w:szCs w:val="24"/>
        </w:rPr>
        <w:t xml:space="preserve"> </w:t>
      </w:r>
      <w:r w:rsidR="00DD3ECA" w:rsidRPr="001D186C">
        <w:rPr>
          <w:rFonts w:ascii="Times New Roman" w:eastAsia="Times New Roman" w:hAnsi="Times New Roman" w:cs="Times New Roman"/>
          <w:sz w:val="24"/>
          <w:szCs w:val="24"/>
        </w:rPr>
        <w:t xml:space="preserve">produtor </w:t>
      </w:r>
      <w:r w:rsidRPr="001D186C">
        <w:rPr>
          <w:rFonts w:ascii="Times New Roman" w:eastAsia="Times New Roman" w:hAnsi="Times New Roman" w:cs="Times New Roman"/>
          <w:sz w:val="24"/>
          <w:szCs w:val="24"/>
        </w:rPr>
        <w:t>da fruta no estado (IBGE, 2023).</w:t>
      </w:r>
    </w:p>
    <w:p w14:paraId="2409FA71" w14:textId="0901297B" w:rsidR="006E56F1" w:rsidRPr="001D186C" w:rsidRDefault="006E56F1" w:rsidP="006E56F1">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O segundo município </w:t>
      </w:r>
      <w:r w:rsidR="00DD3ECA" w:rsidRPr="001D186C">
        <w:rPr>
          <w:rFonts w:ascii="Times New Roman" w:eastAsia="Times New Roman" w:hAnsi="Times New Roman" w:cs="Times New Roman"/>
          <w:sz w:val="24"/>
          <w:szCs w:val="24"/>
        </w:rPr>
        <w:t xml:space="preserve">produtor é o </w:t>
      </w:r>
      <w:r w:rsidRPr="001D186C">
        <w:rPr>
          <w:rFonts w:ascii="Times New Roman" w:eastAsia="Times New Roman" w:hAnsi="Times New Roman" w:cs="Times New Roman"/>
          <w:sz w:val="24"/>
          <w:szCs w:val="24"/>
        </w:rPr>
        <w:t xml:space="preserve">de Fraiburgo, conhecido como a "Terra da Maçã" devido à sua histórica e significativa produção da fruta (PREFEITURA DE FRAIBURGO, 2023). Localizado no </w:t>
      </w:r>
      <w:proofErr w:type="spellStart"/>
      <w:r w:rsidRPr="001D186C">
        <w:rPr>
          <w:rFonts w:ascii="Times New Roman" w:eastAsia="Times New Roman" w:hAnsi="Times New Roman" w:cs="Times New Roman"/>
          <w:sz w:val="24"/>
          <w:szCs w:val="24"/>
        </w:rPr>
        <w:t>Meio-Oeste</w:t>
      </w:r>
      <w:proofErr w:type="spellEnd"/>
      <w:r w:rsidRPr="001D186C">
        <w:rPr>
          <w:rFonts w:ascii="Times New Roman" w:eastAsia="Times New Roman" w:hAnsi="Times New Roman" w:cs="Times New Roman"/>
          <w:sz w:val="24"/>
          <w:szCs w:val="24"/>
        </w:rPr>
        <w:t xml:space="preserve"> catarinense e totalmente inserido no bioma da Mata Atlântica. Fraiburgo também é reconhecido por sua significativa contribuição à produção de maçãs no estado. Ambos os municípios são fundamentais para consolidar Santa Catarina como o maior produtor de maçãs do Brasil.</w:t>
      </w:r>
    </w:p>
    <w:p w14:paraId="7B17B5EF" w14:textId="77777777" w:rsidR="00C379E0" w:rsidRPr="001D186C" w:rsidRDefault="00C379E0" w:rsidP="006E56F1">
      <w:pPr>
        <w:spacing w:after="0" w:line="360" w:lineRule="auto"/>
        <w:jc w:val="both"/>
        <w:rPr>
          <w:rFonts w:ascii="Times New Roman" w:eastAsia="Times New Roman" w:hAnsi="Times New Roman" w:cs="Times New Roman"/>
          <w:sz w:val="24"/>
          <w:szCs w:val="24"/>
        </w:rPr>
      </w:pPr>
    </w:p>
    <w:p w14:paraId="2DD980AB" w14:textId="4A1B395B" w:rsidR="006E56F1" w:rsidRPr="001D186C" w:rsidRDefault="00353FE0" w:rsidP="006E56F1">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Tabela 2: </w:t>
      </w:r>
      <w:r w:rsidR="00E420EC" w:rsidRPr="001D186C">
        <w:rPr>
          <w:rFonts w:ascii="Times New Roman" w:eastAsia="Times New Roman" w:hAnsi="Times New Roman" w:cs="Times New Roman"/>
          <w:b/>
          <w:bCs/>
          <w:sz w:val="24"/>
          <w:szCs w:val="24"/>
        </w:rPr>
        <w:t> </w:t>
      </w:r>
      <w:r w:rsidR="00E420EC" w:rsidRPr="001D186C">
        <w:rPr>
          <w:rFonts w:ascii="Times New Roman" w:eastAsia="Times New Roman" w:hAnsi="Times New Roman" w:cs="Times New Roman"/>
          <w:sz w:val="24"/>
          <w:szCs w:val="24"/>
        </w:rPr>
        <w:t xml:space="preserve">Maçã de Santa Catarina </w:t>
      </w:r>
      <w:r w:rsidR="00931F6A" w:rsidRPr="001D186C">
        <w:rPr>
          <w:rFonts w:ascii="Times New Roman" w:eastAsia="Times New Roman" w:hAnsi="Times New Roman" w:cs="Times New Roman"/>
          <w:sz w:val="24"/>
          <w:szCs w:val="24"/>
        </w:rPr>
        <w:t>-</w:t>
      </w:r>
      <w:r w:rsidR="00E420EC" w:rsidRPr="001D186C">
        <w:rPr>
          <w:rFonts w:ascii="Times New Roman" w:eastAsia="Times New Roman" w:hAnsi="Times New Roman" w:cs="Times New Roman"/>
          <w:sz w:val="24"/>
          <w:szCs w:val="24"/>
        </w:rPr>
        <w:t xml:space="preserve"> Quantidade produzida e </w:t>
      </w:r>
      <w:r w:rsidR="00C379E0" w:rsidRPr="001D186C">
        <w:rPr>
          <w:rFonts w:ascii="Times New Roman" w:eastAsia="Times New Roman" w:hAnsi="Times New Roman" w:cs="Times New Roman"/>
          <w:sz w:val="24"/>
          <w:szCs w:val="24"/>
        </w:rPr>
        <w:t xml:space="preserve">Valor da Produção </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931F6A" w:rsidRPr="001D186C" w14:paraId="079B04AD" w14:textId="77777777" w:rsidTr="000964F9">
        <w:tc>
          <w:tcPr>
            <w:tcW w:w="2831" w:type="dxa"/>
            <w:tcBorders>
              <w:top w:val="single" w:sz="4" w:space="0" w:color="auto"/>
              <w:bottom w:val="single" w:sz="4" w:space="0" w:color="auto"/>
            </w:tcBorders>
            <w:vAlign w:val="bottom"/>
          </w:tcPr>
          <w:p w14:paraId="6ECD6D58" w14:textId="1B65FD18" w:rsidR="00931F6A" w:rsidRPr="001D186C" w:rsidRDefault="00931F6A" w:rsidP="00931F6A">
            <w:pPr>
              <w:spacing w:line="360" w:lineRule="auto"/>
              <w:jc w:val="both"/>
              <w:rPr>
                <w:rFonts w:ascii="Times New Roman" w:eastAsia="Times New Roman" w:hAnsi="Times New Roman" w:cs="Times New Roman"/>
                <w:szCs w:val="24"/>
              </w:rPr>
            </w:pPr>
            <w:r w:rsidRPr="001D186C">
              <w:rPr>
                <w:rFonts w:ascii="Times New Roman" w:eastAsia="Times New Roman" w:hAnsi="Times New Roman" w:cs="Times New Roman"/>
                <w:b/>
                <w:bCs/>
                <w:szCs w:val="24"/>
              </w:rPr>
              <w:t>Maçã- SC</w:t>
            </w:r>
          </w:p>
        </w:tc>
        <w:tc>
          <w:tcPr>
            <w:tcW w:w="2831" w:type="dxa"/>
            <w:tcBorders>
              <w:top w:val="single" w:sz="4" w:space="0" w:color="auto"/>
              <w:bottom w:val="single" w:sz="4" w:space="0" w:color="auto"/>
            </w:tcBorders>
            <w:vAlign w:val="bottom"/>
          </w:tcPr>
          <w:p w14:paraId="59E8A97A" w14:textId="32AB4D79" w:rsidR="00931F6A" w:rsidRPr="001D186C" w:rsidRDefault="00931F6A" w:rsidP="00931F6A">
            <w:pPr>
              <w:spacing w:line="360" w:lineRule="auto"/>
              <w:jc w:val="both"/>
              <w:rPr>
                <w:rFonts w:ascii="Times New Roman" w:eastAsia="Times New Roman" w:hAnsi="Times New Roman" w:cs="Times New Roman"/>
                <w:szCs w:val="24"/>
              </w:rPr>
            </w:pPr>
            <w:r w:rsidRPr="001D186C">
              <w:rPr>
                <w:rFonts w:ascii="Times New Roman" w:eastAsia="Times New Roman" w:hAnsi="Times New Roman" w:cs="Times New Roman"/>
                <w:b/>
                <w:bCs/>
                <w:szCs w:val="24"/>
              </w:rPr>
              <w:t>Quant. produzida (t)</w:t>
            </w:r>
          </w:p>
        </w:tc>
        <w:tc>
          <w:tcPr>
            <w:tcW w:w="2832" w:type="dxa"/>
            <w:tcBorders>
              <w:top w:val="single" w:sz="4" w:space="0" w:color="auto"/>
              <w:bottom w:val="single" w:sz="4" w:space="0" w:color="auto"/>
            </w:tcBorders>
            <w:vAlign w:val="bottom"/>
          </w:tcPr>
          <w:p w14:paraId="4DBA855C" w14:textId="70C7E6EF" w:rsidR="00931F6A" w:rsidRPr="001D186C" w:rsidRDefault="00931F6A" w:rsidP="00931F6A">
            <w:pPr>
              <w:spacing w:line="360" w:lineRule="auto"/>
              <w:jc w:val="both"/>
              <w:rPr>
                <w:rFonts w:ascii="Times New Roman" w:eastAsia="Times New Roman" w:hAnsi="Times New Roman" w:cs="Times New Roman"/>
                <w:szCs w:val="24"/>
              </w:rPr>
            </w:pPr>
            <w:r w:rsidRPr="001D186C">
              <w:rPr>
                <w:rFonts w:ascii="Times New Roman" w:eastAsia="Times New Roman" w:hAnsi="Times New Roman" w:cs="Times New Roman"/>
                <w:b/>
                <w:bCs/>
                <w:szCs w:val="24"/>
              </w:rPr>
              <w:t>Valor da produção (mil R$)</w:t>
            </w:r>
          </w:p>
        </w:tc>
      </w:tr>
      <w:tr w:rsidR="00931F6A" w:rsidRPr="001D186C" w14:paraId="524D07A9" w14:textId="77777777" w:rsidTr="000964F9">
        <w:tc>
          <w:tcPr>
            <w:tcW w:w="2831" w:type="dxa"/>
            <w:tcBorders>
              <w:top w:val="single" w:sz="4" w:space="0" w:color="auto"/>
            </w:tcBorders>
            <w:shd w:val="clear" w:color="auto" w:fill="auto"/>
            <w:vAlign w:val="bottom"/>
          </w:tcPr>
          <w:p w14:paraId="69530FA6" w14:textId="3FF33FB5"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São Joaquim</w:t>
            </w:r>
          </w:p>
        </w:tc>
        <w:tc>
          <w:tcPr>
            <w:tcW w:w="2831" w:type="dxa"/>
            <w:tcBorders>
              <w:top w:val="single" w:sz="4" w:space="0" w:color="auto"/>
            </w:tcBorders>
            <w:shd w:val="clear" w:color="auto" w:fill="auto"/>
            <w:vAlign w:val="bottom"/>
          </w:tcPr>
          <w:p w14:paraId="328C50F6" w14:textId="71DFD758"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271.408</w:t>
            </w:r>
          </w:p>
        </w:tc>
        <w:tc>
          <w:tcPr>
            <w:tcW w:w="2832" w:type="dxa"/>
            <w:tcBorders>
              <w:top w:val="single" w:sz="4" w:space="0" w:color="auto"/>
            </w:tcBorders>
            <w:shd w:val="clear" w:color="auto" w:fill="auto"/>
            <w:vAlign w:val="bottom"/>
          </w:tcPr>
          <w:p w14:paraId="4C0AB84C" w14:textId="33554DF2"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R$ 234.287,24</w:t>
            </w:r>
          </w:p>
        </w:tc>
      </w:tr>
      <w:tr w:rsidR="00931F6A" w:rsidRPr="001D186C" w14:paraId="4B94EC35" w14:textId="77777777" w:rsidTr="000964F9">
        <w:tc>
          <w:tcPr>
            <w:tcW w:w="2831" w:type="dxa"/>
            <w:shd w:val="clear" w:color="auto" w:fill="auto"/>
            <w:vAlign w:val="bottom"/>
          </w:tcPr>
          <w:p w14:paraId="610F03B0" w14:textId="6A9C03DE"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Fraiburgo</w:t>
            </w:r>
          </w:p>
        </w:tc>
        <w:tc>
          <w:tcPr>
            <w:tcW w:w="2831" w:type="dxa"/>
            <w:shd w:val="clear" w:color="auto" w:fill="auto"/>
            <w:vAlign w:val="bottom"/>
          </w:tcPr>
          <w:p w14:paraId="180D628A" w14:textId="7E4D5C5F"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64.535</w:t>
            </w:r>
          </w:p>
        </w:tc>
        <w:tc>
          <w:tcPr>
            <w:tcW w:w="2832" w:type="dxa"/>
            <w:shd w:val="clear" w:color="auto" w:fill="auto"/>
            <w:vAlign w:val="bottom"/>
          </w:tcPr>
          <w:p w14:paraId="5489F550" w14:textId="78DDAAF5"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R$ 127.305,45</w:t>
            </w:r>
          </w:p>
        </w:tc>
      </w:tr>
      <w:tr w:rsidR="00931F6A" w:rsidRPr="001D186C" w14:paraId="545A8049" w14:textId="77777777" w:rsidTr="000964F9">
        <w:tc>
          <w:tcPr>
            <w:tcW w:w="2831" w:type="dxa"/>
            <w:vAlign w:val="bottom"/>
          </w:tcPr>
          <w:p w14:paraId="2B36878B" w14:textId="6AF48258"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Bom Jardim da Serra</w:t>
            </w:r>
          </w:p>
        </w:tc>
        <w:tc>
          <w:tcPr>
            <w:tcW w:w="2831" w:type="dxa"/>
            <w:vAlign w:val="bottom"/>
          </w:tcPr>
          <w:p w14:paraId="65FAB49D" w14:textId="41396839"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50.889</w:t>
            </w:r>
          </w:p>
        </w:tc>
        <w:tc>
          <w:tcPr>
            <w:tcW w:w="2832" w:type="dxa"/>
            <w:vAlign w:val="bottom"/>
          </w:tcPr>
          <w:p w14:paraId="5DEFD20F" w14:textId="52602F18"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R$ 38.421,58</w:t>
            </w:r>
          </w:p>
        </w:tc>
      </w:tr>
      <w:tr w:rsidR="00931F6A" w:rsidRPr="001D186C" w14:paraId="5F77B7E9" w14:textId="77777777" w:rsidTr="000964F9">
        <w:tc>
          <w:tcPr>
            <w:tcW w:w="2831" w:type="dxa"/>
            <w:vAlign w:val="bottom"/>
          </w:tcPr>
          <w:p w14:paraId="2EF84D82" w14:textId="4EFB8422"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Monte Carlo</w:t>
            </w:r>
          </w:p>
        </w:tc>
        <w:tc>
          <w:tcPr>
            <w:tcW w:w="2831" w:type="dxa"/>
            <w:vAlign w:val="bottom"/>
          </w:tcPr>
          <w:p w14:paraId="06C237AA" w14:textId="2208F315"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26.421</w:t>
            </w:r>
          </w:p>
        </w:tc>
        <w:tc>
          <w:tcPr>
            <w:tcW w:w="2832" w:type="dxa"/>
            <w:vAlign w:val="bottom"/>
          </w:tcPr>
          <w:p w14:paraId="63DE3A84" w14:textId="4C62213A"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R$ 62.178,12</w:t>
            </w:r>
          </w:p>
        </w:tc>
      </w:tr>
      <w:tr w:rsidR="00931F6A" w:rsidRPr="001D186C" w14:paraId="0DD309CD" w14:textId="77777777" w:rsidTr="000964F9">
        <w:tc>
          <w:tcPr>
            <w:tcW w:w="2831" w:type="dxa"/>
            <w:vAlign w:val="bottom"/>
          </w:tcPr>
          <w:p w14:paraId="0ED75D4F" w14:textId="6BA19B8A"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Urubici</w:t>
            </w:r>
          </w:p>
        </w:tc>
        <w:tc>
          <w:tcPr>
            <w:tcW w:w="2831" w:type="dxa"/>
            <w:vAlign w:val="bottom"/>
          </w:tcPr>
          <w:p w14:paraId="7723563E" w14:textId="31D8E56F"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23.880</w:t>
            </w:r>
          </w:p>
        </w:tc>
        <w:tc>
          <w:tcPr>
            <w:tcW w:w="2832" w:type="dxa"/>
            <w:vAlign w:val="bottom"/>
          </w:tcPr>
          <w:p w14:paraId="21B091B8" w14:textId="68E6A72B"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R$ 20.060,55</w:t>
            </w:r>
          </w:p>
        </w:tc>
      </w:tr>
      <w:tr w:rsidR="00931F6A" w:rsidRPr="001D186C" w14:paraId="51323536" w14:textId="77777777" w:rsidTr="000964F9">
        <w:tc>
          <w:tcPr>
            <w:tcW w:w="2831" w:type="dxa"/>
            <w:vAlign w:val="bottom"/>
          </w:tcPr>
          <w:p w14:paraId="742BBBA9" w14:textId="73A80046"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Urupema</w:t>
            </w:r>
          </w:p>
        </w:tc>
        <w:tc>
          <w:tcPr>
            <w:tcW w:w="2831" w:type="dxa"/>
            <w:vAlign w:val="bottom"/>
          </w:tcPr>
          <w:p w14:paraId="4CCB3975" w14:textId="0F1F6D9A"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22.232</w:t>
            </w:r>
          </w:p>
        </w:tc>
        <w:tc>
          <w:tcPr>
            <w:tcW w:w="2832" w:type="dxa"/>
            <w:vAlign w:val="bottom"/>
          </w:tcPr>
          <w:p w14:paraId="2B68091C" w14:textId="43BC5D46"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R$ 26.305,97</w:t>
            </w:r>
          </w:p>
        </w:tc>
      </w:tr>
      <w:tr w:rsidR="00931F6A" w:rsidRPr="001D186C" w14:paraId="77C88952" w14:textId="77777777" w:rsidTr="000964F9">
        <w:tc>
          <w:tcPr>
            <w:tcW w:w="2831" w:type="dxa"/>
            <w:vAlign w:val="bottom"/>
          </w:tcPr>
          <w:p w14:paraId="0E3041BF" w14:textId="2C532657"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Lebon Régis</w:t>
            </w:r>
          </w:p>
        </w:tc>
        <w:tc>
          <w:tcPr>
            <w:tcW w:w="2831" w:type="dxa"/>
            <w:vAlign w:val="bottom"/>
          </w:tcPr>
          <w:p w14:paraId="6C56E9CA" w14:textId="0CF29E44"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14.065</w:t>
            </w:r>
          </w:p>
        </w:tc>
        <w:tc>
          <w:tcPr>
            <w:tcW w:w="2832" w:type="dxa"/>
            <w:vAlign w:val="bottom"/>
          </w:tcPr>
          <w:p w14:paraId="5D53ED6E" w14:textId="52AE5531"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R$ 33.111,00</w:t>
            </w:r>
          </w:p>
        </w:tc>
      </w:tr>
      <w:tr w:rsidR="00931F6A" w:rsidRPr="001D186C" w14:paraId="32150FB0" w14:textId="77777777" w:rsidTr="000964F9">
        <w:tc>
          <w:tcPr>
            <w:tcW w:w="2831" w:type="dxa"/>
            <w:vAlign w:val="bottom"/>
          </w:tcPr>
          <w:p w14:paraId="6349125C" w14:textId="05072560"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Painel</w:t>
            </w:r>
          </w:p>
        </w:tc>
        <w:tc>
          <w:tcPr>
            <w:tcW w:w="2831" w:type="dxa"/>
            <w:vAlign w:val="bottom"/>
          </w:tcPr>
          <w:p w14:paraId="05525221" w14:textId="7E318EEA"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13.127</w:t>
            </w:r>
          </w:p>
        </w:tc>
        <w:tc>
          <w:tcPr>
            <w:tcW w:w="2832" w:type="dxa"/>
            <w:vAlign w:val="bottom"/>
          </w:tcPr>
          <w:p w14:paraId="42257562" w14:textId="4E44AC4E"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R$ 10.446,85</w:t>
            </w:r>
          </w:p>
        </w:tc>
      </w:tr>
      <w:tr w:rsidR="00931F6A" w:rsidRPr="001D186C" w14:paraId="5447E2E4" w14:textId="77777777" w:rsidTr="000964F9">
        <w:tc>
          <w:tcPr>
            <w:tcW w:w="2831" w:type="dxa"/>
            <w:vAlign w:val="bottom"/>
          </w:tcPr>
          <w:p w14:paraId="6957F397" w14:textId="49EA7A37"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lastRenderedPageBreak/>
              <w:t>Bom Retiro</w:t>
            </w:r>
          </w:p>
        </w:tc>
        <w:tc>
          <w:tcPr>
            <w:tcW w:w="2831" w:type="dxa"/>
            <w:vAlign w:val="bottom"/>
          </w:tcPr>
          <w:p w14:paraId="6E28DC4B" w14:textId="435F6FBD"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12.764</w:t>
            </w:r>
          </w:p>
        </w:tc>
        <w:tc>
          <w:tcPr>
            <w:tcW w:w="2832" w:type="dxa"/>
            <w:vAlign w:val="bottom"/>
          </w:tcPr>
          <w:p w14:paraId="30980D6D" w14:textId="3F4E84BF"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R$ 10.634,82</w:t>
            </w:r>
          </w:p>
        </w:tc>
      </w:tr>
      <w:tr w:rsidR="00931F6A" w:rsidRPr="001D186C" w14:paraId="6A08D248" w14:textId="77777777" w:rsidTr="000964F9">
        <w:tc>
          <w:tcPr>
            <w:tcW w:w="2831" w:type="dxa"/>
            <w:vAlign w:val="bottom"/>
          </w:tcPr>
          <w:p w14:paraId="390FE0D5" w14:textId="42475A1F"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Água Doce</w:t>
            </w:r>
          </w:p>
        </w:tc>
        <w:tc>
          <w:tcPr>
            <w:tcW w:w="2831" w:type="dxa"/>
            <w:vAlign w:val="bottom"/>
          </w:tcPr>
          <w:p w14:paraId="31310D9E" w14:textId="46591CB8"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12.096</w:t>
            </w:r>
          </w:p>
        </w:tc>
        <w:tc>
          <w:tcPr>
            <w:tcW w:w="2832" w:type="dxa"/>
            <w:vAlign w:val="bottom"/>
          </w:tcPr>
          <w:p w14:paraId="41E42FC1" w14:textId="63AFA74B" w:rsidR="00931F6A" w:rsidRPr="001D186C" w:rsidRDefault="00931F6A" w:rsidP="00931F6A">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R$ 9.709,75</w:t>
            </w:r>
          </w:p>
        </w:tc>
      </w:tr>
    </w:tbl>
    <w:p w14:paraId="4BAD969D" w14:textId="77777777" w:rsidR="00931F6A" w:rsidRPr="001D186C" w:rsidRDefault="00931F6A" w:rsidP="00931F6A">
      <w:pPr>
        <w:pBdr>
          <w:top w:val="single" w:sz="4" w:space="1" w:color="auto"/>
        </w:pBd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Fonte: IBGE, Censo Agropecuário 2017</w:t>
      </w:r>
    </w:p>
    <w:p w14:paraId="47A995D8" w14:textId="77777777" w:rsidR="000964F9" w:rsidRPr="001D186C" w:rsidRDefault="000964F9" w:rsidP="00931F6A">
      <w:pPr>
        <w:pBdr>
          <w:top w:val="single" w:sz="4" w:space="1" w:color="auto"/>
        </w:pBdr>
        <w:spacing w:after="0" w:line="360" w:lineRule="auto"/>
        <w:jc w:val="both"/>
        <w:rPr>
          <w:rFonts w:ascii="Times New Roman" w:eastAsia="Times New Roman" w:hAnsi="Times New Roman" w:cs="Times New Roman"/>
          <w:sz w:val="24"/>
          <w:szCs w:val="24"/>
        </w:rPr>
      </w:pPr>
    </w:p>
    <w:p w14:paraId="3801244E" w14:textId="77777777" w:rsidR="00931F6A" w:rsidRPr="001D186C" w:rsidRDefault="00931F6A" w:rsidP="00931F6A">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2.2 BANANA</w:t>
      </w:r>
    </w:p>
    <w:p w14:paraId="1EDA9B2E" w14:textId="77777777" w:rsidR="00931F6A" w:rsidRPr="001D186C" w:rsidRDefault="00931F6A" w:rsidP="00931F6A">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O Brasil possui uma área colhida de 319.150 hectares de banana, distribuída em 202.513 estabelecimentos, com mais de 443 mil pés de bananeira. A produção total chega a aproximadamente 4.025.937 toneladas, gerando um valor de produção de R$ 3.704.644.097 (valores originais do censo 2017, sem correção pelo IGP-DI). A banana é cultivada em todas as regiões do país, com variedades como a banana-nanica, banana-prata e banana-maçã, entre outras. Essa diversidade de tipos torna a cultura viável e adaptável a diferentes condições climáticas e geográficas, consolidando-a como uma das frutas mais versáteis do Brasil.</w:t>
      </w:r>
    </w:p>
    <w:p w14:paraId="437FFB31" w14:textId="77777777" w:rsidR="00931F6A" w:rsidRPr="001D186C" w:rsidRDefault="00931F6A" w:rsidP="00931F6A">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A maior concentração de produção está na região Sudeste, mas todas as regiões contribuem significativamente. O Sul, por exemplo, responde por 19% da produção nacional, conforme indicado na Tabela 3, de acordo com o censo de 2017. No estado de Santa Catarina, a banana é cultivada em 22.430 hectares, distribuídos em 4.167 estabelecimentos, com mais de 38 mil pés de bananeira. Santa Catarina produz cerca de 567.977 toneladas da fruta, gerando um valor de produção de R$ 364.486.920 (valores originais do censo 2017, sem correção pelo IGP-DI).</w:t>
      </w:r>
    </w:p>
    <w:p w14:paraId="50FD5464" w14:textId="77777777" w:rsidR="000964F9" w:rsidRPr="001D186C" w:rsidRDefault="000964F9"/>
    <w:p w14:paraId="2FD8A862" w14:textId="49E367BA" w:rsidR="00A37369" w:rsidRPr="001D186C" w:rsidRDefault="00A37369">
      <w:r w:rsidRPr="001D186C">
        <w:rPr>
          <w:rFonts w:ascii="Times New Roman" w:eastAsia="Times New Roman" w:hAnsi="Times New Roman" w:cs="Times New Roman"/>
          <w:sz w:val="24"/>
          <w:szCs w:val="24"/>
        </w:rPr>
        <w:t>Tabela 3:</w:t>
      </w:r>
      <w:r w:rsidR="00C14226" w:rsidRPr="001D186C">
        <w:rPr>
          <w:rFonts w:ascii="Times New Roman" w:eastAsia="Times New Roman" w:hAnsi="Times New Roman" w:cs="Times New Roman"/>
          <w:sz w:val="24"/>
          <w:szCs w:val="24"/>
        </w:rPr>
        <w:t xml:space="preserve"> Frutas e</w:t>
      </w:r>
      <w:r w:rsidRPr="001D186C">
        <w:rPr>
          <w:rFonts w:ascii="Times New Roman" w:eastAsia="Times New Roman" w:hAnsi="Times New Roman" w:cs="Times New Roman"/>
          <w:sz w:val="24"/>
          <w:szCs w:val="24"/>
        </w:rPr>
        <w:t xml:space="preserve"> Banana – Participação percentual (%) estadual </w:t>
      </w:r>
      <w:r w:rsidR="000964F9" w:rsidRPr="001D186C">
        <w:rPr>
          <w:rFonts w:ascii="Times New Roman" w:eastAsia="Times New Roman" w:hAnsi="Times New Roman" w:cs="Times New Roman"/>
          <w:sz w:val="24"/>
          <w:szCs w:val="24"/>
        </w:rPr>
        <w:t>n</w:t>
      </w:r>
      <w:r w:rsidRPr="001D186C">
        <w:rPr>
          <w:rFonts w:ascii="Times New Roman" w:eastAsia="Times New Roman" w:hAnsi="Times New Roman" w:cs="Times New Roman"/>
          <w:sz w:val="24"/>
          <w:szCs w:val="24"/>
        </w:rPr>
        <w:t>o volume de produção.</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C01FB5" w:rsidRPr="001D186C" w14:paraId="2FF7A1F2" w14:textId="77777777" w:rsidTr="000964F9">
        <w:tc>
          <w:tcPr>
            <w:tcW w:w="2831" w:type="dxa"/>
            <w:tcBorders>
              <w:top w:val="single" w:sz="4" w:space="0" w:color="auto"/>
              <w:bottom w:val="single" w:sz="4" w:space="0" w:color="auto"/>
            </w:tcBorders>
          </w:tcPr>
          <w:p w14:paraId="7BDF139D" w14:textId="7D14F649" w:rsidR="00931F6A" w:rsidRPr="001D186C" w:rsidRDefault="00931F6A" w:rsidP="00573AD5">
            <w:pPr>
              <w:spacing w:line="360" w:lineRule="auto"/>
              <w:jc w:val="both"/>
              <w:rPr>
                <w:rFonts w:ascii="Times New Roman" w:eastAsia="Times New Roman" w:hAnsi="Times New Roman" w:cs="Times New Roman"/>
                <w:b/>
                <w:bCs/>
                <w:szCs w:val="24"/>
              </w:rPr>
            </w:pPr>
            <w:r w:rsidRPr="001D186C">
              <w:rPr>
                <w:rFonts w:ascii="Times New Roman" w:eastAsia="Times New Roman" w:hAnsi="Times New Roman" w:cs="Times New Roman"/>
                <w:b/>
                <w:bCs/>
                <w:szCs w:val="24"/>
              </w:rPr>
              <w:t>UF</w:t>
            </w:r>
          </w:p>
        </w:tc>
        <w:tc>
          <w:tcPr>
            <w:tcW w:w="2831" w:type="dxa"/>
            <w:tcBorders>
              <w:top w:val="single" w:sz="4" w:space="0" w:color="auto"/>
              <w:bottom w:val="single" w:sz="4" w:space="0" w:color="auto"/>
            </w:tcBorders>
          </w:tcPr>
          <w:p w14:paraId="38005EF4" w14:textId="06766AD5" w:rsidR="00931F6A" w:rsidRPr="001D186C" w:rsidRDefault="00931F6A" w:rsidP="00573AD5">
            <w:pPr>
              <w:spacing w:line="360" w:lineRule="auto"/>
              <w:jc w:val="both"/>
              <w:rPr>
                <w:rFonts w:ascii="Times New Roman" w:eastAsia="Times New Roman" w:hAnsi="Times New Roman" w:cs="Times New Roman"/>
                <w:b/>
                <w:bCs/>
                <w:szCs w:val="24"/>
              </w:rPr>
            </w:pPr>
            <w:r w:rsidRPr="001D186C">
              <w:rPr>
                <w:rFonts w:ascii="Times New Roman" w:eastAsia="Times New Roman" w:hAnsi="Times New Roman" w:cs="Times New Roman"/>
                <w:b/>
                <w:bCs/>
                <w:szCs w:val="24"/>
              </w:rPr>
              <w:t>Total – Subgrupo Frutas</w:t>
            </w:r>
          </w:p>
        </w:tc>
        <w:tc>
          <w:tcPr>
            <w:tcW w:w="2832" w:type="dxa"/>
            <w:tcBorders>
              <w:top w:val="single" w:sz="4" w:space="0" w:color="auto"/>
              <w:bottom w:val="single" w:sz="4" w:space="0" w:color="auto"/>
            </w:tcBorders>
          </w:tcPr>
          <w:p w14:paraId="0147864B" w14:textId="146F7989" w:rsidR="00931F6A" w:rsidRPr="001D186C" w:rsidRDefault="00931F6A" w:rsidP="000964F9">
            <w:pPr>
              <w:spacing w:line="360" w:lineRule="auto"/>
              <w:jc w:val="right"/>
              <w:rPr>
                <w:rFonts w:ascii="Times New Roman" w:eastAsia="Times New Roman" w:hAnsi="Times New Roman" w:cs="Times New Roman"/>
                <w:b/>
                <w:bCs/>
                <w:szCs w:val="24"/>
              </w:rPr>
            </w:pPr>
            <w:r w:rsidRPr="001D186C">
              <w:rPr>
                <w:rFonts w:ascii="Times New Roman" w:eastAsia="Times New Roman" w:hAnsi="Times New Roman" w:cs="Times New Roman"/>
                <w:b/>
                <w:bCs/>
                <w:szCs w:val="24"/>
              </w:rPr>
              <w:t>Banana</w:t>
            </w:r>
          </w:p>
        </w:tc>
      </w:tr>
      <w:tr w:rsidR="00C01FB5" w:rsidRPr="001D186C" w14:paraId="32348DE2" w14:textId="77777777" w:rsidTr="000964F9">
        <w:tc>
          <w:tcPr>
            <w:tcW w:w="2831" w:type="dxa"/>
            <w:tcBorders>
              <w:top w:val="single" w:sz="4" w:space="0" w:color="auto"/>
              <w:bottom w:val="single" w:sz="4" w:space="0" w:color="auto"/>
            </w:tcBorders>
          </w:tcPr>
          <w:p w14:paraId="4A0C8B52" w14:textId="3C788737" w:rsidR="00A37369" w:rsidRPr="001D186C" w:rsidRDefault="00A37369" w:rsidP="00573AD5">
            <w:pPr>
              <w:spacing w:line="360" w:lineRule="auto"/>
              <w:jc w:val="both"/>
              <w:rPr>
                <w:rFonts w:ascii="Times New Roman" w:eastAsia="Times New Roman" w:hAnsi="Times New Roman" w:cs="Times New Roman"/>
                <w:b/>
                <w:bCs/>
                <w:szCs w:val="24"/>
              </w:rPr>
            </w:pPr>
            <w:r w:rsidRPr="001D186C">
              <w:rPr>
                <w:rFonts w:ascii="Times New Roman" w:eastAsia="Times New Roman" w:hAnsi="Times New Roman" w:cs="Times New Roman"/>
                <w:b/>
                <w:bCs/>
                <w:szCs w:val="24"/>
              </w:rPr>
              <w:t>Brasil</w:t>
            </w:r>
          </w:p>
        </w:tc>
        <w:tc>
          <w:tcPr>
            <w:tcW w:w="2831" w:type="dxa"/>
            <w:tcBorders>
              <w:top w:val="single" w:sz="4" w:space="0" w:color="auto"/>
              <w:bottom w:val="single" w:sz="4" w:space="0" w:color="auto"/>
            </w:tcBorders>
          </w:tcPr>
          <w:p w14:paraId="5E4995ED" w14:textId="4C96F216" w:rsidR="00A37369" w:rsidRPr="001D186C" w:rsidRDefault="00A37369" w:rsidP="00573AD5">
            <w:pPr>
              <w:spacing w:line="360" w:lineRule="auto"/>
              <w:jc w:val="right"/>
              <w:rPr>
                <w:rFonts w:ascii="Times New Roman" w:eastAsia="Times New Roman" w:hAnsi="Times New Roman" w:cs="Times New Roman"/>
                <w:b/>
                <w:bCs/>
                <w:szCs w:val="24"/>
              </w:rPr>
            </w:pPr>
            <w:r w:rsidRPr="001D186C">
              <w:rPr>
                <w:rFonts w:ascii="Times New Roman" w:eastAsia="Times New Roman" w:hAnsi="Times New Roman" w:cs="Times New Roman"/>
                <w:b/>
                <w:bCs/>
                <w:szCs w:val="24"/>
              </w:rPr>
              <w:t>26.068,26 t</w:t>
            </w:r>
          </w:p>
        </w:tc>
        <w:tc>
          <w:tcPr>
            <w:tcW w:w="2832" w:type="dxa"/>
            <w:tcBorders>
              <w:top w:val="single" w:sz="4" w:space="0" w:color="auto"/>
              <w:bottom w:val="single" w:sz="4" w:space="0" w:color="auto"/>
            </w:tcBorders>
          </w:tcPr>
          <w:p w14:paraId="4809920B" w14:textId="58BA8687" w:rsidR="00A37369" w:rsidRPr="001D186C" w:rsidRDefault="00A37369" w:rsidP="00573AD5">
            <w:pPr>
              <w:spacing w:line="360" w:lineRule="auto"/>
              <w:jc w:val="right"/>
              <w:rPr>
                <w:rFonts w:ascii="Times New Roman" w:eastAsia="Times New Roman" w:hAnsi="Times New Roman" w:cs="Times New Roman"/>
                <w:b/>
                <w:bCs/>
                <w:szCs w:val="24"/>
              </w:rPr>
            </w:pPr>
            <w:r w:rsidRPr="001D186C">
              <w:rPr>
                <w:rFonts w:ascii="Times New Roman" w:eastAsia="Times New Roman" w:hAnsi="Times New Roman" w:cs="Times New Roman"/>
                <w:b/>
                <w:bCs/>
                <w:szCs w:val="24"/>
              </w:rPr>
              <w:t>4.025,94 t</w:t>
            </w:r>
          </w:p>
        </w:tc>
      </w:tr>
      <w:tr w:rsidR="00C01FB5" w:rsidRPr="001D186C" w14:paraId="5C5B5E55" w14:textId="77777777" w:rsidTr="000964F9">
        <w:tc>
          <w:tcPr>
            <w:tcW w:w="2831" w:type="dxa"/>
            <w:tcBorders>
              <w:top w:val="single" w:sz="4" w:space="0" w:color="auto"/>
            </w:tcBorders>
          </w:tcPr>
          <w:p w14:paraId="2533E16F" w14:textId="462AFD46" w:rsidR="00A37369" w:rsidRPr="001D186C" w:rsidRDefault="00A37369" w:rsidP="00573AD5">
            <w:pPr>
              <w:spacing w:line="360" w:lineRule="auto"/>
              <w:jc w:val="both"/>
              <w:rPr>
                <w:rFonts w:ascii="Times New Roman" w:eastAsia="Times New Roman" w:hAnsi="Times New Roman" w:cs="Times New Roman"/>
                <w:bCs/>
                <w:szCs w:val="24"/>
              </w:rPr>
            </w:pPr>
            <w:r w:rsidRPr="001D186C">
              <w:rPr>
                <w:rFonts w:ascii="Times New Roman" w:eastAsia="Times New Roman" w:hAnsi="Times New Roman" w:cs="Times New Roman"/>
                <w:bCs/>
                <w:szCs w:val="24"/>
              </w:rPr>
              <w:t>São Paulo</w:t>
            </w:r>
          </w:p>
        </w:tc>
        <w:tc>
          <w:tcPr>
            <w:tcW w:w="2831" w:type="dxa"/>
            <w:tcBorders>
              <w:top w:val="single" w:sz="4" w:space="0" w:color="auto"/>
            </w:tcBorders>
          </w:tcPr>
          <w:p w14:paraId="525C19FE" w14:textId="750FA30F" w:rsidR="00A37369" w:rsidRPr="001D186C" w:rsidRDefault="00A37369"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bCs/>
                <w:szCs w:val="24"/>
              </w:rPr>
              <w:t>47,92%</w:t>
            </w:r>
          </w:p>
        </w:tc>
        <w:tc>
          <w:tcPr>
            <w:tcW w:w="2832" w:type="dxa"/>
            <w:tcBorders>
              <w:top w:val="single" w:sz="4" w:space="0" w:color="auto"/>
            </w:tcBorders>
          </w:tcPr>
          <w:p w14:paraId="325E07BB" w14:textId="73EF6E2F" w:rsidR="00A37369" w:rsidRPr="001D186C" w:rsidRDefault="00A37369"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bCs/>
                <w:szCs w:val="24"/>
              </w:rPr>
              <w:t>16,25%</w:t>
            </w:r>
          </w:p>
        </w:tc>
      </w:tr>
      <w:tr w:rsidR="00C01FB5" w:rsidRPr="001D186C" w14:paraId="4E607D18" w14:textId="77777777" w:rsidTr="000964F9">
        <w:tc>
          <w:tcPr>
            <w:tcW w:w="2831" w:type="dxa"/>
          </w:tcPr>
          <w:p w14:paraId="383ED512" w14:textId="7FE5F5AB" w:rsidR="00A37369" w:rsidRPr="001D186C" w:rsidRDefault="00A37369" w:rsidP="00573AD5">
            <w:pPr>
              <w:spacing w:line="360" w:lineRule="auto"/>
              <w:jc w:val="both"/>
              <w:rPr>
                <w:rFonts w:ascii="Times New Roman" w:eastAsia="Times New Roman" w:hAnsi="Times New Roman" w:cs="Times New Roman"/>
                <w:bCs/>
                <w:szCs w:val="24"/>
              </w:rPr>
            </w:pPr>
            <w:r w:rsidRPr="001D186C">
              <w:rPr>
                <w:rFonts w:ascii="Times New Roman" w:eastAsia="Times New Roman" w:hAnsi="Times New Roman" w:cs="Times New Roman"/>
                <w:bCs/>
                <w:szCs w:val="24"/>
              </w:rPr>
              <w:t>Minas Gerais</w:t>
            </w:r>
          </w:p>
        </w:tc>
        <w:tc>
          <w:tcPr>
            <w:tcW w:w="2831" w:type="dxa"/>
          </w:tcPr>
          <w:p w14:paraId="5D80E67C" w14:textId="4362E51B" w:rsidR="00A37369" w:rsidRPr="001D186C" w:rsidRDefault="00A37369"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bCs/>
                <w:szCs w:val="24"/>
              </w:rPr>
              <w:t>8,35%</w:t>
            </w:r>
          </w:p>
        </w:tc>
        <w:tc>
          <w:tcPr>
            <w:tcW w:w="2832" w:type="dxa"/>
          </w:tcPr>
          <w:p w14:paraId="3516FFCF" w14:textId="43FC032B" w:rsidR="00A37369" w:rsidRPr="001D186C" w:rsidRDefault="00A37369"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bCs/>
                <w:szCs w:val="24"/>
              </w:rPr>
              <w:t>16,41%</w:t>
            </w:r>
          </w:p>
        </w:tc>
      </w:tr>
      <w:tr w:rsidR="00C01FB5" w:rsidRPr="001D186C" w14:paraId="7238F881" w14:textId="77777777" w:rsidTr="000964F9">
        <w:tc>
          <w:tcPr>
            <w:tcW w:w="2831" w:type="dxa"/>
          </w:tcPr>
          <w:p w14:paraId="66ABD3D7" w14:textId="2EC8D07D" w:rsidR="00A37369" w:rsidRPr="001D186C" w:rsidRDefault="00A37369" w:rsidP="00573AD5">
            <w:pPr>
              <w:spacing w:line="360" w:lineRule="auto"/>
              <w:jc w:val="both"/>
              <w:rPr>
                <w:rFonts w:ascii="Times New Roman" w:eastAsia="Times New Roman" w:hAnsi="Times New Roman" w:cs="Times New Roman"/>
                <w:bCs/>
                <w:szCs w:val="24"/>
              </w:rPr>
            </w:pPr>
            <w:r w:rsidRPr="001D186C">
              <w:rPr>
                <w:rFonts w:ascii="Times New Roman" w:eastAsia="Times New Roman" w:hAnsi="Times New Roman" w:cs="Times New Roman"/>
                <w:bCs/>
                <w:szCs w:val="24"/>
              </w:rPr>
              <w:t>Rio Grande do Sul</w:t>
            </w:r>
          </w:p>
        </w:tc>
        <w:tc>
          <w:tcPr>
            <w:tcW w:w="2831" w:type="dxa"/>
          </w:tcPr>
          <w:p w14:paraId="68EABBF0" w14:textId="3612519A" w:rsidR="00A37369" w:rsidRPr="001D186C" w:rsidRDefault="00A37369"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bCs/>
                <w:szCs w:val="24"/>
              </w:rPr>
              <w:t>7,93%</w:t>
            </w:r>
          </w:p>
        </w:tc>
        <w:tc>
          <w:tcPr>
            <w:tcW w:w="2832" w:type="dxa"/>
          </w:tcPr>
          <w:p w14:paraId="1038E86B" w14:textId="77D157A2" w:rsidR="00A37369" w:rsidRPr="001D186C" w:rsidRDefault="00A37369"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bCs/>
                <w:szCs w:val="24"/>
              </w:rPr>
              <w:t>2,17%</w:t>
            </w:r>
          </w:p>
        </w:tc>
      </w:tr>
      <w:tr w:rsidR="00C01FB5" w:rsidRPr="001D186C" w14:paraId="49FBBE0E" w14:textId="77777777" w:rsidTr="000964F9">
        <w:tc>
          <w:tcPr>
            <w:tcW w:w="2831" w:type="dxa"/>
          </w:tcPr>
          <w:p w14:paraId="0EA27071" w14:textId="68F31CC8" w:rsidR="00A37369" w:rsidRPr="001D186C" w:rsidRDefault="00A37369" w:rsidP="00573AD5">
            <w:pPr>
              <w:spacing w:line="360" w:lineRule="auto"/>
              <w:jc w:val="both"/>
              <w:rPr>
                <w:rFonts w:ascii="Times New Roman" w:eastAsia="Times New Roman" w:hAnsi="Times New Roman" w:cs="Times New Roman"/>
                <w:bCs/>
                <w:szCs w:val="24"/>
              </w:rPr>
            </w:pPr>
            <w:r w:rsidRPr="001D186C">
              <w:rPr>
                <w:rFonts w:ascii="Times New Roman" w:eastAsia="Times New Roman" w:hAnsi="Times New Roman" w:cs="Times New Roman"/>
                <w:bCs/>
                <w:szCs w:val="24"/>
              </w:rPr>
              <w:t>Bahia</w:t>
            </w:r>
          </w:p>
        </w:tc>
        <w:tc>
          <w:tcPr>
            <w:tcW w:w="2831" w:type="dxa"/>
          </w:tcPr>
          <w:p w14:paraId="08C05108" w14:textId="351BE820" w:rsidR="00A37369" w:rsidRPr="001D186C" w:rsidRDefault="00A37369"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bCs/>
                <w:szCs w:val="24"/>
              </w:rPr>
              <w:t>7,85%</w:t>
            </w:r>
          </w:p>
        </w:tc>
        <w:tc>
          <w:tcPr>
            <w:tcW w:w="2832" w:type="dxa"/>
          </w:tcPr>
          <w:p w14:paraId="54F1594D" w14:textId="0AA4DA49" w:rsidR="00A37369" w:rsidRPr="001D186C" w:rsidRDefault="00A37369"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bCs/>
                <w:szCs w:val="24"/>
              </w:rPr>
              <w:t>13,72%</w:t>
            </w:r>
          </w:p>
        </w:tc>
      </w:tr>
      <w:tr w:rsidR="00C01FB5" w:rsidRPr="001D186C" w14:paraId="202CC458" w14:textId="77777777" w:rsidTr="000964F9">
        <w:tc>
          <w:tcPr>
            <w:tcW w:w="2831" w:type="dxa"/>
          </w:tcPr>
          <w:p w14:paraId="59B70C2E" w14:textId="0E5EE840" w:rsidR="00A37369" w:rsidRPr="001D186C" w:rsidRDefault="00A37369" w:rsidP="00573AD5">
            <w:pPr>
              <w:spacing w:line="360" w:lineRule="auto"/>
              <w:jc w:val="both"/>
              <w:rPr>
                <w:rFonts w:ascii="Times New Roman" w:eastAsia="Times New Roman" w:hAnsi="Times New Roman" w:cs="Times New Roman"/>
                <w:bCs/>
                <w:szCs w:val="24"/>
              </w:rPr>
            </w:pPr>
            <w:r w:rsidRPr="001D186C">
              <w:rPr>
                <w:rFonts w:ascii="Times New Roman" w:eastAsia="Times New Roman" w:hAnsi="Times New Roman" w:cs="Times New Roman"/>
                <w:bCs/>
                <w:szCs w:val="24"/>
              </w:rPr>
              <w:t>Santa Catarina</w:t>
            </w:r>
          </w:p>
        </w:tc>
        <w:tc>
          <w:tcPr>
            <w:tcW w:w="2831" w:type="dxa"/>
          </w:tcPr>
          <w:p w14:paraId="5E5B2C88" w14:textId="7156E102" w:rsidR="00A37369" w:rsidRPr="001D186C" w:rsidRDefault="00A37369"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bCs/>
                <w:szCs w:val="24"/>
              </w:rPr>
              <w:t>4,87%</w:t>
            </w:r>
          </w:p>
        </w:tc>
        <w:tc>
          <w:tcPr>
            <w:tcW w:w="2832" w:type="dxa"/>
          </w:tcPr>
          <w:p w14:paraId="6AC845DB" w14:textId="2D02F64D" w:rsidR="00A37369" w:rsidRPr="001D186C" w:rsidRDefault="00A37369"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bCs/>
                <w:szCs w:val="24"/>
              </w:rPr>
              <w:t>14,11%</w:t>
            </w:r>
          </w:p>
        </w:tc>
      </w:tr>
      <w:tr w:rsidR="00C01FB5" w:rsidRPr="001D186C" w14:paraId="764CA549" w14:textId="77777777" w:rsidTr="000964F9">
        <w:tc>
          <w:tcPr>
            <w:tcW w:w="2831" w:type="dxa"/>
          </w:tcPr>
          <w:p w14:paraId="70751917" w14:textId="3CD3348A" w:rsidR="00A37369" w:rsidRPr="001D186C" w:rsidRDefault="00A37369" w:rsidP="00573AD5">
            <w:pPr>
              <w:spacing w:line="360" w:lineRule="auto"/>
              <w:jc w:val="both"/>
              <w:rPr>
                <w:rFonts w:ascii="Times New Roman" w:eastAsia="Times New Roman" w:hAnsi="Times New Roman" w:cs="Times New Roman"/>
                <w:bCs/>
                <w:szCs w:val="24"/>
              </w:rPr>
            </w:pPr>
            <w:r w:rsidRPr="001D186C">
              <w:rPr>
                <w:rFonts w:ascii="Times New Roman" w:eastAsia="Times New Roman" w:hAnsi="Times New Roman" w:cs="Times New Roman"/>
                <w:bCs/>
                <w:szCs w:val="24"/>
              </w:rPr>
              <w:t>Paraná</w:t>
            </w:r>
          </w:p>
        </w:tc>
        <w:tc>
          <w:tcPr>
            <w:tcW w:w="2831" w:type="dxa"/>
          </w:tcPr>
          <w:p w14:paraId="57507F3D" w14:textId="65AFA317" w:rsidR="00A37369" w:rsidRPr="001D186C" w:rsidRDefault="00A37369"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bCs/>
                <w:szCs w:val="24"/>
              </w:rPr>
              <w:t>3,49%</w:t>
            </w:r>
          </w:p>
        </w:tc>
        <w:tc>
          <w:tcPr>
            <w:tcW w:w="2832" w:type="dxa"/>
          </w:tcPr>
          <w:p w14:paraId="462E38FA" w14:textId="1E108F43" w:rsidR="00A37369" w:rsidRPr="001D186C" w:rsidRDefault="00A37369" w:rsidP="00573AD5">
            <w:pPr>
              <w:spacing w:line="360" w:lineRule="auto"/>
              <w:jc w:val="right"/>
              <w:rPr>
                <w:rFonts w:ascii="Times New Roman" w:eastAsia="Times New Roman" w:hAnsi="Times New Roman" w:cs="Times New Roman"/>
                <w:bCs/>
                <w:szCs w:val="24"/>
              </w:rPr>
            </w:pPr>
            <w:r w:rsidRPr="001D186C">
              <w:rPr>
                <w:rFonts w:ascii="Times New Roman" w:eastAsia="Times New Roman" w:hAnsi="Times New Roman" w:cs="Times New Roman"/>
                <w:bCs/>
                <w:szCs w:val="24"/>
              </w:rPr>
              <w:t>2,83%</w:t>
            </w:r>
          </w:p>
        </w:tc>
      </w:tr>
    </w:tbl>
    <w:p w14:paraId="14897F00" w14:textId="77777777" w:rsidR="00A37369" w:rsidRPr="001D186C" w:rsidRDefault="00A37369" w:rsidP="00A37369">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Fonte: IBGE, Censo Agropecuário 2017. </w:t>
      </w:r>
    </w:p>
    <w:p w14:paraId="0EABF713" w14:textId="77777777" w:rsidR="000964F9" w:rsidRPr="001D186C" w:rsidRDefault="000964F9" w:rsidP="00A37369">
      <w:pPr>
        <w:spacing w:after="0" w:line="360" w:lineRule="auto"/>
        <w:jc w:val="both"/>
        <w:rPr>
          <w:rFonts w:ascii="Times New Roman" w:eastAsia="Times New Roman" w:hAnsi="Times New Roman" w:cs="Times New Roman"/>
          <w:sz w:val="24"/>
          <w:szCs w:val="24"/>
        </w:rPr>
      </w:pPr>
    </w:p>
    <w:p w14:paraId="6276ED50" w14:textId="3998B8E9" w:rsidR="00A37369" w:rsidRPr="001D186C" w:rsidRDefault="00A37369" w:rsidP="00A37369">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lastRenderedPageBreak/>
        <w:t>O estado de Santa Catarina possui dois principais de produção de banana. O primeiro é o município de Corupá, conhecido como a “Capital Catarinense da Banana” (conforme a Lei Estadual nº 12.472/2002), anualmente, a cidade celebra a Festa da Banana, um evento que ressalta a importância da cultura para a região. Com uma produção e valor de produção detalhados na Tabela 4, Corupá se destaca como o maior produtor da fruta no estado (Censo, 2017). A banana é fundamental para a economia local, com a maioria dos produtores pertencentes à agricultura familiar. </w:t>
      </w:r>
    </w:p>
    <w:p w14:paraId="077B12BF" w14:textId="4875F07E" w:rsidR="00A37369" w:rsidRPr="001D186C" w:rsidRDefault="00A37369" w:rsidP="00A37369">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O segundo é o município de Luiz Alves</w:t>
      </w:r>
      <w:r w:rsidR="0006219B" w:rsidRPr="001D186C">
        <w:rPr>
          <w:rFonts w:ascii="Times New Roman" w:eastAsia="Times New Roman" w:hAnsi="Times New Roman" w:cs="Times New Roman"/>
          <w:sz w:val="24"/>
          <w:szCs w:val="24"/>
        </w:rPr>
        <w:t xml:space="preserve"> c</w:t>
      </w:r>
      <w:r w:rsidRPr="001D186C">
        <w:rPr>
          <w:rFonts w:ascii="Times New Roman" w:eastAsia="Times New Roman" w:hAnsi="Times New Roman" w:cs="Times New Roman"/>
          <w:sz w:val="24"/>
          <w:szCs w:val="24"/>
        </w:rPr>
        <w:t>om produção e valor de produção indicados na Tabela 4, Luiz Alves consolida-se como o segundo maior produtor de banana em Santa Catarina (Censo, 2017). Além da banana, destaca-se na agricultura com o plantio de arroz e hortifrutigranjeiros, e na indústria, com os setores têxtil e metalúrgico.</w:t>
      </w:r>
    </w:p>
    <w:p w14:paraId="3D832DEE" w14:textId="77777777" w:rsidR="000964F9" w:rsidRPr="001D186C" w:rsidRDefault="000964F9" w:rsidP="00A37369">
      <w:pPr>
        <w:spacing w:after="0" w:line="360" w:lineRule="auto"/>
        <w:ind w:firstLine="708"/>
        <w:jc w:val="both"/>
        <w:rPr>
          <w:rFonts w:ascii="Times New Roman" w:eastAsia="Times New Roman" w:hAnsi="Times New Roman" w:cs="Times New Roman"/>
          <w:b/>
          <w:sz w:val="24"/>
          <w:szCs w:val="24"/>
        </w:rPr>
      </w:pPr>
    </w:p>
    <w:p w14:paraId="54BF4DDF" w14:textId="5F9BC1A2" w:rsidR="00A37369" w:rsidRPr="001D186C" w:rsidRDefault="00A37369" w:rsidP="00A37369">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Tabela 4:  Banana de Santa Catarina - Quantidade produzida e Valor da Produção </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C01FB5" w:rsidRPr="001D186C" w14:paraId="70C1A176" w14:textId="77777777" w:rsidTr="00DF6482">
        <w:tc>
          <w:tcPr>
            <w:tcW w:w="2831" w:type="dxa"/>
            <w:tcBorders>
              <w:top w:val="single" w:sz="4" w:space="0" w:color="auto"/>
              <w:bottom w:val="single" w:sz="4" w:space="0" w:color="auto"/>
            </w:tcBorders>
            <w:vAlign w:val="bottom"/>
          </w:tcPr>
          <w:p w14:paraId="5A6AF7E5" w14:textId="106EE2BA" w:rsidR="00A37369" w:rsidRPr="001D186C" w:rsidRDefault="00A37369" w:rsidP="00800783">
            <w:pPr>
              <w:spacing w:line="360" w:lineRule="auto"/>
              <w:jc w:val="both"/>
              <w:rPr>
                <w:rFonts w:ascii="Times New Roman" w:eastAsia="Times New Roman" w:hAnsi="Times New Roman" w:cs="Times New Roman"/>
                <w:szCs w:val="24"/>
              </w:rPr>
            </w:pPr>
            <w:r w:rsidRPr="001D186C">
              <w:rPr>
                <w:rFonts w:ascii="Times New Roman" w:eastAsia="Times New Roman" w:hAnsi="Times New Roman" w:cs="Times New Roman"/>
                <w:b/>
                <w:bCs/>
                <w:szCs w:val="24"/>
              </w:rPr>
              <w:t>Banana- SC</w:t>
            </w:r>
          </w:p>
        </w:tc>
        <w:tc>
          <w:tcPr>
            <w:tcW w:w="2831" w:type="dxa"/>
            <w:tcBorders>
              <w:top w:val="single" w:sz="4" w:space="0" w:color="auto"/>
              <w:bottom w:val="single" w:sz="4" w:space="0" w:color="auto"/>
            </w:tcBorders>
            <w:vAlign w:val="bottom"/>
          </w:tcPr>
          <w:p w14:paraId="54B4E056" w14:textId="77777777" w:rsidR="00A37369" w:rsidRPr="001D186C" w:rsidRDefault="00A37369" w:rsidP="00800783">
            <w:pPr>
              <w:spacing w:line="360" w:lineRule="auto"/>
              <w:jc w:val="both"/>
              <w:rPr>
                <w:rFonts w:ascii="Times New Roman" w:eastAsia="Times New Roman" w:hAnsi="Times New Roman" w:cs="Times New Roman"/>
                <w:szCs w:val="24"/>
              </w:rPr>
            </w:pPr>
            <w:r w:rsidRPr="001D186C">
              <w:rPr>
                <w:rFonts w:ascii="Times New Roman" w:eastAsia="Times New Roman" w:hAnsi="Times New Roman" w:cs="Times New Roman"/>
                <w:b/>
                <w:bCs/>
                <w:szCs w:val="24"/>
              </w:rPr>
              <w:t>Quant. produzida (t)</w:t>
            </w:r>
          </w:p>
        </w:tc>
        <w:tc>
          <w:tcPr>
            <w:tcW w:w="2832" w:type="dxa"/>
            <w:tcBorders>
              <w:top w:val="single" w:sz="4" w:space="0" w:color="auto"/>
              <w:bottom w:val="single" w:sz="4" w:space="0" w:color="auto"/>
            </w:tcBorders>
            <w:vAlign w:val="bottom"/>
          </w:tcPr>
          <w:p w14:paraId="3A0F1C68" w14:textId="77777777" w:rsidR="00A37369" w:rsidRPr="001D186C" w:rsidRDefault="00A37369" w:rsidP="00800783">
            <w:pPr>
              <w:spacing w:line="360" w:lineRule="auto"/>
              <w:jc w:val="both"/>
              <w:rPr>
                <w:rFonts w:ascii="Times New Roman" w:eastAsia="Times New Roman" w:hAnsi="Times New Roman" w:cs="Times New Roman"/>
                <w:szCs w:val="24"/>
              </w:rPr>
            </w:pPr>
            <w:r w:rsidRPr="001D186C">
              <w:rPr>
                <w:rFonts w:ascii="Times New Roman" w:eastAsia="Times New Roman" w:hAnsi="Times New Roman" w:cs="Times New Roman"/>
                <w:b/>
                <w:bCs/>
                <w:szCs w:val="24"/>
              </w:rPr>
              <w:t>Valor da produção (mil R$)</w:t>
            </w:r>
          </w:p>
        </w:tc>
      </w:tr>
      <w:tr w:rsidR="00C01FB5" w:rsidRPr="001D186C" w14:paraId="4462F34A" w14:textId="77777777" w:rsidTr="00DF6482">
        <w:tc>
          <w:tcPr>
            <w:tcW w:w="2831" w:type="dxa"/>
            <w:tcBorders>
              <w:top w:val="single" w:sz="4" w:space="0" w:color="auto"/>
            </w:tcBorders>
            <w:shd w:val="clear" w:color="auto" w:fill="auto"/>
            <w:vAlign w:val="bottom"/>
          </w:tcPr>
          <w:p w14:paraId="4F5C2A58" w14:textId="1C4F1754" w:rsidR="00A37369" w:rsidRPr="001D186C" w:rsidRDefault="00A37369" w:rsidP="00A37369">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Corupá</w:t>
            </w:r>
          </w:p>
        </w:tc>
        <w:tc>
          <w:tcPr>
            <w:tcW w:w="2831" w:type="dxa"/>
            <w:tcBorders>
              <w:top w:val="single" w:sz="4" w:space="0" w:color="auto"/>
            </w:tcBorders>
            <w:shd w:val="clear" w:color="auto" w:fill="auto"/>
            <w:vAlign w:val="bottom"/>
          </w:tcPr>
          <w:p w14:paraId="1DD16330" w14:textId="607E268B"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128.480</w:t>
            </w:r>
          </w:p>
        </w:tc>
        <w:tc>
          <w:tcPr>
            <w:tcW w:w="2832" w:type="dxa"/>
            <w:tcBorders>
              <w:top w:val="single" w:sz="4" w:space="0" w:color="auto"/>
            </w:tcBorders>
            <w:shd w:val="clear" w:color="auto" w:fill="auto"/>
            <w:vAlign w:val="bottom"/>
          </w:tcPr>
          <w:p w14:paraId="04D6ED86" w14:textId="3D2CA231"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R$ 73.385,68</w:t>
            </w:r>
          </w:p>
        </w:tc>
      </w:tr>
      <w:tr w:rsidR="00C01FB5" w:rsidRPr="001D186C" w14:paraId="7AB0CFA6" w14:textId="77777777" w:rsidTr="00DF6482">
        <w:tc>
          <w:tcPr>
            <w:tcW w:w="2831" w:type="dxa"/>
            <w:shd w:val="clear" w:color="auto" w:fill="auto"/>
            <w:vAlign w:val="bottom"/>
          </w:tcPr>
          <w:p w14:paraId="231C2DE9" w14:textId="213EB39B" w:rsidR="00A37369" w:rsidRPr="001D186C" w:rsidRDefault="00A37369" w:rsidP="00A37369">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Luiz Alves</w:t>
            </w:r>
          </w:p>
        </w:tc>
        <w:tc>
          <w:tcPr>
            <w:tcW w:w="2831" w:type="dxa"/>
            <w:shd w:val="clear" w:color="auto" w:fill="auto"/>
            <w:vAlign w:val="bottom"/>
          </w:tcPr>
          <w:p w14:paraId="0B19F6D3" w14:textId="62998DCB"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102.697</w:t>
            </w:r>
          </w:p>
        </w:tc>
        <w:tc>
          <w:tcPr>
            <w:tcW w:w="2832" w:type="dxa"/>
            <w:shd w:val="clear" w:color="auto" w:fill="auto"/>
            <w:vAlign w:val="bottom"/>
          </w:tcPr>
          <w:p w14:paraId="7E1EB273" w14:textId="7456FCD7"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R$ 58.818,79</w:t>
            </w:r>
          </w:p>
        </w:tc>
      </w:tr>
      <w:tr w:rsidR="00C01FB5" w:rsidRPr="001D186C" w14:paraId="7682F39E" w14:textId="77777777" w:rsidTr="00DF6482">
        <w:tc>
          <w:tcPr>
            <w:tcW w:w="2831" w:type="dxa"/>
            <w:vAlign w:val="bottom"/>
          </w:tcPr>
          <w:p w14:paraId="6C1B0678" w14:textId="7D7CFCB9" w:rsidR="00A37369" w:rsidRPr="001D186C" w:rsidRDefault="00A37369" w:rsidP="00A37369">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Massaranduba</w:t>
            </w:r>
          </w:p>
        </w:tc>
        <w:tc>
          <w:tcPr>
            <w:tcW w:w="2831" w:type="dxa"/>
            <w:vAlign w:val="bottom"/>
          </w:tcPr>
          <w:p w14:paraId="63D40A79" w14:textId="37E182C8"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58.742</w:t>
            </w:r>
          </w:p>
        </w:tc>
        <w:tc>
          <w:tcPr>
            <w:tcW w:w="2832" w:type="dxa"/>
            <w:vAlign w:val="bottom"/>
          </w:tcPr>
          <w:p w14:paraId="58A2BEEA" w14:textId="482EADC1"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R$ 33.555,18</w:t>
            </w:r>
          </w:p>
        </w:tc>
      </w:tr>
      <w:tr w:rsidR="00C01FB5" w:rsidRPr="001D186C" w14:paraId="5347C98D" w14:textId="77777777" w:rsidTr="00DF6482">
        <w:tc>
          <w:tcPr>
            <w:tcW w:w="2831" w:type="dxa"/>
            <w:vAlign w:val="bottom"/>
          </w:tcPr>
          <w:p w14:paraId="18C8E1B9" w14:textId="3EF846FC" w:rsidR="00A37369" w:rsidRPr="001D186C" w:rsidRDefault="00A37369" w:rsidP="00A37369">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Garuva</w:t>
            </w:r>
          </w:p>
        </w:tc>
        <w:tc>
          <w:tcPr>
            <w:tcW w:w="2831" w:type="dxa"/>
            <w:vAlign w:val="bottom"/>
          </w:tcPr>
          <w:p w14:paraId="6D882A48" w14:textId="61630AEC"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28.998</w:t>
            </w:r>
          </w:p>
        </w:tc>
        <w:tc>
          <w:tcPr>
            <w:tcW w:w="2832" w:type="dxa"/>
            <w:vAlign w:val="bottom"/>
          </w:tcPr>
          <w:p w14:paraId="1BCAEF37" w14:textId="41CCA373"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R$ 23.943,20</w:t>
            </w:r>
          </w:p>
        </w:tc>
      </w:tr>
      <w:tr w:rsidR="00C01FB5" w:rsidRPr="001D186C" w14:paraId="01CFFA50" w14:textId="77777777" w:rsidTr="00DF6482">
        <w:tc>
          <w:tcPr>
            <w:tcW w:w="2831" w:type="dxa"/>
            <w:vAlign w:val="bottom"/>
          </w:tcPr>
          <w:p w14:paraId="040C0563" w14:textId="55C7FC19" w:rsidR="00A37369" w:rsidRPr="001D186C" w:rsidRDefault="00A37369" w:rsidP="00A37369">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Barra Velha</w:t>
            </w:r>
          </w:p>
        </w:tc>
        <w:tc>
          <w:tcPr>
            <w:tcW w:w="2831" w:type="dxa"/>
            <w:vAlign w:val="bottom"/>
          </w:tcPr>
          <w:p w14:paraId="5C374E4D" w14:textId="2FA6D887"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27.344</w:t>
            </w:r>
          </w:p>
        </w:tc>
        <w:tc>
          <w:tcPr>
            <w:tcW w:w="2832" w:type="dxa"/>
            <w:vAlign w:val="bottom"/>
          </w:tcPr>
          <w:p w14:paraId="50C3C7AC" w14:textId="62A7408D"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R$ 16.671,50</w:t>
            </w:r>
          </w:p>
        </w:tc>
      </w:tr>
      <w:tr w:rsidR="00C01FB5" w:rsidRPr="001D186C" w14:paraId="4FBC8C8E" w14:textId="77777777" w:rsidTr="00DF6482">
        <w:tc>
          <w:tcPr>
            <w:tcW w:w="2831" w:type="dxa"/>
            <w:vAlign w:val="bottom"/>
          </w:tcPr>
          <w:p w14:paraId="22C286F6" w14:textId="741F4104" w:rsidR="00A37369" w:rsidRPr="001D186C" w:rsidRDefault="00A37369" w:rsidP="00A37369">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Jaraguá do Sul</w:t>
            </w:r>
          </w:p>
        </w:tc>
        <w:tc>
          <w:tcPr>
            <w:tcW w:w="2831" w:type="dxa"/>
            <w:vAlign w:val="bottom"/>
          </w:tcPr>
          <w:p w14:paraId="1BC0522E" w14:textId="2ECD6FE3"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24.604</w:t>
            </w:r>
          </w:p>
        </w:tc>
        <w:tc>
          <w:tcPr>
            <w:tcW w:w="2832" w:type="dxa"/>
            <w:vAlign w:val="bottom"/>
          </w:tcPr>
          <w:p w14:paraId="3C1D6BC7" w14:textId="45644FE4"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R$ 16.075,28</w:t>
            </w:r>
          </w:p>
        </w:tc>
      </w:tr>
      <w:tr w:rsidR="00C01FB5" w:rsidRPr="001D186C" w14:paraId="386C8F78" w14:textId="77777777" w:rsidTr="00DF6482">
        <w:tc>
          <w:tcPr>
            <w:tcW w:w="2831" w:type="dxa"/>
            <w:vAlign w:val="bottom"/>
          </w:tcPr>
          <w:p w14:paraId="0F690692" w14:textId="6E0E32E8" w:rsidR="00A37369" w:rsidRPr="001D186C" w:rsidRDefault="00A37369" w:rsidP="00A37369">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São João do </w:t>
            </w:r>
            <w:proofErr w:type="spellStart"/>
            <w:r w:rsidRPr="001D186C">
              <w:rPr>
                <w:rFonts w:ascii="Times New Roman" w:eastAsia="Times New Roman" w:hAnsi="Times New Roman" w:cs="Times New Roman"/>
                <w:sz w:val="24"/>
                <w:szCs w:val="24"/>
              </w:rPr>
              <w:t>Itaperiú</w:t>
            </w:r>
            <w:proofErr w:type="spellEnd"/>
          </w:p>
        </w:tc>
        <w:tc>
          <w:tcPr>
            <w:tcW w:w="2831" w:type="dxa"/>
            <w:vAlign w:val="bottom"/>
          </w:tcPr>
          <w:p w14:paraId="4B2DC07E" w14:textId="1A4A1DD3"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24.395</w:t>
            </w:r>
          </w:p>
        </w:tc>
        <w:tc>
          <w:tcPr>
            <w:tcW w:w="2832" w:type="dxa"/>
            <w:vAlign w:val="bottom"/>
          </w:tcPr>
          <w:p w14:paraId="353E771E" w14:textId="3459C288"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R$ 14.439,08</w:t>
            </w:r>
          </w:p>
        </w:tc>
      </w:tr>
      <w:tr w:rsidR="00C01FB5" w:rsidRPr="001D186C" w14:paraId="74BA02F7" w14:textId="77777777" w:rsidTr="00DF6482">
        <w:tc>
          <w:tcPr>
            <w:tcW w:w="2831" w:type="dxa"/>
            <w:vAlign w:val="bottom"/>
          </w:tcPr>
          <w:p w14:paraId="37C8B2B4" w14:textId="31C3E33F" w:rsidR="00A37369" w:rsidRPr="001D186C" w:rsidRDefault="00A37369" w:rsidP="00A37369">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Jacinto Machado</w:t>
            </w:r>
          </w:p>
        </w:tc>
        <w:tc>
          <w:tcPr>
            <w:tcW w:w="2831" w:type="dxa"/>
            <w:vAlign w:val="bottom"/>
          </w:tcPr>
          <w:p w14:paraId="297C8181" w14:textId="2866F0A2"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23.494</w:t>
            </w:r>
          </w:p>
        </w:tc>
        <w:tc>
          <w:tcPr>
            <w:tcW w:w="2832" w:type="dxa"/>
            <w:vAlign w:val="bottom"/>
          </w:tcPr>
          <w:p w14:paraId="2880EABC" w14:textId="7288BA0A"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R$ 17.628,13</w:t>
            </w:r>
          </w:p>
        </w:tc>
      </w:tr>
      <w:tr w:rsidR="00C01FB5" w:rsidRPr="001D186C" w14:paraId="484765B4" w14:textId="77777777" w:rsidTr="00DF6482">
        <w:tc>
          <w:tcPr>
            <w:tcW w:w="2831" w:type="dxa"/>
            <w:vAlign w:val="bottom"/>
          </w:tcPr>
          <w:p w14:paraId="1F10A150" w14:textId="42F1B031" w:rsidR="00A37369" w:rsidRPr="001D186C" w:rsidRDefault="00A37369" w:rsidP="00A37369">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Balneário Piçarras</w:t>
            </w:r>
          </w:p>
        </w:tc>
        <w:tc>
          <w:tcPr>
            <w:tcW w:w="2831" w:type="dxa"/>
            <w:vAlign w:val="bottom"/>
          </w:tcPr>
          <w:p w14:paraId="5C093CF9" w14:textId="102A4D8C"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16.283</w:t>
            </w:r>
          </w:p>
        </w:tc>
        <w:tc>
          <w:tcPr>
            <w:tcW w:w="2832" w:type="dxa"/>
            <w:vAlign w:val="bottom"/>
          </w:tcPr>
          <w:p w14:paraId="6974FE29" w14:textId="0255FB49"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R$ 9.788,35</w:t>
            </w:r>
          </w:p>
        </w:tc>
      </w:tr>
      <w:tr w:rsidR="00C01FB5" w:rsidRPr="001D186C" w14:paraId="49201A69" w14:textId="77777777" w:rsidTr="00DF6482">
        <w:tc>
          <w:tcPr>
            <w:tcW w:w="2831" w:type="dxa"/>
            <w:vAlign w:val="bottom"/>
          </w:tcPr>
          <w:p w14:paraId="76157910" w14:textId="4D012C81" w:rsidR="00A37369" w:rsidRPr="001D186C" w:rsidRDefault="00A37369" w:rsidP="00A37369">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Joinville</w:t>
            </w:r>
          </w:p>
        </w:tc>
        <w:tc>
          <w:tcPr>
            <w:tcW w:w="2831" w:type="dxa"/>
            <w:vAlign w:val="bottom"/>
          </w:tcPr>
          <w:p w14:paraId="30D25060" w14:textId="41EDAD68"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15.980</w:t>
            </w:r>
          </w:p>
        </w:tc>
        <w:tc>
          <w:tcPr>
            <w:tcW w:w="2832" w:type="dxa"/>
            <w:vAlign w:val="bottom"/>
          </w:tcPr>
          <w:p w14:paraId="0F624C91" w14:textId="3795D77E" w:rsidR="00A37369" w:rsidRPr="001D186C" w:rsidRDefault="00A37369" w:rsidP="00A37369">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R$ 10.757,93</w:t>
            </w:r>
          </w:p>
        </w:tc>
      </w:tr>
    </w:tbl>
    <w:p w14:paraId="2E6B095B" w14:textId="77777777" w:rsidR="00893876" w:rsidRPr="001D186C" w:rsidRDefault="00893876" w:rsidP="00893876">
      <w:pPr>
        <w:pBdr>
          <w:top w:val="single" w:sz="4" w:space="1" w:color="auto"/>
        </w:pBd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Fonte: IBGE, Censo Agropecuário 2017</w:t>
      </w:r>
    </w:p>
    <w:p w14:paraId="24775947" w14:textId="77777777" w:rsidR="00931F6A" w:rsidRPr="001D186C" w:rsidRDefault="00931F6A">
      <w:pPr>
        <w:rPr>
          <w:b/>
        </w:rPr>
      </w:pPr>
    </w:p>
    <w:p w14:paraId="2BC316D5" w14:textId="77777777" w:rsidR="000564FB" w:rsidRPr="001D186C" w:rsidRDefault="000564FB" w:rsidP="000564FB">
      <w:pPr>
        <w:spacing w:after="0" w:line="360" w:lineRule="auto"/>
        <w:ind w:firstLine="708"/>
        <w:jc w:val="both"/>
        <w:rPr>
          <w:rFonts w:ascii="Times New Roman" w:eastAsia="Times New Roman" w:hAnsi="Times New Roman" w:cs="Times New Roman"/>
          <w:b/>
          <w:sz w:val="24"/>
          <w:szCs w:val="24"/>
        </w:rPr>
      </w:pPr>
      <w:r w:rsidRPr="001D186C">
        <w:rPr>
          <w:rFonts w:ascii="Times New Roman" w:eastAsia="Times New Roman" w:hAnsi="Times New Roman" w:cs="Times New Roman"/>
          <w:b/>
          <w:sz w:val="24"/>
          <w:szCs w:val="24"/>
        </w:rPr>
        <w:t>2.3 ABÓBORA</w:t>
      </w:r>
    </w:p>
    <w:p w14:paraId="764FA4A5" w14:textId="77777777" w:rsidR="000564FB" w:rsidRPr="001D186C" w:rsidRDefault="000564FB" w:rsidP="000564FB">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A abóbora é cultivada em todo o território brasileiro, adaptando-se a diferentes condições climáticas, desde regiões secas até áreas úmidas. No Brasil, a cultura ocupa mais de 78 mil hectares de área colhida, distribuídos em 273.451 estabelecimentos, com uma produção total de 417.839 toneladas, gerando um valor de produção de R$ 366.010.304 (valores originais do censo 2017, sem correção pelo IGP-DI). </w:t>
      </w:r>
    </w:p>
    <w:p w14:paraId="686C41C7" w14:textId="77777777" w:rsidR="000564FB" w:rsidRPr="001D186C" w:rsidRDefault="000564FB" w:rsidP="000564FB">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Os quatro maiores produtores do país são, respectivamente, Minas Gerais, Bahia, Rio Grande do Sul e Santa Catarina. Conforme indicado na Tabela 5, Santa Catarina </w:t>
      </w:r>
      <w:r w:rsidRPr="001D186C">
        <w:rPr>
          <w:rFonts w:ascii="Times New Roman" w:eastAsia="Times New Roman" w:hAnsi="Times New Roman" w:cs="Times New Roman"/>
          <w:sz w:val="24"/>
          <w:szCs w:val="24"/>
        </w:rPr>
        <w:lastRenderedPageBreak/>
        <w:t>ocupa a 4ª posição entre os estados que mais produzem abóbora no Brasil, com uma produção de 40.844 toneladas, ficando logo atrás do Rio Grande do Sul, que registra 42.463 toneladas (IBGE, 2017).</w:t>
      </w:r>
    </w:p>
    <w:p w14:paraId="1C24689B" w14:textId="77777777" w:rsidR="000564FB" w:rsidRPr="001D186C" w:rsidRDefault="000564FB" w:rsidP="000564FB">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Em Santa Catarina, a produção de abóbora segue a tendência nacional, estando presente em todas as regiões do estado. Com 4.336 hectares de área colhida e 5.931 estabelecimentos envolvidos, o estado produz 40.844 toneladas, alcançando um valor de produção de R$ 22.266.229 (valores originais do censo 2017, sem correção pelo IGP-DI). A abóbora é uma cultura importante para a agricultura catarinense, contribuindo para a diversificação da produção e para a economia local (CENSO, 2017).</w:t>
      </w:r>
    </w:p>
    <w:p w14:paraId="3262051D" w14:textId="77777777" w:rsidR="000564FB" w:rsidRPr="001D186C" w:rsidRDefault="000564FB" w:rsidP="000564FB">
      <w:pPr>
        <w:spacing w:after="0" w:line="360" w:lineRule="auto"/>
        <w:ind w:firstLine="708"/>
        <w:jc w:val="both"/>
        <w:rPr>
          <w:rFonts w:ascii="Times New Roman" w:eastAsia="Times New Roman" w:hAnsi="Times New Roman" w:cs="Times New Roman"/>
          <w:b/>
          <w:sz w:val="24"/>
          <w:szCs w:val="24"/>
        </w:rPr>
      </w:pPr>
    </w:p>
    <w:p w14:paraId="4BB90CA5" w14:textId="54827C4A" w:rsidR="00573AD5" w:rsidRPr="001D186C" w:rsidRDefault="000564FB" w:rsidP="000564FB">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Tabela 5: </w:t>
      </w:r>
      <w:r w:rsidR="00C14226" w:rsidRPr="001D186C">
        <w:rPr>
          <w:rFonts w:ascii="Times New Roman" w:eastAsia="Times New Roman" w:hAnsi="Times New Roman" w:cs="Times New Roman"/>
          <w:sz w:val="24"/>
          <w:szCs w:val="24"/>
        </w:rPr>
        <w:t xml:space="preserve">Frutos e </w:t>
      </w:r>
      <w:r w:rsidRPr="001D186C">
        <w:rPr>
          <w:rFonts w:ascii="Times New Roman" w:eastAsia="Times New Roman" w:hAnsi="Times New Roman" w:cs="Times New Roman"/>
          <w:sz w:val="24"/>
          <w:szCs w:val="24"/>
        </w:rPr>
        <w:t>Abóbora - Participação percentual (%) estadual no volume de produção</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CF46C6" w:rsidRPr="001D186C" w14:paraId="22B3B82A" w14:textId="77777777" w:rsidTr="000564FB">
        <w:tc>
          <w:tcPr>
            <w:tcW w:w="2831" w:type="dxa"/>
            <w:tcBorders>
              <w:top w:val="single" w:sz="4" w:space="0" w:color="auto"/>
              <w:bottom w:val="single" w:sz="4" w:space="0" w:color="auto"/>
            </w:tcBorders>
            <w:vAlign w:val="bottom"/>
          </w:tcPr>
          <w:p w14:paraId="58D2AC1B" w14:textId="302FC93C" w:rsidR="000564FB" w:rsidRPr="001D186C" w:rsidRDefault="000564FB" w:rsidP="000564FB">
            <w:pPr>
              <w:spacing w:line="360" w:lineRule="auto"/>
              <w:jc w:val="both"/>
              <w:rPr>
                <w:rFonts w:ascii="Times New Roman" w:eastAsia="Times New Roman" w:hAnsi="Times New Roman" w:cs="Times New Roman"/>
                <w:szCs w:val="24"/>
              </w:rPr>
            </w:pPr>
            <w:r w:rsidRPr="001D186C">
              <w:rPr>
                <w:rFonts w:ascii="Times New Roman" w:eastAsia="Times New Roman" w:hAnsi="Times New Roman" w:cs="Times New Roman"/>
                <w:b/>
                <w:bCs/>
                <w:sz w:val="24"/>
                <w:szCs w:val="24"/>
              </w:rPr>
              <w:t>UF</w:t>
            </w:r>
          </w:p>
        </w:tc>
        <w:tc>
          <w:tcPr>
            <w:tcW w:w="2831" w:type="dxa"/>
            <w:tcBorders>
              <w:top w:val="single" w:sz="4" w:space="0" w:color="auto"/>
              <w:bottom w:val="single" w:sz="4" w:space="0" w:color="auto"/>
            </w:tcBorders>
            <w:vAlign w:val="bottom"/>
          </w:tcPr>
          <w:p w14:paraId="25217BBA" w14:textId="52D9DC0B" w:rsidR="000564FB" w:rsidRPr="001D186C" w:rsidRDefault="000564FB" w:rsidP="000564FB">
            <w:pPr>
              <w:spacing w:line="360" w:lineRule="auto"/>
              <w:jc w:val="both"/>
              <w:rPr>
                <w:rFonts w:ascii="Times New Roman" w:eastAsia="Times New Roman" w:hAnsi="Times New Roman" w:cs="Times New Roman"/>
                <w:szCs w:val="24"/>
              </w:rPr>
            </w:pPr>
            <w:r w:rsidRPr="001D186C">
              <w:rPr>
                <w:rFonts w:ascii="Times New Roman" w:eastAsia="Times New Roman" w:hAnsi="Times New Roman" w:cs="Times New Roman"/>
                <w:b/>
                <w:bCs/>
                <w:sz w:val="24"/>
                <w:szCs w:val="24"/>
              </w:rPr>
              <w:t xml:space="preserve"> Total- Subgrupo Frutos </w:t>
            </w:r>
          </w:p>
        </w:tc>
        <w:tc>
          <w:tcPr>
            <w:tcW w:w="2832" w:type="dxa"/>
            <w:tcBorders>
              <w:top w:val="single" w:sz="4" w:space="0" w:color="auto"/>
              <w:bottom w:val="single" w:sz="4" w:space="0" w:color="auto"/>
            </w:tcBorders>
            <w:vAlign w:val="bottom"/>
          </w:tcPr>
          <w:p w14:paraId="109441F9" w14:textId="718C3F37" w:rsidR="000564FB" w:rsidRPr="001D186C" w:rsidRDefault="000564FB" w:rsidP="000564FB">
            <w:pPr>
              <w:spacing w:line="360" w:lineRule="auto"/>
              <w:jc w:val="right"/>
              <w:rPr>
                <w:rFonts w:ascii="Times New Roman" w:eastAsia="Times New Roman" w:hAnsi="Times New Roman" w:cs="Times New Roman"/>
                <w:szCs w:val="24"/>
              </w:rPr>
            </w:pPr>
            <w:r w:rsidRPr="001D186C">
              <w:rPr>
                <w:rFonts w:ascii="Times New Roman" w:eastAsia="Times New Roman" w:hAnsi="Times New Roman" w:cs="Times New Roman"/>
                <w:b/>
                <w:bCs/>
                <w:sz w:val="24"/>
                <w:szCs w:val="24"/>
              </w:rPr>
              <w:t xml:space="preserve">  Abóbora </w:t>
            </w:r>
          </w:p>
        </w:tc>
      </w:tr>
      <w:tr w:rsidR="00CF46C6" w:rsidRPr="001D186C" w14:paraId="3EDFA75C" w14:textId="77777777" w:rsidTr="000564FB">
        <w:tc>
          <w:tcPr>
            <w:tcW w:w="2831" w:type="dxa"/>
            <w:tcBorders>
              <w:top w:val="single" w:sz="4" w:space="0" w:color="auto"/>
              <w:bottom w:val="single" w:sz="4" w:space="0" w:color="auto"/>
            </w:tcBorders>
            <w:vAlign w:val="bottom"/>
          </w:tcPr>
          <w:p w14:paraId="63ACDA67" w14:textId="678B5A6D" w:rsidR="000564FB" w:rsidRPr="001D186C" w:rsidRDefault="000564FB" w:rsidP="000564FB">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b/>
                <w:bCs/>
                <w:sz w:val="24"/>
                <w:szCs w:val="24"/>
              </w:rPr>
              <w:t>Brasil</w:t>
            </w:r>
          </w:p>
        </w:tc>
        <w:tc>
          <w:tcPr>
            <w:tcW w:w="2831" w:type="dxa"/>
            <w:tcBorders>
              <w:top w:val="single" w:sz="4" w:space="0" w:color="auto"/>
              <w:bottom w:val="single" w:sz="4" w:space="0" w:color="auto"/>
            </w:tcBorders>
            <w:vAlign w:val="bottom"/>
          </w:tcPr>
          <w:p w14:paraId="794395A1" w14:textId="2D5466A2" w:rsidR="000564FB" w:rsidRPr="001D186C" w:rsidRDefault="000564FB" w:rsidP="002D6670">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b/>
                <w:sz w:val="24"/>
                <w:szCs w:val="24"/>
              </w:rPr>
              <w:t>3.563,56 t</w:t>
            </w:r>
          </w:p>
        </w:tc>
        <w:tc>
          <w:tcPr>
            <w:tcW w:w="2832" w:type="dxa"/>
            <w:tcBorders>
              <w:top w:val="single" w:sz="4" w:space="0" w:color="auto"/>
              <w:bottom w:val="single" w:sz="4" w:space="0" w:color="auto"/>
            </w:tcBorders>
            <w:vAlign w:val="bottom"/>
          </w:tcPr>
          <w:p w14:paraId="30D03721" w14:textId="788929E7" w:rsidR="000564FB" w:rsidRPr="001D186C" w:rsidRDefault="000564FB" w:rsidP="002D6670">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b/>
                <w:sz w:val="24"/>
                <w:szCs w:val="24"/>
              </w:rPr>
              <w:t>417,8</w:t>
            </w:r>
            <w:r w:rsidR="002D6670" w:rsidRPr="001D186C">
              <w:rPr>
                <w:rFonts w:ascii="Times New Roman" w:eastAsia="Times New Roman" w:hAnsi="Times New Roman" w:cs="Times New Roman"/>
                <w:b/>
                <w:sz w:val="24"/>
                <w:szCs w:val="24"/>
              </w:rPr>
              <w:t>4</w:t>
            </w:r>
            <w:r w:rsidRPr="001D186C">
              <w:rPr>
                <w:rFonts w:ascii="Times New Roman" w:eastAsia="Times New Roman" w:hAnsi="Times New Roman" w:cs="Times New Roman"/>
                <w:b/>
                <w:sz w:val="24"/>
                <w:szCs w:val="24"/>
              </w:rPr>
              <w:t xml:space="preserve"> t</w:t>
            </w:r>
          </w:p>
        </w:tc>
      </w:tr>
      <w:tr w:rsidR="00CF46C6" w:rsidRPr="001D186C" w14:paraId="42A396CC" w14:textId="77777777" w:rsidTr="000564FB">
        <w:tc>
          <w:tcPr>
            <w:tcW w:w="2831" w:type="dxa"/>
            <w:tcBorders>
              <w:top w:val="single" w:sz="4" w:space="0" w:color="auto"/>
              <w:bottom w:val="nil"/>
            </w:tcBorders>
            <w:vAlign w:val="bottom"/>
          </w:tcPr>
          <w:p w14:paraId="25243B02" w14:textId="776B96CF" w:rsidR="000564FB" w:rsidRPr="001D186C" w:rsidRDefault="000564FB" w:rsidP="000564FB">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bCs/>
                <w:sz w:val="24"/>
                <w:szCs w:val="24"/>
              </w:rPr>
              <w:t>Goiás</w:t>
            </w:r>
          </w:p>
        </w:tc>
        <w:tc>
          <w:tcPr>
            <w:tcW w:w="2831" w:type="dxa"/>
            <w:tcBorders>
              <w:top w:val="single" w:sz="4" w:space="0" w:color="auto"/>
              <w:bottom w:val="nil"/>
            </w:tcBorders>
            <w:shd w:val="clear" w:color="auto" w:fill="FFFFFF"/>
            <w:vAlign w:val="bottom"/>
          </w:tcPr>
          <w:p w14:paraId="79F8733F" w14:textId="1DC9DB45"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21,05%</w:t>
            </w:r>
          </w:p>
        </w:tc>
        <w:tc>
          <w:tcPr>
            <w:tcW w:w="2832" w:type="dxa"/>
            <w:tcBorders>
              <w:top w:val="single" w:sz="4" w:space="0" w:color="auto"/>
              <w:bottom w:val="nil"/>
            </w:tcBorders>
            <w:shd w:val="clear" w:color="auto" w:fill="FFFFFF"/>
            <w:vAlign w:val="bottom"/>
          </w:tcPr>
          <w:p w14:paraId="4B6A2894" w14:textId="31780982"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5,36%</w:t>
            </w:r>
          </w:p>
        </w:tc>
      </w:tr>
      <w:tr w:rsidR="00CF46C6" w:rsidRPr="001D186C" w14:paraId="1BD4ACAB" w14:textId="77777777" w:rsidTr="000564FB">
        <w:tc>
          <w:tcPr>
            <w:tcW w:w="2831" w:type="dxa"/>
            <w:tcBorders>
              <w:top w:val="nil"/>
              <w:bottom w:val="nil"/>
            </w:tcBorders>
            <w:vAlign w:val="bottom"/>
          </w:tcPr>
          <w:p w14:paraId="18DCF291" w14:textId="6DCF212D" w:rsidR="000564FB" w:rsidRPr="001D186C" w:rsidRDefault="000564FB" w:rsidP="000564FB">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bCs/>
                <w:sz w:val="24"/>
                <w:szCs w:val="24"/>
              </w:rPr>
              <w:t>São Paulo</w:t>
            </w:r>
          </w:p>
        </w:tc>
        <w:tc>
          <w:tcPr>
            <w:tcW w:w="2831" w:type="dxa"/>
            <w:tcBorders>
              <w:top w:val="nil"/>
              <w:bottom w:val="nil"/>
            </w:tcBorders>
            <w:shd w:val="clear" w:color="auto" w:fill="FFFFFF"/>
            <w:vAlign w:val="bottom"/>
          </w:tcPr>
          <w:p w14:paraId="6F527213" w14:textId="1DF38AD7"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18,94%</w:t>
            </w:r>
          </w:p>
        </w:tc>
        <w:tc>
          <w:tcPr>
            <w:tcW w:w="2832" w:type="dxa"/>
            <w:tcBorders>
              <w:top w:val="nil"/>
              <w:bottom w:val="nil"/>
            </w:tcBorders>
            <w:shd w:val="clear" w:color="auto" w:fill="FFFFFF"/>
            <w:vAlign w:val="bottom"/>
          </w:tcPr>
          <w:p w14:paraId="48EF3518" w14:textId="6D19772B"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7,95%</w:t>
            </w:r>
          </w:p>
        </w:tc>
      </w:tr>
      <w:tr w:rsidR="00CF46C6" w:rsidRPr="001D186C" w14:paraId="2CCC097F" w14:textId="77777777" w:rsidTr="000564FB">
        <w:tc>
          <w:tcPr>
            <w:tcW w:w="2831" w:type="dxa"/>
            <w:tcBorders>
              <w:top w:val="nil"/>
              <w:bottom w:val="nil"/>
            </w:tcBorders>
            <w:vAlign w:val="bottom"/>
          </w:tcPr>
          <w:p w14:paraId="48F0D285" w14:textId="10D9637A" w:rsidR="000564FB" w:rsidRPr="001D186C" w:rsidRDefault="000564FB" w:rsidP="000564FB">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bCs/>
                <w:sz w:val="24"/>
                <w:szCs w:val="24"/>
              </w:rPr>
              <w:t>Minas Gerais</w:t>
            </w:r>
          </w:p>
        </w:tc>
        <w:tc>
          <w:tcPr>
            <w:tcW w:w="2831" w:type="dxa"/>
            <w:tcBorders>
              <w:top w:val="nil"/>
              <w:bottom w:val="nil"/>
            </w:tcBorders>
            <w:shd w:val="clear" w:color="auto" w:fill="FFFFFF"/>
            <w:vAlign w:val="bottom"/>
          </w:tcPr>
          <w:p w14:paraId="59C90D35" w14:textId="25B35F6E"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16,85%</w:t>
            </w:r>
          </w:p>
        </w:tc>
        <w:tc>
          <w:tcPr>
            <w:tcW w:w="2832" w:type="dxa"/>
            <w:tcBorders>
              <w:top w:val="nil"/>
              <w:bottom w:val="nil"/>
            </w:tcBorders>
            <w:shd w:val="clear" w:color="auto" w:fill="FFFFFF"/>
            <w:vAlign w:val="bottom"/>
          </w:tcPr>
          <w:p w14:paraId="110CA2BE" w14:textId="320BFFF7"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20,01%</w:t>
            </w:r>
          </w:p>
        </w:tc>
      </w:tr>
      <w:tr w:rsidR="00CF46C6" w:rsidRPr="001D186C" w14:paraId="62A4C3F5" w14:textId="77777777" w:rsidTr="000564FB">
        <w:tc>
          <w:tcPr>
            <w:tcW w:w="2831" w:type="dxa"/>
            <w:tcBorders>
              <w:top w:val="nil"/>
              <w:bottom w:val="nil"/>
            </w:tcBorders>
            <w:vAlign w:val="bottom"/>
          </w:tcPr>
          <w:p w14:paraId="2A952900" w14:textId="46EADEAE" w:rsidR="000564FB" w:rsidRPr="001D186C" w:rsidRDefault="000564FB" w:rsidP="000564FB">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bCs/>
                <w:sz w:val="24"/>
                <w:szCs w:val="24"/>
              </w:rPr>
              <w:t>Bahia</w:t>
            </w:r>
          </w:p>
        </w:tc>
        <w:tc>
          <w:tcPr>
            <w:tcW w:w="2831" w:type="dxa"/>
            <w:tcBorders>
              <w:top w:val="nil"/>
              <w:bottom w:val="nil"/>
            </w:tcBorders>
            <w:shd w:val="clear" w:color="auto" w:fill="FFFFFF"/>
            <w:vAlign w:val="bottom"/>
          </w:tcPr>
          <w:p w14:paraId="3752B300" w14:textId="78A04982"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9,09%</w:t>
            </w:r>
          </w:p>
        </w:tc>
        <w:tc>
          <w:tcPr>
            <w:tcW w:w="2832" w:type="dxa"/>
            <w:tcBorders>
              <w:top w:val="nil"/>
              <w:bottom w:val="nil"/>
            </w:tcBorders>
            <w:shd w:val="clear" w:color="auto" w:fill="FFFFFF"/>
            <w:vAlign w:val="bottom"/>
          </w:tcPr>
          <w:p w14:paraId="7AA9E435" w14:textId="4A04580E"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14,66%</w:t>
            </w:r>
          </w:p>
        </w:tc>
      </w:tr>
      <w:tr w:rsidR="00CF46C6" w:rsidRPr="001D186C" w14:paraId="5427131D" w14:textId="77777777" w:rsidTr="000564FB">
        <w:tc>
          <w:tcPr>
            <w:tcW w:w="2831" w:type="dxa"/>
            <w:tcBorders>
              <w:top w:val="nil"/>
              <w:bottom w:val="nil"/>
            </w:tcBorders>
            <w:vAlign w:val="bottom"/>
          </w:tcPr>
          <w:p w14:paraId="65FE6DD6" w14:textId="208F876C" w:rsidR="000564FB" w:rsidRPr="001D186C" w:rsidRDefault="000564FB" w:rsidP="000564FB">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bCs/>
                <w:sz w:val="24"/>
                <w:szCs w:val="24"/>
              </w:rPr>
              <w:t>Espírito Santo</w:t>
            </w:r>
          </w:p>
        </w:tc>
        <w:tc>
          <w:tcPr>
            <w:tcW w:w="2831" w:type="dxa"/>
            <w:tcBorders>
              <w:top w:val="nil"/>
              <w:bottom w:val="nil"/>
            </w:tcBorders>
            <w:shd w:val="clear" w:color="auto" w:fill="FFFFFF"/>
            <w:vAlign w:val="bottom"/>
          </w:tcPr>
          <w:p w14:paraId="6CC890CB" w14:textId="7E7A11B1"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6,64%</w:t>
            </w:r>
          </w:p>
        </w:tc>
        <w:tc>
          <w:tcPr>
            <w:tcW w:w="2832" w:type="dxa"/>
            <w:tcBorders>
              <w:top w:val="nil"/>
              <w:bottom w:val="nil"/>
            </w:tcBorders>
            <w:shd w:val="clear" w:color="auto" w:fill="FFFFFF"/>
            <w:vAlign w:val="bottom"/>
          </w:tcPr>
          <w:p w14:paraId="6567A4B8" w14:textId="7045DEE2"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2,47%</w:t>
            </w:r>
          </w:p>
        </w:tc>
      </w:tr>
      <w:tr w:rsidR="00CF46C6" w:rsidRPr="001D186C" w14:paraId="39641B37" w14:textId="77777777" w:rsidTr="000564FB">
        <w:tc>
          <w:tcPr>
            <w:tcW w:w="2831" w:type="dxa"/>
            <w:tcBorders>
              <w:top w:val="nil"/>
              <w:bottom w:val="nil"/>
            </w:tcBorders>
            <w:vAlign w:val="bottom"/>
          </w:tcPr>
          <w:p w14:paraId="7A152B6E" w14:textId="4BC0AE15" w:rsidR="000564FB" w:rsidRPr="001D186C" w:rsidRDefault="000564FB" w:rsidP="000564FB">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bCs/>
                <w:sz w:val="24"/>
                <w:szCs w:val="24"/>
              </w:rPr>
              <w:t>Rio de Janeiro</w:t>
            </w:r>
          </w:p>
        </w:tc>
        <w:tc>
          <w:tcPr>
            <w:tcW w:w="2831" w:type="dxa"/>
            <w:tcBorders>
              <w:top w:val="nil"/>
              <w:bottom w:val="nil"/>
            </w:tcBorders>
            <w:shd w:val="clear" w:color="auto" w:fill="FFFFFF"/>
            <w:vAlign w:val="bottom"/>
          </w:tcPr>
          <w:p w14:paraId="19300A62" w14:textId="5DD19F64"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5,59%</w:t>
            </w:r>
          </w:p>
        </w:tc>
        <w:tc>
          <w:tcPr>
            <w:tcW w:w="2832" w:type="dxa"/>
            <w:tcBorders>
              <w:top w:val="nil"/>
              <w:bottom w:val="nil"/>
            </w:tcBorders>
            <w:shd w:val="clear" w:color="auto" w:fill="FFFFFF"/>
            <w:vAlign w:val="bottom"/>
          </w:tcPr>
          <w:p w14:paraId="630B08F9" w14:textId="26930E44"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1,53%</w:t>
            </w:r>
          </w:p>
        </w:tc>
      </w:tr>
      <w:tr w:rsidR="00CF46C6" w:rsidRPr="001D186C" w14:paraId="62A7EFA7" w14:textId="77777777" w:rsidTr="000564FB">
        <w:tc>
          <w:tcPr>
            <w:tcW w:w="2831" w:type="dxa"/>
            <w:tcBorders>
              <w:top w:val="nil"/>
              <w:bottom w:val="nil"/>
            </w:tcBorders>
            <w:vAlign w:val="bottom"/>
          </w:tcPr>
          <w:p w14:paraId="5074CFE4" w14:textId="2578A357" w:rsidR="000564FB" w:rsidRPr="001D186C" w:rsidRDefault="000564FB" w:rsidP="000564FB">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bCs/>
                <w:sz w:val="24"/>
                <w:szCs w:val="24"/>
              </w:rPr>
              <w:t>Paraná</w:t>
            </w:r>
          </w:p>
        </w:tc>
        <w:tc>
          <w:tcPr>
            <w:tcW w:w="2831" w:type="dxa"/>
            <w:tcBorders>
              <w:top w:val="nil"/>
              <w:bottom w:val="nil"/>
            </w:tcBorders>
            <w:shd w:val="clear" w:color="auto" w:fill="FFFFFF"/>
            <w:vAlign w:val="bottom"/>
          </w:tcPr>
          <w:p w14:paraId="2C583F89" w14:textId="63212646"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5,01%</w:t>
            </w:r>
          </w:p>
        </w:tc>
        <w:tc>
          <w:tcPr>
            <w:tcW w:w="2832" w:type="dxa"/>
            <w:tcBorders>
              <w:top w:val="nil"/>
              <w:bottom w:val="nil"/>
            </w:tcBorders>
            <w:shd w:val="clear" w:color="auto" w:fill="FFFFFF"/>
            <w:vAlign w:val="bottom"/>
          </w:tcPr>
          <w:p w14:paraId="508A3F37" w14:textId="16FFDB26"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4,06%</w:t>
            </w:r>
          </w:p>
        </w:tc>
      </w:tr>
      <w:tr w:rsidR="00CF46C6" w:rsidRPr="001D186C" w14:paraId="59053829" w14:textId="77777777" w:rsidTr="000564FB">
        <w:tc>
          <w:tcPr>
            <w:tcW w:w="2831" w:type="dxa"/>
            <w:tcBorders>
              <w:top w:val="nil"/>
              <w:bottom w:val="nil"/>
            </w:tcBorders>
            <w:vAlign w:val="bottom"/>
          </w:tcPr>
          <w:p w14:paraId="5FA1CF3B" w14:textId="04508017" w:rsidR="000564FB" w:rsidRPr="001D186C" w:rsidRDefault="000564FB" w:rsidP="000564FB">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bCs/>
                <w:sz w:val="24"/>
                <w:szCs w:val="24"/>
              </w:rPr>
              <w:t>Santa Catarina</w:t>
            </w:r>
          </w:p>
        </w:tc>
        <w:tc>
          <w:tcPr>
            <w:tcW w:w="2831" w:type="dxa"/>
            <w:tcBorders>
              <w:top w:val="nil"/>
              <w:bottom w:val="nil"/>
            </w:tcBorders>
            <w:shd w:val="clear" w:color="auto" w:fill="FFFFFF"/>
            <w:vAlign w:val="bottom"/>
          </w:tcPr>
          <w:p w14:paraId="5D97E40C" w14:textId="2867A09A"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4,26%</w:t>
            </w:r>
          </w:p>
        </w:tc>
        <w:tc>
          <w:tcPr>
            <w:tcW w:w="2832" w:type="dxa"/>
            <w:tcBorders>
              <w:top w:val="nil"/>
              <w:bottom w:val="nil"/>
            </w:tcBorders>
            <w:shd w:val="clear" w:color="auto" w:fill="FFFFFF"/>
            <w:vAlign w:val="bottom"/>
          </w:tcPr>
          <w:p w14:paraId="2714837E" w14:textId="65D475D9"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9,78%</w:t>
            </w:r>
          </w:p>
        </w:tc>
      </w:tr>
      <w:tr w:rsidR="00CF46C6" w:rsidRPr="001D186C" w14:paraId="707D7531" w14:textId="77777777" w:rsidTr="000564FB">
        <w:tc>
          <w:tcPr>
            <w:tcW w:w="2831" w:type="dxa"/>
            <w:tcBorders>
              <w:top w:val="nil"/>
              <w:bottom w:val="nil"/>
            </w:tcBorders>
            <w:vAlign w:val="bottom"/>
          </w:tcPr>
          <w:p w14:paraId="40005DD5" w14:textId="22B9E2F8" w:rsidR="000564FB" w:rsidRPr="001D186C" w:rsidRDefault="000564FB" w:rsidP="000564FB">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bCs/>
                <w:sz w:val="24"/>
                <w:szCs w:val="24"/>
              </w:rPr>
              <w:t>Rio Grande do Sul</w:t>
            </w:r>
          </w:p>
        </w:tc>
        <w:tc>
          <w:tcPr>
            <w:tcW w:w="2831" w:type="dxa"/>
            <w:tcBorders>
              <w:top w:val="nil"/>
              <w:bottom w:val="nil"/>
            </w:tcBorders>
            <w:shd w:val="clear" w:color="auto" w:fill="FFFFFF"/>
            <w:vAlign w:val="bottom"/>
          </w:tcPr>
          <w:p w14:paraId="691C9D0D" w14:textId="50451577"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3,10%</w:t>
            </w:r>
          </w:p>
        </w:tc>
        <w:tc>
          <w:tcPr>
            <w:tcW w:w="2832" w:type="dxa"/>
            <w:tcBorders>
              <w:top w:val="nil"/>
              <w:bottom w:val="nil"/>
            </w:tcBorders>
            <w:shd w:val="clear" w:color="auto" w:fill="FFFFFF"/>
            <w:vAlign w:val="bottom"/>
          </w:tcPr>
          <w:p w14:paraId="09C1F26A" w14:textId="05555A1D"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10,16%</w:t>
            </w:r>
          </w:p>
        </w:tc>
      </w:tr>
      <w:tr w:rsidR="00CF46C6" w:rsidRPr="001D186C" w14:paraId="2840F29F" w14:textId="77777777" w:rsidTr="000564FB">
        <w:tc>
          <w:tcPr>
            <w:tcW w:w="2831" w:type="dxa"/>
            <w:tcBorders>
              <w:top w:val="nil"/>
              <w:bottom w:val="single" w:sz="4" w:space="0" w:color="auto"/>
            </w:tcBorders>
            <w:vAlign w:val="bottom"/>
          </w:tcPr>
          <w:p w14:paraId="3848705C" w14:textId="5237225B" w:rsidR="000564FB" w:rsidRPr="001D186C" w:rsidRDefault="000564FB" w:rsidP="000564FB">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bCs/>
                <w:sz w:val="24"/>
                <w:szCs w:val="24"/>
              </w:rPr>
              <w:t>Pernambuco</w:t>
            </w:r>
          </w:p>
        </w:tc>
        <w:tc>
          <w:tcPr>
            <w:tcW w:w="2831" w:type="dxa"/>
            <w:tcBorders>
              <w:top w:val="nil"/>
              <w:bottom w:val="single" w:sz="4" w:space="0" w:color="auto"/>
            </w:tcBorders>
            <w:shd w:val="clear" w:color="auto" w:fill="FFFFFF"/>
            <w:vAlign w:val="bottom"/>
          </w:tcPr>
          <w:p w14:paraId="4E0B4FBD" w14:textId="01A2A6D8"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2,26%</w:t>
            </w:r>
          </w:p>
        </w:tc>
        <w:tc>
          <w:tcPr>
            <w:tcW w:w="2832" w:type="dxa"/>
            <w:tcBorders>
              <w:top w:val="nil"/>
              <w:bottom w:val="single" w:sz="4" w:space="0" w:color="auto"/>
            </w:tcBorders>
            <w:shd w:val="clear" w:color="auto" w:fill="FFFFFF"/>
            <w:vAlign w:val="bottom"/>
          </w:tcPr>
          <w:p w14:paraId="22FEE918" w14:textId="606D0EB3" w:rsidR="000564FB" w:rsidRPr="001D186C" w:rsidRDefault="000564FB" w:rsidP="000564FB">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4,47%</w:t>
            </w:r>
          </w:p>
        </w:tc>
      </w:tr>
    </w:tbl>
    <w:p w14:paraId="152701EA" w14:textId="167F09F5" w:rsidR="00573AD5" w:rsidRPr="001D186C" w:rsidRDefault="000564FB" w:rsidP="00A37369">
      <w:r w:rsidRPr="001D186C">
        <w:rPr>
          <w:rFonts w:ascii="Times New Roman" w:eastAsia="Times New Roman" w:hAnsi="Times New Roman" w:cs="Times New Roman"/>
          <w:sz w:val="24"/>
          <w:szCs w:val="24"/>
        </w:rPr>
        <w:t>Fonte: IBGE, Censo Agropecuário 2017.</w:t>
      </w:r>
    </w:p>
    <w:p w14:paraId="14813E09" w14:textId="77777777" w:rsidR="00573AD5" w:rsidRPr="001D186C" w:rsidRDefault="00573AD5" w:rsidP="00A37369">
      <w:pPr>
        <w:rPr>
          <w:b/>
        </w:rPr>
      </w:pPr>
    </w:p>
    <w:p w14:paraId="7866208D" w14:textId="77777777" w:rsidR="000564FB" w:rsidRPr="001D186C" w:rsidRDefault="000564FB" w:rsidP="000564FB">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O estado de Santa Catarina possui dois municípios que se destacam na produção de abóbora, conforme pode ser observado na Tabela 6. O primeiro polo é o município de Palmeira, que lidera a produção estadual em volume e valor de produção. A agricultura familiar é a base da economia local, e o clima subtropical úmido, aliado a solos férteis e bem drenados, favorece a alta produtividade da cultura (CENSO, 2017).</w:t>
      </w:r>
    </w:p>
    <w:p w14:paraId="00FBAF5F" w14:textId="77777777" w:rsidR="000564FB" w:rsidRPr="001D186C" w:rsidRDefault="000564FB" w:rsidP="000564FB">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O segundo polo é o município de Ponte Alta, localizado no Planalto Serrano, onde predomina um clima frio e úmido. Embora ocupe a segunda posição em volume de produção, conforme detalhado na Tabela 6, o município enfrenta desafios em relação ao </w:t>
      </w:r>
      <w:r w:rsidRPr="001D186C">
        <w:rPr>
          <w:rFonts w:ascii="Times New Roman" w:eastAsia="Times New Roman" w:hAnsi="Times New Roman" w:cs="Times New Roman"/>
          <w:sz w:val="24"/>
          <w:szCs w:val="24"/>
        </w:rPr>
        <w:lastRenderedPageBreak/>
        <w:t>valor de produção, ficando em sexto lugar nesse indicador. Essa discrepância sugere possíveis dificuldades, como a falta de valor agregado e problemas na comercialização, indicando a necessidade de políticas públicas e iniciativas que apoiem os produtores na obtenção de melhores retornos financeiros (CENSO, 2017).</w:t>
      </w:r>
    </w:p>
    <w:p w14:paraId="41245E1E" w14:textId="77777777" w:rsidR="00444E21" w:rsidRPr="001D186C" w:rsidRDefault="00444E21" w:rsidP="000564FB">
      <w:pPr>
        <w:spacing w:after="0" w:line="360" w:lineRule="auto"/>
        <w:ind w:firstLine="708"/>
        <w:jc w:val="both"/>
        <w:rPr>
          <w:rFonts w:ascii="Times New Roman" w:eastAsia="Times New Roman" w:hAnsi="Times New Roman" w:cs="Times New Roman"/>
          <w:sz w:val="24"/>
          <w:szCs w:val="24"/>
        </w:rPr>
      </w:pPr>
    </w:p>
    <w:p w14:paraId="63D18E50" w14:textId="05486290" w:rsidR="000564FB" w:rsidRPr="001D186C" w:rsidRDefault="00831B83" w:rsidP="00831B83">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Tabela 6:  Abóbora </w:t>
      </w:r>
      <w:r w:rsidR="00444E21" w:rsidRPr="001D186C">
        <w:rPr>
          <w:rFonts w:ascii="Times New Roman" w:eastAsia="Times New Roman" w:hAnsi="Times New Roman" w:cs="Times New Roman"/>
          <w:sz w:val="24"/>
          <w:szCs w:val="24"/>
        </w:rPr>
        <w:t>de Santa Catarina -</w:t>
      </w:r>
      <w:r w:rsidRPr="001D186C">
        <w:rPr>
          <w:rFonts w:ascii="Times New Roman" w:eastAsia="Times New Roman" w:hAnsi="Times New Roman" w:cs="Times New Roman"/>
          <w:sz w:val="24"/>
          <w:szCs w:val="24"/>
        </w:rPr>
        <w:t xml:space="preserve"> Quantidade produzida e Valor da Produção </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CF46C6" w:rsidRPr="001D186C" w14:paraId="163B7BCE" w14:textId="77777777" w:rsidTr="00831B83">
        <w:tc>
          <w:tcPr>
            <w:tcW w:w="2831" w:type="dxa"/>
            <w:tcBorders>
              <w:top w:val="single" w:sz="4" w:space="0" w:color="auto"/>
              <w:bottom w:val="single" w:sz="4" w:space="0" w:color="auto"/>
            </w:tcBorders>
            <w:vAlign w:val="bottom"/>
          </w:tcPr>
          <w:p w14:paraId="5B2AA7F3" w14:textId="182AF056" w:rsidR="00831B83" w:rsidRPr="001D186C" w:rsidRDefault="00831B83" w:rsidP="00831B83">
            <w:pPr>
              <w:spacing w:line="360" w:lineRule="auto"/>
              <w:jc w:val="both"/>
              <w:rPr>
                <w:rFonts w:ascii="Times New Roman" w:eastAsia="Times New Roman" w:hAnsi="Times New Roman" w:cs="Times New Roman"/>
                <w:szCs w:val="24"/>
              </w:rPr>
            </w:pPr>
            <w:r w:rsidRPr="001D186C">
              <w:rPr>
                <w:rFonts w:ascii="Times New Roman" w:eastAsia="Times New Roman" w:hAnsi="Times New Roman" w:cs="Times New Roman"/>
                <w:b/>
                <w:bCs/>
                <w:szCs w:val="24"/>
              </w:rPr>
              <w:t>Abóbora </w:t>
            </w:r>
          </w:p>
        </w:tc>
        <w:tc>
          <w:tcPr>
            <w:tcW w:w="2831" w:type="dxa"/>
            <w:tcBorders>
              <w:top w:val="single" w:sz="4" w:space="0" w:color="auto"/>
              <w:bottom w:val="single" w:sz="4" w:space="0" w:color="auto"/>
            </w:tcBorders>
            <w:vAlign w:val="bottom"/>
          </w:tcPr>
          <w:p w14:paraId="0E7A0D04" w14:textId="7FC60E2C" w:rsidR="00831B83" w:rsidRPr="001D186C" w:rsidRDefault="00831B83" w:rsidP="00831B83">
            <w:pPr>
              <w:spacing w:line="360" w:lineRule="auto"/>
              <w:jc w:val="both"/>
              <w:rPr>
                <w:rFonts w:ascii="Times New Roman" w:eastAsia="Times New Roman" w:hAnsi="Times New Roman" w:cs="Times New Roman"/>
                <w:szCs w:val="24"/>
              </w:rPr>
            </w:pPr>
            <w:r w:rsidRPr="001D186C">
              <w:rPr>
                <w:rFonts w:ascii="Times New Roman" w:eastAsia="Times New Roman" w:hAnsi="Times New Roman" w:cs="Times New Roman"/>
                <w:b/>
                <w:bCs/>
                <w:szCs w:val="24"/>
              </w:rPr>
              <w:t>Quant. Produzida (t)</w:t>
            </w:r>
          </w:p>
        </w:tc>
        <w:tc>
          <w:tcPr>
            <w:tcW w:w="2832" w:type="dxa"/>
            <w:tcBorders>
              <w:top w:val="single" w:sz="4" w:space="0" w:color="auto"/>
              <w:bottom w:val="single" w:sz="4" w:space="0" w:color="auto"/>
            </w:tcBorders>
            <w:vAlign w:val="bottom"/>
          </w:tcPr>
          <w:p w14:paraId="7B520FF7" w14:textId="5576E652" w:rsidR="00831B83" w:rsidRPr="001D186C" w:rsidRDefault="00831B83" w:rsidP="00831B83">
            <w:pPr>
              <w:spacing w:line="360" w:lineRule="auto"/>
              <w:jc w:val="right"/>
              <w:rPr>
                <w:rFonts w:ascii="Times New Roman" w:eastAsia="Times New Roman" w:hAnsi="Times New Roman" w:cs="Times New Roman"/>
                <w:szCs w:val="24"/>
              </w:rPr>
            </w:pPr>
            <w:r w:rsidRPr="001D186C">
              <w:rPr>
                <w:rFonts w:ascii="Times New Roman" w:eastAsia="Times New Roman" w:hAnsi="Times New Roman" w:cs="Times New Roman"/>
                <w:b/>
                <w:bCs/>
                <w:szCs w:val="24"/>
              </w:rPr>
              <w:t>Valor da produção (mil R$)</w:t>
            </w:r>
          </w:p>
        </w:tc>
      </w:tr>
      <w:tr w:rsidR="00CF46C6" w:rsidRPr="001D186C" w14:paraId="1FF156CF" w14:textId="77777777" w:rsidTr="00831B83">
        <w:tc>
          <w:tcPr>
            <w:tcW w:w="2831" w:type="dxa"/>
            <w:tcBorders>
              <w:top w:val="single" w:sz="4" w:space="0" w:color="auto"/>
              <w:bottom w:val="nil"/>
            </w:tcBorders>
            <w:shd w:val="clear" w:color="auto" w:fill="auto"/>
            <w:vAlign w:val="bottom"/>
          </w:tcPr>
          <w:p w14:paraId="03095818" w14:textId="2BCC31B6" w:rsidR="00831B83" w:rsidRPr="001D186C" w:rsidRDefault="00831B83" w:rsidP="00831B83">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Palmeira</w:t>
            </w:r>
          </w:p>
        </w:tc>
        <w:tc>
          <w:tcPr>
            <w:tcW w:w="2831" w:type="dxa"/>
            <w:tcBorders>
              <w:top w:val="single" w:sz="4" w:space="0" w:color="auto"/>
              <w:bottom w:val="nil"/>
            </w:tcBorders>
            <w:shd w:val="clear" w:color="auto" w:fill="auto"/>
            <w:vAlign w:val="bottom"/>
          </w:tcPr>
          <w:p w14:paraId="1885446C" w14:textId="1ED010D6"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3.607</w:t>
            </w:r>
          </w:p>
        </w:tc>
        <w:tc>
          <w:tcPr>
            <w:tcW w:w="2832" w:type="dxa"/>
            <w:tcBorders>
              <w:top w:val="single" w:sz="4" w:space="0" w:color="auto"/>
              <w:bottom w:val="nil"/>
            </w:tcBorders>
            <w:shd w:val="clear" w:color="auto" w:fill="auto"/>
            <w:vAlign w:val="bottom"/>
          </w:tcPr>
          <w:p w14:paraId="4B9EA373" w14:textId="5D41D153"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R$ 1.227,81</w:t>
            </w:r>
          </w:p>
        </w:tc>
      </w:tr>
      <w:tr w:rsidR="00CF46C6" w:rsidRPr="001D186C" w14:paraId="0259D7E1" w14:textId="77777777" w:rsidTr="00831B83">
        <w:tc>
          <w:tcPr>
            <w:tcW w:w="2831" w:type="dxa"/>
            <w:tcBorders>
              <w:top w:val="nil"/>
              <w:bottom w:val="nil"/>
            </w:tcBorders>
            <w:shd w:val="clear" w:color="auto" w:fill="auto"/>
            <w:vAlign w:val="bottom"/>
          </w:tcPr>
          <w:p w14:paraId="089C097C" w14:textId="74B3AE9D" w:rsidR="00831B83" w:rsidRPr="001D186C" w:rsidRDefault="00831B83" w:rsidP="00831B83">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Ponte Alta</w:t>
            </w:r>
          </w:p>
        </w:tc>
        <w:tc>
          <w:tcPr>
            <w:tcW w:w="2831" w:type="dxa"/>
            <w:tcBorders>
              <w:top w:val="nil"/>
              <w:bottom w:val="nil"/>
            </w:tcBorders>
            <w:shd w:val="clear" w:color="auto" w:fill="auto"/>
            <w:vAlign w:val="bottom"/>
          </w:tcPr>
          <w:p w14:paraId="65249C0F" w14:textId="7B98B9CE"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3.285</w:t>
            </w:r>
          </w:p>
        </w:tc>
        <w:tc>
          <w:tcPr>
            <w:tcW w:w="2832" w:type="dxa"/>
            <w:tcBorders>
              <w:top w:val="nil"/>
              <w:bottom w:val="nil"/>
            </w:tcBorders>
            <w:shd w:val="clear" w:color="auto" w:fill="auto"/>
            <w:vAlign w:val="bottom"/>
          </w:tcPr>
          <w:p w14:paraId="4883C643" w14:textId="4CCAD5A8"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R$ 1.030,14</w:t>
            </w:r>
          </w:p>
        </w:tc>
      </w:tr>
      <w:tr w:rsidR="00CF46C6" w:rsidRPr="001D186C" w14:paraId="572BD0AB" w14:textId="77777777" w:rsidTr="00831B83">
        <w:tc>
          <w:tcPr>
            <w:tcW w:w="2831" w:type="dxa"/>
            <w:tcBorders>
              <w:top w:val="nil"/>
              <w:bottom w:val="nil"/>
            </w:tcBorders>
            <w:shd w:val="clear" w:color="auto" w:fill="auto"/>
            <w:vAlign w:val="bottom"/>
          </w:tcPr>
          <w:p w14:paraId="4BBB768E" w14:textId="12F74117" w:rsidR="00831B83" w:rsidRPr="001D186C" w:rsidRDefault="00831B83" w:rsidP="00831B83">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Anita Garibaldi</w:t>
            </w:r>
          </w:p>
        </w:tc>
        <w:tc>
          <w:tcPr>
            <w:tcW w:w="2831" w:type="dxa"/>
            <w:tcBorders>
              <w:top w:val="nil"/>
              <w:bottom w:val="nil"/>
            </w:tcBorders>
            <w:shd w:val="clear" w:color="auto" w:fill="auto"/>
            <w:vAlign w:val="bottom"/>
          </w:tcPr>
          <w:p w14:paraId="71BFF8AE" w14:textId="4695754C"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3.011</w:t>
            </w:r>
          </w:p>
        </w:tc>
        <w:tc>
          <w:tcPr>
            <w:tcW w:w="2832" w:type="dxa"/>
            <w:tcBorders>
              <w:top w:val="nil"/>
              <w:bottom w:val="nil"/>
            </w:tcBorders>
            <w:shd w:val="clear" w:color="auto" w:fill="auto"/>
            <w:vAlign w:val="bottom"/>
          </w:tcPr>
          <w:p w14:paraId="6CB42CE9" w14:textId="196C36AF"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R$ 2.227,43</w:t>
            </w:r>
          </w:p>
        </w:tc>
      </w:tr>
      <w:tr w:rsidR="00CF46C6" w:rsidRPr="001D186C" w14:paraId="6E005FD6" w14:textId="77777777" w:rsidTr="00831B83">
        <w:tc>
          <w:tcPr>
            <w:tcW w:w="2831" w:type="dxa"/>
            <w:tcBorders>
              <w:top w:val="nil"/>
              <w:bottom w:val="nil"/>
            </w:tcBorders>
            <w:shd w:val="clear" w:color="auto" w:fill="auto"/>
            <w:vAlign w:val="bottom"/>
          </w:tcPr>
          <w:p w14:paraId="46F10ADC" w14:textId="6717D6A5" w:rsidR="00831B83" w:rsidRPr="001D186C" w:rsidRDefault="00831B83" w:rsidP="00831B83">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Otacílio Costa</w:t>
            </w:r>
          </w:p>
        </w:tc>
        <w:tc>
          <w:tcPr>
            <w:tcW w:w="2831" w:type="dxa"/>
            <w:tcBorders>
              <w:top w:val="nil"/>
              <w:bottom w:val="nil"/>
            </w:tcBorders>
            <w:shd w:val="clear" w:color="auto" w:fill="auto"/>
            <w:vAlign w:val="bottom"/>
          </w:tcPr>
          <w:p w14:paraId="283A727D" w14:textId="450F8103"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2.973</w:t>
            </w:r>
          </w:p>
        </w:tc>
        <w:tc>
          <w:tcPr>
            <w:tcW w:w="2832" w:type="dxa"/>
            <w:tcBorders>
              <w:top w:val="nil"/>
              <w:bottom w:val="nil"/>
            </w:tcBorders>
            <w:shd w:val="clear" w:color="auto" w:fill="auto"/>
            <w:vAlign w:val="bottom"/>
          </w:tcPr>
          <w:p w14:paraId="6546F3B5" w14:textId="51F8A9AB"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R$ 775,44</w:t>
            </w:r>
          </w:p>
        </w:tc>
      </w:tr>
      <w:tr w:rsidR="00CF46C6" w:rsidRPr="001D186C" w14:paraId="61CB6D8D" w14:textId="77777777" w:rsidTr="00831B83">
        <w:tc>
          <w:tcPr>
            <w:tcW w:w="2831" w:type="dxa"/>
            <w:tcBorders>
              <w:top w:val="nil"/>
              <w:bottom w:val="nil"/>
            </w:tcBorders>
            <w:shd w:val="clear" w:color="auto" w:fill="auto"/>
            <w:vAlign w:val="bottom"/>
          </w:tcPr>
          <w:p w14:paraId="1F6982F7" w14:textId="36964FDE" w:rsidR="00831B83" w:rsidRPr="001D186C" w:rsidRDefault="00831B83" w:rsidP="00831B83">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Lages</w:t>
            </w:r>
          </w:p>
        </w:tc>
        <w:tc>
          <w:tcPr>
            <w:tcW w:w="2831" w:type="dxa"/>
            <w:tcBorders>
              <w:top w:val="nil"/>
              <w:bottom w:val="nil"/>
            </w:tcBorders>
            <w:shd w:val="clear" w:color="auto" w:fill="auto"/>
            <w:vAlign w:val="bottom"/>
          </w:tcPr>
          <w:p w14:paraId="2DD1F8B3" w14:textId="16E54E85"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2.935</w:t>
            </w:r>
          </w:p>
        </w:tc>
        <w:tc>
          <w:tcPr>
            <w:tcW w:w="2832" w:type="dxa"/>
            <w:tcBorders>
              <w:top w:val="nil"/>
              <w:bottom w:val="nil"/>
            </w:tcBorders>
            <w:shd w:val="clear" w:color="auto" w:fill="auto"/>
            <w:vAlign w:val="bottom"/>
          </w:tcPr>
          <w:p w14:paraId="6B3EC2FE" w14:textId="44527B01"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R$ 851,31</w:t>
            </w:r>
          </w:p>
        </w:tc>
      </w:tr>
      <w:tr w:rsidR="00CF46C6" w:rsidRPr="001D186C" w14:paraId="5D3F0612" w14:textId="77777777" w:rsidTr="00831B83">
        <w:tc>
          <w:tcPr>
            <w:tcW w:w="2831" w:type="dxa"/>
            <w:tcBorders>
              <w:top w:val="nil"/>
              <w:bottom w:val="nil"/>
            </w:tcBorders>
            <w:shd w:val="clear" w:color="auto" w:fill="auto"/>
            <w:vAlign w:val="bottom"/>
          </w:tcPr>
          <w:p w14:paraId="5436ADFC" w14:textId="2C2E2641" w:rsidR="00831B83" w:rsidRPr="001D186C" w:rsidRDefault="00831B83" w:rsidP="00831B83">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Celso Ramos</w:t>
            </w:r>
          </w:p>
        </w:tc>
        <w:tc>
          <w:tcPr>
            <w:tcW w:w="2831" w:type="dxa"/>
            <w:tcBorders>
              <w:top w:val="nil"/>
              <w:bottom w:val="nil"/>
            </w:tcBorders>
            <w:shd w:val="clear" w:color="auto" w:fill="auto"/>
            <w:vAlign w:val="bottom"/>
          </w:tcPr>
          <w:p w14:paraId="50BD8EBD" w14:textId="64BCD637"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2.882</w:t>
            </w:r>
          </w:p>
        </w:tc>
        <w:tc>
          <w:tcPr>
            <w:tcW w:w="2832" w:type="dxa"/>
            <w:tcBorders>
              <w:top w:val="nil"/>
              <w:bottom w:val="nil"/>
            </w:tcBorders>
            <w:shd w:val="clear" w:color="auto" w:fill="auto"/>
            <w:vAlign w:val="bottom"/>
          </w:tcPr>
          <w:p w14:paraId="1319BB9C" w14:textId="3FA434E0"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R$ 1.033,78</w:t>
            </w:r>
          </w:p>
        </w:tc>
      </w:tr>
      <w:tr w:rsidR="00CF46C6" w:rsidRPr="001D186C" w14:paraId="254AFA30" w14:textId="77777777" w:rsidTr="00831B83">
        <w:tc>
          <w:tcPr>
            <w:tcW w:w="2831" w:type="dxa"/>
            <w:tcBorders>
              <w:top w:val="nil"/>
            </w:tcBorders>
            <w:shd w:val="clear" w:color="auto" w:fill="auto"/>
            <w:vAlign w:val="bottom"/>
          </w:tcPr>
          <w:p w14:paraId="55D8B56F" w14:textId="5A368468" w:rsidR="00831B83" w:rsidRPr="001D186C" w:rsidRDefault="00831B83" w:rsidP="00831B83">
            <w:pPr>
              <w:spacing w:line="360" w:lineRule="auto"/>
              <w:jc w:val="both"/>
              <w:rPr>
                <w:rFonts w:ascii="Times New Roman" w:eastAsia="Times New Roman" w:hAnsi="Times New Roman" w:cs="Times New Roman"/>
                <w:sz w:val="24"/>
                <w:szCs w:val="24"/>
              </w:rPr>
            </w:pPr>
            <w:proofErr w:type="spellStart"/>
            <w:r w:rsidRPr="001D186C">
              <w:rPr>
                <w:rFonts w:ascii="Times New Roman" w:eastAsia="Times New Roman" w:hAnsi="Times New Roman" w:cs="Times New Roman"/>
                <w:sz w:val="24"/>
                <w:szCs w:val="24"/>
              </w:rPr>
              <w:t>Itaiópolis</w:t>
            </w:r>
            <w:proofErr w:type="spellEnd"/>
          </w:p>
        </w:tc>
        <w:tc>
          <w:tcPr>
            <w:tcW w:w="2831" w:type="dxa"/>
            <w:tcBorders>
              <w:top w:val="nil"/>
            </w:tcBorders>
            <w:shd w:val="clear" w:color="auto" w:fill="auto"/>
            <w:vAlign w:val="bottom"/>
          </w:tcPr>
          <w:p w14:paraId="75B53571" w14:textId="3D59FAC1"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1.513</w:t>
            </w:r>
          </w:p>
        </w:tc>
        <w:tc>
          <w:tcPr>
            <w:tcW w:w="2832" w:type="dxa"/>
            <w:tcBorders>
              <w:top w:val="nil"/>
            </w:tcBorders>
            <w:shd w:val="clear" w:color="auto" w:fill="auto"/>
            <w:vAlign w:val="bottom"/>
          </w:tcPr>
          <w:p w14:paraId="43D03340" w14:textId="497D5836"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R$ 626,21</w:t>
            </w:r>
          </w:p>
        </w:tc>
      </w:tr>
      <w:tr w:rsidR="00CF46C6" w:rsidRPr="001D186C" w14:paraId="2C51A8CF" w14:textId="77777777" w:rsidTr="00800783">
        <w:tc>
          <w:tcPr>
            <w:tcW w:w="2831" w:type="dxa"/>
            <w:shd w:val="clear" w:color="auto" w:fill="FFFFFF"/>
            <w:vAlign w:val="bottom"/>
          </w:tcPr>
          <w:p w14:paraId="486CD868" w14:textId="74CAA930" w:rsidR="00831B83" w:rsidRPr="001D186C" w:rsidRDefault="00831B83" w:rsidP="00831B83">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Cerro Negro</w:t>
            </w:r>
          </w:p>
        </w:tc>
        <w:tc>
          <w:tcPr>
            <w:tcW w:w="2831" w:type="dxa"/>
            <w:vAlign w:val="bottom"/>
          </w:tcPr>
          <w:p w14:paraId="12B6E6E0" w14:textId="5812756E"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1.345</w:t>
            </w:r>
          </w:p>
        </w:tc>
        <w:tc>
          <w:tcPr>
            <w:tcW w:w="2832" w:type="dxa"/>
            <w:vAlign w:val="bottom"/>
          </w:tcPr>
          <w:p w14:paraId="0DC3D1BB" w14:textId="6283DA4E"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R$ 444,60</w:t>
            </w:r>
          </w:p>
        </w:tc>
      </w:tr>
      <w:tr w:rsidR="00CF46C6" w:rsidRPr="001D186C" w14:paraId="52370E31" w14:textId="77777777" w:rsidTr="00800783">
        <w:tc>
          <w:tcPr>
            <w:tcW w:w="2831" w:type="dxa"/>
            <w:shd w:val="clear" w:color="auto" w:fill="FFFFFF"/>
            <w:vAlign w:val="bottom"/>
          </w:tcPr>
          <w:p w14:paraId="2C4E7D4B" w14:textId="71C91B4C" w:rsidR="00831B83" w:rsidRPr="001D186C" w:rsidRDefault="00831B83" w:rsidP="00831B83">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Curitibanos</w:t>
            </w:r>
          </w:p>
        </w:tc>
        <w:tc>
          <w:tcPr>
            <w:tcW w:w="2831" w:type="dxa"/>
            <w:vAlign w:val="bottom"/>
          </w:tcPr>
          <w:p w14:paraId="5A297D50" w14:textId="057B33BA"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984</w:t>
            </w:r>
          </w:p>
        </w:tc>
        <w:tc>
          <w:tcPr>
            <w:tcW w:w="2832" w:type="dxa"/>
            <w:vAlign w:val="bottom"/>
          </w:tcPr>
          <w:p w14:paraId="04B94274" w14:textId="50C61016"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R$ 383,62</w:t>
            </w:r>
          </w:p>
        </w:tc>
      </w:tr>
      <w:tr w:rsidR="00CF46C6" w:rsidRPr="001D186C" w14:paraId="7B60A4AD" w14:textId="77777777" w:rsidTr="00800783">
        <w:tc>
          <w:tcPr>
            <w:tcW w:w="2831" w:type="dxa"/>
            <w:tcBorders>
              <w:bottom w:val="single" w:sz="4" w:space="0" w:color="auto"/>
            </w:tcBorders>
            <w:shd w:val="clear" w:color="auto" w:fill="FFFFFF"/>
            <w:vAlign w:val="bottom"/>
          </w:tcPr>
          <w:p w14:paraId="25285488" w14:textId="6D787FEA" w:rsidR="00831B83" w:rsidRPr="001D186C" w:rsidRDefault="00831B83" w:rsidP="00831B83">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Bom Retiro</w:t>
            </w:r>
          </w:p>
        </w:tc>
        <w:tc>
          <w:tcPr>
            <w:tcW w:w="2831" w:type="dxa"/>
            <w:tcBorders>
              <w:bottom w:val="single" w:sz="4" w:space="0" w:color="auto"/>
            </w:tcBorders>
            <w:vAlign w:val="bottom"/>
          </w:tcPr>
          <w:p w14:paraId="173F9A02" w14:textId="48337028"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840</w:t>
            </w:r>
          </w:p>
        </w:tc>
        <w:tc>
          <w:tcPr>
            <w:tcW w:w="2832" w:type="dxa"/>
            <w:tcBorders>
              <w:bottom w:val="single" w:sz="4" w:space="0" w:color="auto"/>
            </w:tcBorders>
            <w:vAlign w:val="bottom"/>
          </w:tcPr>
          <w:p w14:paraId="7E0405D4" w14:textId="74D4B02D" w:rsidR="00831B83" w:rsidRPr="001D186C" w:rsidRDefault="00831B83" w:rsidP="00831B83">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R$ 285,59</w:t>
            </w:r>
          </w:p>
        </w:tc>
      </w:tr>
    </w:tbl>
    <w:p w14:paraId="794D822E" w14:textId="5F95EA24" w:rsidR="000564FB" w:rsidRPr="001D186C" w:rsidRDefault="00831B83" w:rsidP="00A37369">
      <w:r w:rsidRPr="001D186C">
        <w:rPr>
          <w:rFonts w:ascii="Times New Roman" w:eastAsia="Times New Roman" w:hAnsi="Times New Roman" w:cs="Times New Roman"/>
          <w:sz w:val="24"/>
          <w:szCs w:val="24"/>
        </w:rPr>
        <w:t>Fonte: IBGE, Censo Agropecuário 2017.</w:t>
      </w:r>
    </w:p>
    <w:p w14:paraId="2D8806DD" w14:textId="77777777" w:rsidR="000564FB" w:rsidRPr="001D186C" w:rsidRDefault="000564FB" w:rsidP="00A37369">
      <w:pPr>
        <w:rPr>
          <w:b/>
          <w:color w:val="7030A0"/>
        </w:rPr>
      </w:pPr>
    </w:p>
    <w:p w14:paraId="2A5375CA" w14:textId="77777777" w:rsidR="00CF46C6" w:rsidRPr="001D186C" w:rsidRDefault="00CF46C6" w:rsidP="00CF46C6">
      <w:pPr>
        <w:spacing w:after="0" w:line="360" w:lineRule="auto"/>
        <w:ind w:firstLine="708"/>
        <w:jc w:val="both"/>
        <w:rPr>
          <w:rFonts w:ascii="Times New Roman" w:eastAsia="Times New Roman" w:hAnsi="Times New Roman" w:cs="Times New Roman"/>
          <w:b/>
          <w:sz w:val="24"/>
          <w:szCs w:val="24"/>
        </w:rPr>
      </w:pPr>
      <w:r w:rsidRPr="001D186C">
        <w:rPr>
          <w:rFonts w:ascii="Times New Roman" w:eastAsia="Times New Roman" w:hAnsi="Times New Roman" w:cs="Times New Roman"/>
          <w:b/>
          <w:sz w:val="24"/>
          <w:szCs w:val="24"/>
        </w:rPr>
        <w:t>2.4 TOMATE</w:t>
      </w:r>
    </w:p>
    <w:p w14:paraId="5EDA8DCA" w14:textId="77777777" w:rsidR="00CF46C6" w:rsidRPr="001D186C" w:rsidRDefault="00CF46C6" w:rsidP="00CF46C6">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O Brasil possui uma área colhida de 20.026 hectares de tomate industrial, distribuída em 5.427 estabelecimentos, com uma produção total de aproximadamente 1.143.922 toneladas, gerando um valor de produção de R$ 583.632.403 (valores originais do censo 2017, sem correção pelo IGP-DI). O tomate é cultivado em todas as regiões do país, mas a produção está concentrada principalmente em estados com clima favorável e estações bem definidas, que favorecem o cultivo (CENSO, 2017). Goiás consolida-se como o maior produtor de tomate industrial do Brasil, responsável por 662.137 toneladas da produção nacional, conforme indicado na Tabela 7.</w:t>
      </w:r>
    </w:p>
    <w:p w14:paraId="7CC19441" w14:textId="77777777" w:rsidR="00F56657" w:rsidRPr="001D186C" w:rsidRDefault="00F56657" w:rsidP="00A37369">
      <w:pPr>
        <w:rPr>
          <w:b/>
          <w:color w:val="7030A0"/>
        </w:rPr>
      </w:pPr>
    </w:p>
    <w:p w14:paraId="29617F32" w14:textId="7FA7A72C" w:rsidR="00F56657" w:rsidRPr="001D186C" w:rsidRDefault="00F56657" w:rsidP="00F56657">
      <w:pPr>
        <w:spacing w:after="0" w:line="360" w:lineRule="auto"/>
        <w:jc w:val="both"/>
        <w:rPr>
          <w:rFonts w:ascii="Times New Roman" w:eastAsia="Times New Roman" w:hAnsi="Times New Roman" w:cs="Times New Roman"/>
          <w:color w:val="7030A0"/>
          <w:sz w:val="24"/>
          <w:szCs w:val="24"/>
        </w:rPr>
      </w:pPr>
      <w:r w:rsidRPr="001D186C">
        <w:rPr>
          <w:rFonts w:ascii="Times New Roman" w:eastAsia="Times New Roman" w:hAnsi="Times New Roman" w:cs="Times New Roman"/>
          <w:sz w:val="24"/>
          <w:szCs w:val="24"/>
        </w:rPr>
        <w:t xml:space="preserve">Tabela 7: </w:t>
      </w:r>
      <w:r w:rsidR="00C14226" w:rsidRPr="001D186C">
        <w:rPr>
          <w:rFonts w:ascii="Times New Roman" w:eastAsia="Times New Roman" w:hAnsi="Times New Roman" w:cs="Times New Roman"/>
          <w:sz w:val="24"/>
          <w:szCs w:val="24"/>
        </w:rPr>
        <w:t xml:space="preserve">Frutos e </w:t>
      </w:r>
      <w:r w:rsidR="002D6670" w:rsidRPr="001D186C">
        <w:rPr>
          <w:rFonts w:ascii="Times New Roman" w:eastAsia="Times New Roman" w:hAnsi="Times New Roman" w:cs="Times New Roman"/>
          <w:sz w:val="24"/>
          <w:szCs w:val="24"/>
        </w:rPr>
        <w:t xml:space="preserve">Tomates - </w:t>
      </w:r>
      <w:r w:rsidRPr="001D186C">
        <w:rPr>
          <w:rFonts w:ascii="Times New Roman" w:eastAsia="Times New Roman" w:hAnsi="Times New Roman" w:cs="Times New Roman"/>
          <w:sz w:val="24"/>
          <w:szCs w:val="24"/>
        </w:rPr>
        <w:t>Participação percentual (%)</w:t>
      </w:r>
      <w:r w:rsidR="002D6670" w:rsidRPr="001D186C">
        <w:rPr>
          <w:rFonts w:ascii="Times New Roman" w:eastAsia="Times New Roman" w:hAnsi="Times New Roman" w:cs="Times New Roman"/>
          <w:sz w:val="24"/>
          <w:szCs w:val="24"/>
        </w:rPr>
        <w:t xml:space="preserve"> estadual no volume de produção</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F56657" w:rsidRPr="001D186C" w14:paraId="2B16B43D" w14:textId="77777777" w:rsidTr="00800783">
        <w:tc>
          <w:tcPr>
            <w:tcW w:w="2831" w:type="dxa"/>
            <w:tcBorders>
              <w:top w:val="single" w:sz="4" w:space="0" w:color="auto"/>
              <w:bottom w:val="single" w:sz="4" w:space="0" w:color="auto"/>
            </w:tcBorders>
            <w:vAlign w:val="bottom"/>
          </w:tcPr>
          <w:p w14:paraId="2FBF9160" w14:textId="77777777" w:rsidR="00F56657" w:rsidRPr="001D186C" w:rsidRDefault="00F56657" w:rsidP="00800783">
            <w:pPr>
              <w:spacing w:line="360" w:lineRule="auto"/>
              <w:jc w:val="both"/>
              <w:rPr>
                <w:rFonts w:ascii="Times New Roman" w:eastAsia="Times New Roman" w:hAnsi="Times New Roman" w:cs="Times New Roman"/>
                <w:szCs w:val="24"/>
              </w:rPr>
            </w:pPr>
            <w:r w:rsidRPr="001D186C">
              <w:rPr>
                <w:rFonts w:ascii="Times New Roman" w:eastAsia="Times New Roman" w:hAnsi="Times New Roman" w:cs="Times New Roman"/>
                <w:b/>
                <w:bCs/>
                <w:sz w:val="24"/>
                <w:szCs w:val="24"/>
              </w:rPr>
              <w:t>UF</w:t>
            </w:r>
          </w:p>
        </w:tc>
        <w:tc>
          <w:tcPr>
            <w:tcW w:w="2831" w:type="dxa"/>
            <w:tcBorders>
              <w:top w:val="single" w:sz="4" w:space="0" w:color="auto"/>
              <w:bottom w:val="single" w:sz="4" w:space="0" w:color="auto"/>
            </w:tcBorders>
            <w:vAlign w:val="bottom"/>
          </w:tcPr>
          <w:p w14:paraId="6338DC3A" w14:textId="77777777" w:rsidR="00F56657" w:rsidRPr="001D186C" w:rsidRDefault="00F56657" w:rsidP="00800783">
            <w:pPr>
              <w:spacing w:line="360" w:lineRule="auto"/>
              <w:jc w:val="both"/>
              <w:rPr>
                <w:rFonts w:ascii="Times New Roman" w:eastAsia="Times New Roman" w:hAnsi="Times New Roman" w:cs="Times New Roman"/>
                <w:szCs w:val="24"/>
              </w:rPr>
            </w:pPr>
            <w:r w:rsidRPr="001D186C">
              <w:rPr>
                <w:rFonts w:ascii="Times New Roman" w:eastAsia="Times New Roman" w:hAnsi="Times New Roman" w:cs="Times New Roman"/>
                <w:b/>
                <w:bCs/>
                <w:sz w:val="24"/>
                <w:szCs w:val="24"/>
              </w:rPr>
              <w:t xml:space="preserve"> Total- Subgrupo Frutos </w:t>
            </w:r>
          </w:p>
        </w:tc>
        <w:tc>
          <w:tcPr>
            <w:tcW w:w="2832" w:type="dxa"/>
            <w:tcBorders>
              <w:top w:val="single" w:sz="4" w:space="0" w:color="auto"/>
              <w:bottom w:val="single" w:sz="4" w:space="0" w:color="auto"/>
            </w:tcBorders>
            <w:vAlign w:val="bottom"/>
          </w:tcPr>
          <w:p w14:paraId="17657A6F" w14:textId="5FFB6E51" w:rsidR="00F56657" w:rsidRPr="001D186C" w:rsidRDefault="00F56657" w:rsidP="00F56657">
            <w:pPr>
              <w:spacing w:line="360" w:lineRule="auto"/>
              <w:jc w:val="right"/>
              <w:rPr>
                <w:rFonts w:ascii="Times New Roman" w:eastAsia="Times New Roman" w:hAnsi="Times New Roman" w:cs="Times New Roman"/>
                <w:szCs w:val="24"/>
              </w:rPr>
            </w:pPr>
            <w:r w:rsidRPr="001D186C">
              <w:rPr>
                <w:rFonts w:ascii="Times New Roman" w:eastAsia="Times New Roman" w:hAnsi="Times New Roman" w:cs="Times New Roman"/>
                <w:b/>
                <w:bCs/>
                <w:sz w:val="24"/>
                <w:szCs w:val="24"/>
              </w:rPr>
              <w:t xml:space="preserve">  Tomate </w:t>
            </w:r>
          </w:p>
        </w:tc>
      </w:tr>
      <w:tr w:rsidR="00F56657" w:rsidRPr="001D186C" w14:paraId="4FC26F50" w14:textId="77777777" w:rsidTr="00800783">
        <w:tc>
          <w:tcPr>
            <w:tcW w:w="2831" w:type="dxa"/>
            <w:tcBorders>
              <w:top w:val="single" w:sz="4" w:space="0" w:color="auto"/>
              <w:bottom w:val="single" w:sz="4" w:space="0" w:color="auto"/>
            </w:tcBorders>
            <w:vAlign w:val="bottom"/>
          </w:tcPr>
          <w:p w14:paraId="210D5FAE" w14:textId="77777777"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b/>
                <w:bCs/>
                <w:sz w:val="24"/>
                <w:szCs w:val="24"/>
              </w:rPr>
              <w:t>Brasil</w:t>
            </w:r>
          </w:p>
        </w:tc>
        <w:tc>
          <w:tcPr>
            <w:tcW w:w="2831" w:type="dxa"/>
            <w:tcBorders>
              <w:top w:val="single" w:sz="4" w:space="0" w:color="auto"/>
              <w:bottom w:val="single" w:sz="4" w:space="0" w:color="auto"/>
            </w:tcBorders>
            <w:vAlign w:val="bottom"/>
          </w:tcPr>
          <w:p w14:paraId="191C4FAF" w14:textId="7570A030" w:rsidR="00F56657" w:rsidRPr="001D186C" w:rsidRDefault="00F56657" w:rsidP="002D6670">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b/>
                <w:sz w:val="24"/>
                <w:szCs w:val="24"/>
              </w:rPr>
              <w:t>3</w:t>
            </w:r>
            <w:r w:rsidR="002D6670" w:rsidRPr="001D186C">
              <w:rPr>
                <w:rFonts w:ascii="Times New Roman" w:eastAsia="Times New Roman" w:hAnsi="Times New Roman" w:cs="Times New Roman"/>
                <w:b/>
                <w:sz w:val="24"/>
                <w:szCs w:val="24"/>
              </w:rPr>
              <w:t>.</w:t>
            </w:r>
            <w:r w:rsidRPr="001D186C">
              <w:rPr>
                <w:rFonts w:ascii="Times New Roman" w:eastAsia="Times New Roman" w:hAnsi="Times New Roman" w:cs="Times New Roman"/>
                <w:b/>
                <w:sz w:val="24"/>
                <w:szCs w:val="24"/>
              </w:rPr>
              <w:t>563,56 t</w:t>
            </w:r>
          </w:p>
        </w:tc>
        <w:tc>
          <w:tcPr>
            <w:tcW w:w="2832" w:type="dxa"/>
            <w:tcBorders>
              <w:top w:val="single" w:sz="4" w:space="0" w:color="auto"/>
              <w:bottom w:val="single" w:sz="4" w:space="0" w:color="auto"/>
            </w:tcBorders>
            <w:vAlign w:val="bottom"/>
          </w:tcPr>
          <w:p w14:paraId="6E29AC43" w14:textId="7CBE5874" w:rsidR="00F56657" w:rsidRPr="001D186C" w:rsidRDefault="00F56657" w:rsidP="002D6670">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b/>
                <w:sz w:val="24"/>
                <w:szCs w:val="24"/>
              </w:rPr>
              <w:t>2</w:t>
            </w:r>
            <w:r w:rsidR="002D6670" w:rsidRPr="001D186C">
              <w:rPr>
                <w:rFonts w:ascii="Times New Roman" w:eastAsia="Times New Roman" w:hAnsi="Times New Roman" w:cs="Times New Roman"/>
                <w:b/>
                <w:sz w:val="24"/>
                <w:szCs w:val="24"/>
              </w:rPr>
              <w:t>.</w:t>
            </w:r>
            <w:r w:rsidRPr="001D186C">
              <w:rPr>
                <w:rFonts w:ascii="Times New Roman" w:eastAsia="Times New Roman" w:hAnsi="Times New Roman" w:cs="Times New Roman"/>
                <w:b/>
                <w:sz w:val="24"/>
                <w:szCs w:val="24"/>
              </w:rPr>
              <w:t>235,50 t</w:t>
            </w:r>
          </w:p>
        </w:tc>
      </w:tr>
      <w:tr w:rsidR="00F56657" w:rsidRPr="001D186C" w14:paraId="1DAD96FF" w14:textId="77777777" w:rsidTr="00800783">
        <w:tc>
          <w:tcPr>
            <w:tcW w:w="2831" w:type="dxa"/>
            <w:tcBorders>
              <w:top w:val="single" w:sz="4" w:space="0" w:color="auto"/>
            </w:tcBorders>
            <w:vAlign w:val="bottom"/>
          </w:tcPr>
          <w:p w14:paraId="71353C55" w14:textId="18EE3243"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Goiás</w:t>
            </w:r>
          </w:p>
        </w:tc>
        <w:tc>
          <w:tcPr>
            <w:tcW w:w="2831" w:type="dxa"/>
            <w:tcBorders>
              <w:top w:val="single" w:sz="4" w:space="0" w:color="auto"/>
            </w:tcBorders>
            <w:shd w:val="clear" w:color="auto" w:fill="FFFFFF"/>
            <w:vAlign w:val="bottom"/>
          </w:tcPr>
          <w:p w14:paraId="225874C7" w14:textId="49EC5AFD"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21,05%</w:t>
            </w:r>
          </w:p>
        </w:tc>
        <w:tc>
          <w:tcPr>
            <w:tcW w:w="2832" w:type="dxa"/>
            <w:tcBorders>
              <w:top w:val="single" w:sz="4" w:space="0" w:color="auto"/>
            </w:tcBorders>
            <w:shd w:val="clear" w:color="auto" w:fill="FFFFFF"/>
            <w:vAlign w:val="bottom"/>
          </w:tcPr>
          <w:p w14:paraId="3684BF59" w14:textId="3144379E"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31,21%</w:t>
            </w:r>
          </w:p>
        </w:tc>
      </w:tr>
      <w:tr w:rsidR="00F56657" w:rsidRPr="001D186C" w14:paraId="1ECB1171" w14:textId="77777777" w:rsidTr="00800783">
        <w:tc>
          <w:tcPr>
            <w:tcW w:w="2831" w:type="dxa"/>
            <w:vAlign w:val="bottom"/>
          </w:tcPr>
          <w:p w14:paraId="27866A10" w14:textId="0E8BAD2E"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lastRenderedPageBreak/>
              <w:t>São Paulo</w:t>
            </w:r>
          </w:p>
        </w:tc>
        <w:tc>
          <w:tcPr>
            <w:tcW w:w="2831" w:type="dxa"/>
            <w:shd w:val="clear" w:color="auto" w:fill="FFFFFF"/>
            <w:vAlign w:val="bottom"/>
          </w:tcPr>
          <w:p w14:paraId="6A9FAED8" w14:textId="33B3C262"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18,94%</w:t>
            </w:r>
          </w:p>
        </w:tc>
        <w:tc>
          <w:tcPr>
            <w:tcW w:w="2832" w:type="dxa"/>
            <w:shd w:val="clear" w:color="auto" w:fill="FFFFFF"/>
            <w:vAlign w:val="bottom"/>
          </w:tcPr>
          <w:p w14:paraId="0B0375CE" w14:textId="749851F9"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18,11%</w:t>
            </w:r>
          </w:p>
        </w:tc>
      </w:tr>
      <w:tr w:rsidR="00F56657" w:rsidRPr="001D186C" w14:paraId="652F3AC9" w14:textId="77777777" w:rsidTr="00800783">
        <w:tc>
          <w:tcPr>
            <w:tcW w:w="2831" w:type="dxa"/>
            <w:vAlign w:val="bottom"/>
          </w:tcPr>
          <w:p w14:paraId="6F68D8F7" w14:textId="76097CE9"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Minas Gerais</w:t>
            </w:r>
          </w:p>
        </w:tc>
        <w:tc>
          <w:tcPr>
            <w:tcW w:w="2831" w:type="dxa"/>
            <w:shd w:val="clear" w:color="auto" w:fill="FFFFFF"/>
            <w:vAlign w:val="bottom"/>
          </w:tcPr>
          <w:p w14:paraId="24586F6C" w14:textId="129068BD"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16,85%</w:t>
            </w:r>
          </w:p>
        </w:tc>
        <w:tc>
          <w:tcPr>
            <w:tcW w:w="2832" w:type="dxa"/>
            <w:shd w:val="clear" w:color="auto" w:fill="FFFFFF"/>
            <w:vAlign w:val="bottom"/>
          </w:tcPr>
          <w:p w14:paraId="6FB74717" w14:textId="5EF1B956"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17,88%</w:t>
            </w:r>
          </w:p>
        </w:tc>
      </w:tr>
      <w:tr w:rsidR="00F56657" w:rsidRPr="001D186C" w14:paraId="30639946" w14:textId="77777777" w:rsidTr="00800783">
        <w:tc>
          <w:tcPr>
            <w:tcW w:w="2831" w:type="dxa"/>
            <w:vAlign w:val="bottom"/>
          </w:tcPr>
          <w:p w14:paraId="5FEF0D8E" w14:textId="4824ED9D"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Bahia</w:t>
            </w:r>
          </w:p>
        </w:tc>
        <w:tc>
          <w:tcPr>
            <w:tcW w:w="2831" w:type="dxa"/>
            <w:shd w:val="clear" w:color="auto" w:fill="FFFFFF"/>
            <w:vAlign w:val="bottom"/>
          </w:tcPr>
          <w:p w14:paraId="70E7E6EF" w14:textId="5C0ED7F5"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9,09%</w:t>
            </w:r>
          </w:p>
        </w:tc>
        <w:tc>
          <w:tcPr>
            <w:tcW w:w="2832" w:type="dxa"/>
            <w:shd w:val="clear" w:color="auto" w:fill="FFFFFF"/>
            <w:vAlign w:val="bottom"/>
          </w:tcPr>
          <w:p w14:paraId="0B9363AD" w14:textId="4E1EBE11"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8,71%</w:t>
            </w:r>
          </w:p>
        </w:tc>
      </w:tr>
      <w:tr w:rsidR="00F56657" w:rsidRPr="001D186C" w14:paraId="3BBDFDED" w14:textId="77777777" w:rsidTr="00800783">
        <w:tc>
          <w:tcPr>
            <w:tcW w:w="2831" w:type="dxa"/>
            <w:vAlign w:val="bottom"/>
          </w:tcPr>
          <w:p w14:paraId="77FBD975" w14:textId="1917F27D"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Espírito Santo</w:t>
            </w:r>
          </w:p>
        </w:tc>
        <w:tc>
          <w:tcPr>
            <w:tcW w:w="2831" w:type="dxa"/>
            <w:shd w:val="clear" w:color="auto" w:fill="FFFFFF"/>
            <w:vAlign w:val="bottom"/>
          </w:tcPr>
          <w:p w14:paraId="13D26534" w14:textId="7F601313"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6,64%</w:t>
            </w:r>
          </w:p>
        </w:tc>
        <w:tc>
          <w:tcPr>
            <w:tcW w:w="2832" w:type="dxa"/>
            <w:shd w:val="clear" w:color="auto" w:fill="FFFFFF"/>
            <w:vAlign w:val="bottom"/>
          </w:tcPr>
          <w:p w14:paraId="09812D92" w14:textId="04F312F4"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6,16%</w:t>
            </w:r>
          </w:p>
        </w:tc>
      </w:tr>
      <w:tr w:rsidR="00F56657" w:rsidRPr="001D186C" w14:paraId="4F0BA847" w14:textId="77777777" w:rsidTr="00F56657">
        <w:tc>
          <w:tcPr>
            <w:tcW w:w="2831" w:type="dxa"/>
            <w:tcBorders>
              <w:bottom w:val="nil"/>
            </w:tcBorders>
            <w:vAlign w:val="bottom"/>
          </w:tcPr>
          <w:p w14:paraId="02C3364F" w14:textId="118415B2"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Rio de Janeiro</w:t>
            </w:r>
          </w:p>
        </w:tc>
        <w:tc>
          <w:tcPr>
            <w:tcW w:w="2831" w:type="dxa"/>
            <w:tcBorders>
              <w:bottom w:val="nil"/>
            </w:tcBorders>
            <w:shd w:val="clear" w:color="auto" w:fill="FFFFFF"/>
            <w:vAlign w:val="bottom"/>
          </w:tcPr>
          <w:p w14:paraId="16071393" w14:textId="65A452F8"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5,59%</w:t>
            </w:r>
          </w:p>
        </w:tc>
        <w:tc>
          <w:tcPr>
            <w:tcW w:w="2832" w:type="dxa"/>
            <w:tcBorders>
              <w:bottom w:val="nil"/>
            </w:tcBorders>
            <w:shd w:val="clear" w:color="auto" w:fill="FFFFFF"/>
            <w:vAlign w:val="bottom"/>
          </w:tcPr>
          <w:p w14:paraId="28869B97" w14:textId="12855750"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3,89%</w:t>
            </w:r>
          </w:p>
        </w:tc>
      </w:tr>
      <w:tr w:rsidR="00F56657" w:rsidRPr="001D186C" w14:paraId="1A236099" w14:textId="77777777" w:rsidTr="00F56657">
        <w:tc>
          <w:tcPr>
            <w:tcW w:w="2831" w:type="dxa"/>
            <w:tcBorders>
              <w:top w:val="nil"/>
              <w:bottom w:val="nil"/>
            </w:tcBorders>
            <w:vAlign w:val="bottom"/>
          </w:tcPr>
          <w:p w14:paraId="0D437D05" w14:textId="43C6865B"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Paraná</w:t>
            </w:r>
          </w:p>
        </w:tc>
        <w:tc>
          <w:tcPr>
            <w:tcW w:w="2831" w:type="dxa"/>
            <w:tcBorders>
              <w:top w:val="nil"/>
              <w:bottom w:val="nil"/>
            </w:tcBorders>
            <w:shd w:val="clear" w:color="auto" w:fill="FFFFFF"/>
            <w:vAlign w:val="bottom"/>
          </w:tcPr>
          <w:p w14:paraId="711FD865" w14:textId="35CC3674"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5,01%</w:t>
            </w:r>
          </w:p>
        </w:tc>
        <w:tc>
          <w:tcPr>
            <w:tcW w:w="2832" w:type="dxa"/>
            <w:tcBorders>
              <w:top w:val="nil"/>
              <w:bottom w:val="nil"/>
            </w:tcBorders>
            <w:shd w:val="clear" w:color="auto" w:fill="FFFFFF"/>
            <w:vAlign w:val="bottom"/>
          </w:tcPr>
          <w:p w14:paraId="6DBD81A4" w14:textId="03F1AA1E"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4,33%</w:t>
            </w:r>
          </w:p>
        </w:tc>
      </w:tr>
      <w:tr w:rsidR="00F56657" w:rsidRPr="001D186C" w14:paraId="623A727A" w14:textId="77777777" w:rsidTr="00F56657">
        <w:tc>
          <w:tcPr>
            <w:tcW w:w="2831" w:type="dxa"/>
            <w:tcBorders>
              <w:top w:val="nil"/>
              <w:bottom w:val="nil"/>
            </w:tcBorders>
            <w:vAlign w:val="bottom"/>
          </w:tcPr>
          <w:p w14:paraId="5A3D9656" w14:textId="25A4587A"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Santa Catarina</w:t>
            </w:r>
          </w:p>
        </w:tc>
        <w:tc>
          <w:tcPr>
            <w:tcW w:w="2831" w:type="dxa"/>
            <w:tcBorders>
              <w:top w:val="nil"/>
              <w:bottom w:val="nil"/>
            </w:tcBorders>
            <w:shd w:val="clear" w:color="auto" w:fill="FFFFFF"/>
            <w:vAlign w:val="bottom"/>
          </w:tcPr>
          <w:p w14:paraId="07BD4965" w14:textId="3BFF110C"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4,26%</w:t>
            </w:r>
          </w:p>
        </w:tc>
        <w:tc>
          <w:tcPr>
            <w:tcW w:w="2832" w:type="dxa"/>
            <w:tcBorders>
              <w:top w:val="nil"/>
              <w:bottom w:val="nil"/>
            </w:tcBorders>
            <w:shd w:val="clear" w:color="auto" w:fill="FFFFFF"/>
            <w:vAlign w:val="bottom"/>
          </w:tcPr>
          <w:p w14:paraId="03B56D9A" w14:textId="55E1A5BD"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3,69%</w:t>
            </w:r>
          </w:p>
        </w:tc>
      </w:tr>
      <w:tr w:rsidR="00F56657" w:rsidRPr="001D186C" w14:paraId="6FB8FA9D" w14:textId="77777777" w:rsidTr="00F56657">
        <w:tc>
          <w:tcPr>
            <w:tcW w:w="2831" w:type="dxa"/>
            <w:tcBorders>
              <w:top w:val="nil"/>
              <w:bottom w:val="nil"/>
            </w:tcBorders>
            <w:vAlign w:val="bottom"/>
          </w:tcPr>
          <w:p w14:paraId="7746A1BC" w14:textId="1C0E2F7F"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Rio Grande do Sul</w:t>
            </w:r>
          </w:p>
        </w:tc>
        <w:tc>
          <w:tcPr>
            <w:tcW w:w="2831" w:type="dxa"/>
            <w:tcBorders>
              <w:top w:val="nil"/>
              <w:bottom w:val="nil"/>
            </w:tcBorders>
            <w:shd w:val="clear" w:color="auto" w:fill="FFFFFF"/>
            <w:vAlign w:val="bottom"/>
          </w:tcPr>
          <w:p w14:paraId="6BB7AD51" w14:textId="358BA0D2"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3,10%</w:t>
            </w:r>
          </w:p>
        </w:tc>
        <w:tc>
          <w:tcPr>
            <w:tcW w:w="2832" w:type="dxa"/>
            <w:tcBorders>
              <w:top w:val="nil"/>
              <w:bottom w:val="nil"/>
            </w:tcBorders>
            <w:shd w:val="clear" w:color="auto" w:fill="FFFFFF"/>
            <w:vAlign w:val="bottom"/>
          </w:tcPr>
          <w:p w14:paraId="0080FEBB" w14:textId="35480CCB"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2,20%</w:t>
            </w:r>
          </w:p>
        </w:tc>
      </w:tr>
      <w:tr w:rsidR="00F56657" w:rsidRPr="001D186C" w14:paraId="6CE5EDF7" w14:textId="77777777" w:rsidTr="00F56657">
        <w:tc>
          <w:tcPr>
            <w:tcW w:w="2831" w:type="dxa"/>
            <w:tcBorders>
              <w:top w:val="nil"/>
              <w:bottom w:val="single" w:sz="4" w:space="0" w:color="auto"/>
            </w:tcBorders>
            <w:vAlign w:val="bottom"/>
          </w:tcPr>
          <w:p w14:paraId="26733919" w14:textId="3E1D795E"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Pernambuco</w:t>
            </w:r>
          </w:p>
        </w:tc>
        <w:tc>
          <w:tcPr>
            <w:tcW w:w="2831" w:type="dxa"/>
            <w:tcBorders>
              <w:top w:val="nil"/>
              <w:bottom w:val="single" w:sz="4" w:space="0" w:color="auto"/>
            </w:tcBorders>
            <w:shd w:val="clear" w:color="auto" w:fill="FFFFFF"/>
            <w:vAlign w:val="bottom"/>
          </w:tcPr>
          <w:p w14:paraId="2D622DDA" w14:textId="0E126DEC"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2,26%</w:t>
            </w:r>
          </w:p>
        </w:tc>
        <w:tc>
          <w:tcPr>
            <w:tcW w:w="2832" w:type="dxa"/>
            <w:tcBorders>
              <w:top w:val="nil"/>
              <w:bottom w:val="single" w:sz="4" w:space="0" w:color="auto"/>
            </w:tcBorders>
            <w:shd w:val="clear" w:color="auto" w:fill="FFFFFF"/>
            <w:vAlign w:val="bottom"/>
          </w:tcPr>
          <w:p w14:paraId="2A85DFC2" w14:textId="6081096C"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0,99%</w:t>
            </w:r>
          </w:p>
        </w:tc>
      </w:tr>
    </w:tbl>
    <w:p w14:paraId="7897BC31" w14:textId="17E7FDEF" w:rsidR="00831B83" w:rsidRPr="001D186C" w:rsidRDefault="00F56657" w:rsidP="00A37369">
      <w:r w:rsidRPr="001D186C">
        <w:rPr>
          <w:rFonts w:ascii="Times New Roman" w:eastAsia="Times New Roman" w:hAnsi="Times New Roman" w:cs="Times New Roman"/>
          <w:sz w:val="24"/>
          <w:szCs w:val="24"/>
        </w:rPr>
        <w:t>Fonte: IBGE, Censo Agropecuário 2017</w:t>
      </w:r>
    </w:p>
    <w:p w14:paraId="701B940A" w14:textId="77777777" w:rsidR="00831B83" w:rsidRPr="001D186C" w:rsidRDefault="00831B83" w:rsidP="00A37369">
      <w:pPr>
        <w:rPr>
          <w:b/>
          <w:color w:val="7030A0"/>
        </w:rPr>
      </w:pPr>
    </w:p>
    <w:p w14:paraId="24FC8B4A" w14:textId="31757A1A" w:rsidR="00F56657" w:rsidRPr="001D186C" w:rsidRDefault="00F56657" w:rsidP="00F56657">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O estado de Santa Catarina possui dois municípios que se destacam na produção de tomate, conforme pode ser observado na Tabela 8. O primeiro é o município de Lebon Régis, localizado no Planalto Serrano, que lidera a produção estadual em volume e valor de produção. Com condições climáticas e de solo favoráveis, o município se consolida como o maior produtor de tomate do estado, reforçando a importância da agricultura para a economia local (CENSO, 2017).</w:t>
      </w:r>
    </w:p>
    <w:p w14:paraId="4CA32120" w14:textId="02DA0A2C" w:rsidR="00F56657" w:rsidRPr="001D186C" w:rsidRDefault="00F56657" w:rsidP="0006219B">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O segundo é o município de Urubici, que, embora apresente uma produção mais modesta em comparação a Lebon Régis, também contribui para a produção de tomate no estado. A grande diferença entre os volumes produzidos pelos dois municípios sugere que há espaço para o crescimento e a melhoria da produção em outras áreas do estado.</w:t>
      </w:r>
    </w:p>
    <w:p w14:paraId="6FAAE4C7" w14:textId="427343B6" w:rsidR="00F56657" w:rsidRPr="001D186C" w:rsidRDefault="00F56657" w:rsidP="00F56657">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br/>
        <w:t xml:space="preserve">Tabela </w:t>
      </w:r>
      <w:r w:rsidR="00814B22" w:rsidRPr="001D186C">
        <w:rPr>
          <w:rFonts w:ascii="Times New Roman" w:eastAsia="Times New Roman" w:hAnsi="Times New Roman" w:cs="Times New Roman"/>
          <w:sz w:val="24"/>
          <w:szCs w:val="24"/>
        </w:rPr>
        <w:t>8</w:t>
      </w:r>
      <w:r w:rsidRPr="001D186C">
        <w:rPr>
          <w:rFonts w:ascii="Times New Roman" w:eastAsia="Times New Roman" w:hAnsi="Times New Roman" w:cs="Times New Roman"/>
          <w:sz w:val="24"/>
          <w:szCs w:val="24"/>
        </w:rPr>
        <w:t xml:space="preserve">:  Tomate de Santa Catarina - Quantidade produzida e Valor da Produção </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F56657" w:rsidRPr="001D186C" w14:paraId="4E062431" w14:textId="77777777" w:rsidTr="00F56657">
        <w:tc>
          <w:tcPr>
            <w:tcW w:w="2831" w:type="dxa"/>
            <w:tcBorders>
              <w:top w:val="single" w:sz="4" w:space="0" w:color="auto"/>
              <w:bottom w:val="single" w:sz="4" w:space="0" w:color="auto"/>
            </w:tcBorders>
            <w:vAlign w:val="bottom"/>
          </w:tcPr>
          <w:p w14:paraId="0A179F3B" w14:textId="18954CF0" w:rsidR="00F56657" w:rsidRPr="001D186C" w:rsidRDefault="00F56657" w:rsidP="00800783">
            <w:pPr>
              <w:spacing w:line="360" w:lineRule="auto"/>
              <w:jc w:val="both"/>
              <w:rPr>
                <w:rFonts w:ascii="Times New Roman" w:eastAsia="Times New Roman" w:hAnsi="Times New Roman" w:cs="Times New Roman"/>
                <w:szCs w:val="24"/>
              </w:rPr>
            </w:pPr>
            <w:r w:rsidRPr="001D186C">
              <w:rPr>
                <w:rFonts w:ascii="Times New Roman" w:eastAsia="Times New Roman" w:hAnsi="Times New Roman" w:cs="Times New Roman"/>
                <w:b/>
                <w:bCs/>
                <w:szCs w:val="24"/>
              </w:rPr>
              <w:t>Tomate </w:t>
            </w:r>
          </w:p>
        </w:tc>
        <w:tc>
          <w:tcPr>
            <w:tcW w:w="2831" w:type="dxa"/>
            <w:tcBorders>
              <w:top w:val="single" w:sz="4" w:space="0" w:color="auto"/>
              <w:bottom w:val="single" w:sz="4" w:space="0" w:color="auto"/>
            </w:tcBorders>
            <w:vAlign w:val="bottom"/>
          </w:tcPr>
          <w:p w14:paraId="47445481" w14:textId="77777777" w:rsidR="00F56657" w:rsidRPr="001D186C" w:rsidRDefault="00F56657" w:rsidP="00800783">
            <w:pPr>
              <w:spacing w:line="360" w:lineRule="auto"/>
              <w:jc w:val="both"/>
              <w:rPr>
                <w:rFonts w:ascii="Times New Roman" w:eastAsia="Times New Roman" w:hAnsi="Times New Roman" w:cs="Times New Roman"/>
                <w:szCs w:val="24"/>
              </w:rPr>
            </w:pPr>
            <w:r w:rsidRPr="001D186C">
              <w:rPr>
                <w:rFonts w:ascii="Times New Roman" w:eastAsia="Times New Roman" w:hAnsi="Times New Roman" w:cs="Times New Roman"/>
                <w:b/>
                <w:bCs/>
                <w:szCs w:val="24"/>
              </w:rPr>
              <w:t>Quant. Produzida (t)</w:t>
            </w:r>
          </w:p>
        </w:tc>
        <w:tc>
          <w:tcPr>
            <w:tcW w:w="2832" w:type="dxa"/>
            <w:tcBorders>
              <w:top w:val="single" w:sz="4" w:space="0" w:color="auto"/>
              <w:bottom w:val="single" w:sz="4" w:space="0" w:color="auto"/>
            </w:tcBorders>
            <w:vAlign w:val="bottom"/>
          </w:tcPr>
          <w:p w14:paraId="236AA9F0" w14:textId="77777777" w:rsidR="00F56657" w:rsidRPr="001D186C" w:rsidRDefault="00F56657" w:rsidP="00800783">
            <w:pPr>
              <w:spacing w:line="360" w:lineRule="auto"/>
              <w:jc w:val="right"/>
              <w:rPr>
                <w:rFonts w:ascii="Times New Roman" w:eastAsia="Times New Roman" w:hAnsi="Times New Roman" w:cs="Times New Roman"/>
                <w:szCs w:val="24"/>
              </w:rPr>
            </w:pPr>
            <w:r w:rsidRPr="001D186C">
              <w:rPr>
                <w:rFonts w:ascii="Times New Roman" w:eastAsia="Times New Roman" w:hAnsi="Times New Roman" w:cs="Times New Roman"/>
                <w:b/>
                <w:bCs/>
                <w:szCs w:val="24"/>
              </w:rPr>
              <w:t>Valor da produção (mil R$)</w:t>
            </w:r>
          </w:p>
        </w:tc>
      </w:tr>
      <w:tr w:rsidR="00F56657" w:rsidRPr="001D186C" w14:paraId="15FB0198" w14:textId="77777777" w:rsidTr="00F56657">
        <w:tc>
          <w:tcPr>
            <w:tcW w:w="2831" w:type="dxa"/>
            <w:tcBorders>
              <w:top w:val="single" w:sz="4" w:space="0" w:color="auto"/>
              <w:bottom w:val="nil"/>
            </w:tcBorders>
            <w:shd w:val="clear" w:color="auto" w:fill="auto"/>
            <w:vAlign w:val="bottom"/>
          </w:tcPr>
          <w:p w14:paraId="5CA75AFE" w14:textId="770194F9"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 Lebon Régis</w:t>
            </w:r>
          </w:p>
        </w:tc>
        <w:tc>
          <w:tcPr>
            <w:tcW w:w="2831" w:type="dxa"/>
            <w:tcBorders>
              <w:top w:val="single" w:sz="4" w:space="0" w:color="auto"/>
              <w:bottom w:val="nil"/>
            </w:tcBorders>
            <w:shd w:val="clear" w:color="auto" w:fill="auto"/>
            <w:vAlign w:val="bottom"/>
          </w:tcPr>
          <w:p w14:paraId="1B5AB165" w14:textId="7A10BD36"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11.439</w:t>
            </w:r>
          </w:p>
        </w:tc>
        <w:tc>
          <w:tcPr>
            <w:tcW w:w="2832" w:type="dxa"/>
            <w:tcBorders>
              <w:top w:val="single" w:sz="4" w:space="0" w:color="auto"/>
              <w:bottom w:val="nil"/>
            </w:tcBorders>
            <w:shd w:val="clear" w:color="auto" w:fill="auto"/>
            <w:vAlign w:val="bottom"/>
          </w:tcPr>
          <w:p w14:paraId="0154317C" w14:textId="4A431AB8"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R$ 8.560,62</w:t>
            </w:r>
          </w:p>
        </w:tc>
      </w:tr>
      <w:tr w:rsidR="00F56657" w:rsidRPr="001D186C" w14:paraId="57D3F118" w14:textId="77777777" w:rsidTr="00F56657">
        <w:tc>
          <w:tcPr>
            <w:tcW w:w="2831" w:type="dxa"/>
            <w:tcBorders>
              <w:top w:val="nil"/>
              <w:bottom w:val="nil"/>
            </w:tcBorders>
            <w:shd w:val="clear" w:color="auto" w:fill="auto"/>
            <w:vAlign w:val="bottom"/>
          </w:tcPr>
          <w:p w14:paraId="5978E9C1" w14:textId="3B070B7C"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 Urubici</w:t>
            </w:r>
          </w:p>
        </w:tc>
        <w:tc>
          <w:tcPr>
            <w:tcW w:w="2831" w:type="dxa"/>
            <w:tcBorders>
              <w:top w:val="nil"/>
              <w:bottom w:val="nil"/>
            </w:tcBorders>
            <w:shd w:val="clear" w:color="auto" w:fill="auto"/>
            <w:vAlign w:val="bottom"/>
          </w:tcPr>
          <w:p w14:paraId="0EAC65AC" w14:textId="5E66C839"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251</w:t>
            </w:r>
          </w:p>
        </w:tc>
        <w:tc>
          <w:tcPr>
            <w:tcW w:w="2832" w:type="dxa"/>
            <w:tcBorders>
              <w:top w:val="nil"/>
              <w:bottom w:val="nil"/>
            </w:tcBorders>
            <w:shd w:val="clear" w:color="auto" w:fill="auto"/>
            <w:vAlign w:val="bottom"/>
          </w:tcPr>
          <w:p w14:paraId="06C53D79" w14:textId="5BDCF1B2"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R$ 140,58</w:t>
            </w:r>
          </w:p>
        </w:tc>
      </w:tr>
      <w:tr w:rsidR="00F56657" w:rsidRPr="001D186C" w14:paraId="7152D081" w14:textId="77777777" w:rsidTr="00F56657">
        <w:tc>
          <w:tcPr>
            <w:tcW w:w="2831" w:type="dxa"/>
            <w:tcBorders>
              <w:top w:val="nil"/>
              <w:bottom w:val="nil"/>
            </w:tcBorders>
            <w:shd w:val="clear" w:color="auto" w:fill="FFFFFF"/>
            <w:vAlign w:val="bottom"/>
          </w:tcPr>
          <w:p w14:paraId="78D51103" w14:textId="664FB04E"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 Caçador</w:t>
            </w:r>
          </w:p>
        </w:tc>
        <w:tc>
          <w:tcPr>
            <w:tcW w:w="2831" w:type="dxa"/>
            <w:tcBorders>
              <w:top w:val="nil"/>
              <w:bottom w:val="nil"/>
            </w:tcBorders>
            <w:vAlign w:val="bottom"/>
          </w:tcPr>
          <w:p w14:paraId="20FAA47E" w14:textId="151132F3"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194</w:t>
            </w:r>
          </w:p>
        </w:tc>
        <w:tc>
          <w:tcPr>
            <w:tcW w:w="2832" w:type="dxa"/>
            <w:tcBorders>
              <w:top w:val="nil"/>
              <w:bottom w:val="nil"/>
            </w:tcBorders>
            <w:vAlign w:val="bottom"/>
          </w:tcPr>
          <w:p w14:paraId="4A8527C0" w14:textId="5012D049"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R$ 145,00</w:t>
            </w:r>
          </w:p>
        </w:tc>
      </w:tr>
      <w:tr w:rsidR="00F56657" w:rsidRPr="001D186C" w14:paraId="34B75504" w14:textId="77777777" w:rsidTr="00F56657">
        <w:tc>
          <w:tcPr>
            <w:tcW w:w="2831" w:type="dxa"/>
            <w:tcBorders>
              <w:top w:val="nil"/>
              <w:bottom w:val="nil"/>
            </w:tcBorders>
            <w:shd w:val="clear" w:color="auto" w:fill="FFFFFF"/>
            <w:vAlign w:val="bottom"/>
          </w:tcPr>
          <w:p w14:paraId="1115EA50" w14:textId="6E523E9B"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 Matos Costa</w:t>
            </w:r>
          </w:p>
        </w:tc>
        <w:tc>
          <w:tcPr>
            <w:tcW w:w="2831" w:type="dxa"/>
            <w:tcBorders>
              <w:top w:val="nil"/>
              <w:bottom w:val="nil"/>
            </w:tcBorders>
            <w:vAlign w:val="bottom"/>
          </w:tcPr>
          <w:p w14:paraId="10CAC5DF" w14:textId="7004B5EC"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155</w:t>
            </w:r>
          </w:p>
        </w:tc>
        <w:tc>
          <w:tcPr>
            <w:tcW w:w="2832" w:type="dxa"/>
            <w:tcBorders>
              <w:top w:val="nil"/>
              <w:bottom w:val="nil"/>
            </w:tcBorders>
            <w:vAlign w:val="bottom"/>
          </w:tcPr>
          <w:p w14:paraId="4E15C870" w14:textId="1DF87C25"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R$ 141,88</w:t>
            </w:r>
          </w:p>
        </w:tc>
      </w:tr>
      <w:tr w:rsidR="00F56657" w:rsidRPr="001D186C" w14:paraId="454D1F71" w14:textId="77777777" w:rsidTr="00F56657">
        <w:tc>
          <w:tcPr>
            <w:tcW w:w="2831" w:type="dxa"/>
            <w:tcBorders>
              <w:top w:val="nil"/>
              <w:bottom w:val="nil"/>
            </w:tcBorders>
            <w:shd w:val="clear" w:color="auto" w:fill="FFFFFF"/>
            <w:vAlign w:val="bottom"/>
          </w:tcPr>
          <w:p w14:paraId="78455C9B" w14:textId="2A83B32D"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 Tubarão</w:t>
            </w:r>
          </w:p>
        </w:tc>
        <w:tc>
          <w:tcPr>
            <w:tcW w:w="2831" w:type="dxa"/>
            <w:tcBorders>
              <w:top w:val="nil"/>
              <w:bottom w:val="nil"/>
            </w:tcBorders>
            <w:vAlign w:val="bottom"/>
          </w:tcPr>
          <w:p w14:paraId="17FEA491" w14:textId="00E9A1CA"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96</w:t>
            </w:r>
          </w:p>
        </w:tc>
        <w:tc>
          <w:tcPr>
            <w:tcW w:w="2832" w:type="dxa"/>
            <w:tcBorders>
              <w:top w:val="nil"/>
              <w:bottom w:val="nil"/>
            </w:tcBorders>
            <w:vAlign w:val="bottom"/>
          </w:tcPr>
          <w:p w14:paraId="1EFC04B4" w14:textId="2CC3CC26"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R$ 205,45</w:t>
            </w:r>
          </w:p>
        </w:tc>
      </w:tr>
      <w:tr w:rsidR="00F56657" w:rsidRPr="001D186C" w14:paraId="195579EF" w14:textId="77777777" w:rsidTr="00F56657">
        <w:tc>
          <w:tcPr>
            <w:tcW w:w="2831" w:type="dxa"/>
            <w:tcBorders>
              <w:top w:val="nil"/>
              <w:bottom w:val="nil"/>
            </w:tcBorders>
            <w:shd w:val="clear" w:color="auto" w:fill="FFFFFF"/>
            <w:vAlign w:val="bottom"/>
          </w:tcPr>
          <w:p w14:paraId="3ABC18C7" w14:textId="166CE29D"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 São José do </w:t>
            </w:r>
            <w:proofErr w:type="spellStart"/>
            <w:r w:rsidRPr="001D186C">
              <w:rPr>
                <w:rFonts w:ascii="Times New Roman" w:eastAsia="Times New Roman" w:hAnsi="Times New Roman" w:cs="Times New Roman"/>
                <w:sz w:val="24"/>
                <w:szCs w:val="24"/>
              </w:rPr>
              <w:t>Cerrito</w:t>
            </w:r>
            <w:proofErr w:type="spellEnd"/>
          </w:p>
        </w:tc>
        <w:tc>
          <w:tcPr>
            <w:tcW w:w="2831" w:type="dxa"/>
            <w:tcBorders>
              <w:top w:val="nil"/>
              <w:bottom w:val="nil"/>
            </w:tcBorders>
            <w:vAlign w:val="bottom"/>
          </w:tcPr>
          <w:p w14:paraId="5D0F6541" w14:textId="788705DB"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41</w:t>
            </w:r>
          </w:p>
        </w:tc>
        <w:tc>
          <w:tcPr>
            <w:tcW w:w="2832" w:type="dxa"/>
            <w:tcBorders>
              <w:top w:val="nil"/>
              <w:bottom w:val="nil"/>
            </w:tcBorders>
            <w:vAlign w:val="bottom"/>
          </w:tcPr>
          <w:p w14:paraId="32AC5C16" w14:textId="5343E7B1"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R$ 21,04</w:t>
            </w:r>
          </w:p>
        </w:tc>
      </w:tr>
      <w:tr w:rsidR="00F56657" w:rsidRPr="001D186C" w14:paraId="179671B4" w14:textId="77777777" w:rsidTr="00F56657">
        <w:tc>
          <w:tcPr>
            <w:tcW w:w="2831" w:type="dxa"/>
            <w:tcBorders>
              <w:top w:val="nil"/>
              <w:bottom w:val="nil"/>
            </w:tcBorders>
            <w:shd w:val="clear" w:color="auto" w:fill="FFFFFF"/>
            <w:vAlign w:val="bottom"/>
          </w:tcPr>
          <w:p w14:paraId="7F33734D" w14:textId="2A0B864E"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 Campos Novos</w:t>
            </w:r>
          </w:p>
        </w:tc>
        <w:tc>
          <w:tcPr>
            <w:tcW w:w="2831" w:type="dxa"/>
            <w:tcBorders>
              <w:top w:val="nil"/>
              <w:bottom w:val="nil"/>
            </w:tcBorders>
            <w:vAlign w:val="bottom"/>
          </w:tcPr>
          <w:p w14:paraId="73DB5AFD" w14:textId="14F87918"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33</w:t>
            </w:r>
          </w:p>
        </w:tc>
        <w:tc>
          <w:tcPr>
            <w:tcW w:w="2832" w:type="dxa"/>
            <w:tcBorders>
              <w:top w:val="nil"/>
              <w:bottom w:val="nil"/>
            </w:tcBorders>
            <w:vAlign w:val="bottom"/>
          </w:tcPr>
          <w:p w14:paraId="413E8C3A" w14:textId="0BAB21B8"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R$ 93,30</w:t>
            </w:r>
          </w:p>
        </w:tc>
      </w:tr>
      <w:tr w:rsidR="00F56657" w:rsidRPr="001D186C" w14:paraId="499F4285" w14:textId="77777777" w:rsidTr="00F56657">
        <w:tc>
          <w:tcPr>
            <w:tcW w:w="2831" w:type="dxa"/>
            <w:tcBorders>
              <w:top w:val="nil"/>
              <w:bottom w:val="nil"/>
            </w:tcBorders>
            <w:shd w:val="clear" w:color="auto" w:fill="FFFFFF"/>
            <w:vAlign w:val="bottom"/>
          </w:tcPr>
          <w:p w14:paraId="0194B7B3" w14:textId="11688305"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 Concórdia</w:t>
            </w:r>
          </w:p>
        </w:tc>
        <w:tc>
          <w:tcPr>
            <w:tcW w:w="2831" w:type="dxa"/>
            <w:tcBorders>
              <w:top w:val="nil"/>
              <w:bottom w:val="nil"/>
            </w:tcBorders>
            <w:vAlign w:val="bottom"/>
          </w:tcPr>
          <w:p w14:paraId="4157EF12" w14:textId="7D51823F"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23</w:t>
            </w:r>
          </w:p>
        </w:tc>
        <w:tc>
          <w:tcPr>
            <w:tcW w:w="2832" w:type="dxa"/>
            <w:tcBorders>
              <w:top w:val="nil"/>
              <w:bottom w:val="nil"/>
            </w:tcBorders>
            <w:vAlign w:val="bottom"/>
          </w:tcPr>
          <w:p w14:paraId="657B6359" w14:textId="536A0BF8"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R$ 76,47</w:t>
            </w:r>
          </w:p>
        </w:tc>
      </w:tr>
      <w:tr w:rsidR="00F56657" w:rsidRPr="001D186C" w14:paraId="52DECF1E" w14:textId="77777777" w:rsidTr="00F56657">
        <w:tc>
          <w:tcPr>
            <w:tcW w:w="2831" w:type="dxa"/>
            <w:tcBorders>
              <w:top w:val="nil"/>
            </w:tcBorders>
            <w:shd w:val="clear" w:color="auto" w:fill="FFFFFF"/>
            <w:vAlign w:val="bottom"/>
          </w:tcPr>
          <w:p w14:paraId="7DC7C573" w14:textId="66D8F4DD"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 Coronel Freitas</w:t>
            </w:r>
          </w:p>
        </w:tc>
        <w:tc>
          <w:tcPr>
            <w:tcW w:w="2831" w:type="dxa"/>
            <w:tcBorders>
              <w:top w:val="nil"/>
            </w:tcBorders>
            <w:vAlign w:val="bottom"/>
          </w:tcPr>
          <w:p w14:paraId="73EEC483" w14:textId="49CD7E3B"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12</w:t>
            </w:r>
          </w:p>
        </w:tc>
        <w:tc>
          <w:tcPr>
            <w:tcW w:w="2832" w:type="dxa"/>
            <w:tcBorders>
              <w:top w:val="nil"/>
            </w:tcBorders>
            <w:vAlign w:val="bottom"/>
          </w:tcPr>
          <w:p w14:paraId="29F5B99F" w14:textId="55DB9BBF"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R$ 26,04</w:t>
            </w:r>
          </w:p>
        </w:tc>
      </w:tr>
      <w:tr w:rsidR="00F56657" w:rsidRPr="001D186C" w14:paraId="4A5C887C" w14:textId="77777777" w:rsidTr="00800783">
        <w:tc>
          <w:tcPr>
            <w:tcW w:w="2831" w:type="dxa"/>
            <w:tcBorders>
              <w:bottom w:val="single" w:sz="4" w:space="0" w:color="auto"/>
            </w:tcBorders>
            <w:shd w:val="clear" w:color="auto" w:fill="FFFFFF"/>
            <w:vAlign w:val="bottom"/>
          </w:tcPr>
          <w:p w14:paraId="48BCA13E" w14:textId="42BA3672" w:rsidR="00F56657" w:rsidRPr="001D186C" w:rsidRDefault="00F56657" w:rsidP="00F56657">
            <w:pPr>
              <w:spacing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lastRenderedPageBreak/>
              <w:t xml:space="preserve"> </w:t>
            </w:r>
            <w:r w:rsidRPr="001D186C">
              <w:rPr>
                <w:rFonts w:ascii="Times New Roman" w:eastAsia="Times New Roman" w:hAnsi="Times New Roman" w:cs="Times New Roman"/>
                <w:szCs w:val="24"/>
              </w:rPr>
              <w:t xml:space="preserve">Sta. Terezinha </w:t>
            </w:r>
            <w:proofErr w:type="gramStart"/>
            <w:r w:rsidRPr="001D186C">
              <w:rPr>
                <w:rFonts w:ascii="Times New Roman" w:eastAsia="Times New Roman" w:hAnsi="Times New Roman" w:cs="Times New Roman"/>
                <w:szCs w:val="24"/>
              </w:rPr>
              <w:t>do  Progresso</w:t>
            </w:r>
            <w:proofErr w:type="gramEnd"/>
          </w:p>
        </w:tc>
        <w:tc>
          <w:tcPr>
            <w:tcW w:w="2831" w:type="dxa"/>
            <w:tcBorders>
              <w:bottom w:val="single" w:sz="4" w:space="0" w:color="auto"/>
            </w:tcBorders>
            <w:vAlign w:val="bottom"/>
          </w:tcPr>
          <w:p w14:paraId="07829E38" w14:textId="2B491BA1"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8</w:t>
            </w:r>
          </w:p>
        </w:tc>
        <w:tc>
          <w:tcPr>
            <w:tcW w:w="2832" w:type="dxa"/>
            <w:tcBorders>
              <w:bottom w:val="single" w:sz="4" w:space="0" w:color="auto"/>
            </w:tcBorders>
            <w:vAlign w:val="bottom"/>
          </w:tcPr>
          <w:p w14:paraId="38FC83E4" w14:textId="0C2AD906" w:rsidR="00F56657" w:rsidRPr="001D186C" w:rsidRDefault="00F56657" w:rsidP="00F56657">
            <w:pPr>
              <w:spacing w:line="360" w:lineRule="auto"/>
              <w:jc w:val="right"/>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R$ 14,43</w:t>
            </w:r>
          </w:p>
        </w:tc>
      </w:tr>
    </w:tbl>
    <w:p w14:paraId="5AECE1E6" w14:textId="77777777" w:rsidR="00F56657" w:rsidRPr="001D186C" w:rsidRDefault="00F56657" w:rsidP="00F56657">
      <w:pPr>
        <w:rPr>
          <w:b/>
        </w:rPr>
      </w:pPr>
      <w:r w:rsidRPr="001D186C">
        <w:rPr>
          <w:rFonts w:ascii="Times New Roman" w:eastAsia="Times New Roman" w:hAnsi="Times New Roman" w:cs="Times New Roman"/>
          <w:b/>
          <w:sz w:val="24"/>
          <w:szCs w:val="24"/>
        </w:rPr>
        <w:t>Fonte: IBGE, Censo Agropecuário 2017.</w:t>
      </w:r>
    </w:p>
    <w:p w14:paraId="2EF96AD1" w14:textId="77777777" w:rsidR="00814B22" w:rsidRPr="001D186C" w:rsidRDefault="00814B22" w:rsidP="00F06814">
      <w:pPr>
        <w:spacing w:after="0" w:line="360" w:lineRule="auto"/>
        <w:ind w:firstLine="720"/>
        <w:jc w:val="both"/>
        <w:rPr>
          <w:rFonts w:ascii="Times New Roman" w:eastAsia="Times New Roman" w:hAnsi="Times New Roman" w:cs="Times New Roman"/>
          <w:b/>
          <w:sz w:val="24"/>
          <w:szCs w:val="24"/>
        </w:rPr>
      </w:pPr>
    </w:p>
    <w:p w14:paraId="5A3E5EAA" w14:textId="59D05F7B" w:rsidR="000C69C2" w:rsidRPr="001D186C" w:rsidRDefault="00E75D6C" w:rsidP="00F06814">
      <w:pPr>
        <w:spacing w:after="0" w:line="360" w:lineRule="auto"/>
        <w:ind w:firstLine="720"/>
        <w:jc w:val="both"/>
        <w:rPr>
          <w:rFonts w:ascii="Times New Roman" w:eastAsia="Times New Roman" w:hAnsi="Times New Roman" w:cs="Times New Roman"/>
          <w:b/>
          <w:sz w:val="24"/>
          <w:szCs w:val="24"/>
        </w:rPr>
      </w:pPr>
      <w:r w:rsidRPr="001D186C">
        <w:rPr>
          <w:rFonts w:ascii="Times New Roman" w:eastAsia="Times New Roman" w:hAnsi="Times New Roman" w:cs="Times New Roman"/>
          <w:b/>
          <w:sz w:val="24"/>
          <w:szCs w:val="24"/>
        </w:rPr>
        <w:t xml:space="preserve">3 </w:t>
      </w:r>
      <w:r w:rsidR="00A43D6A" w:rsidRPr="001D186C">
        <w:rPr>
          <w:rFonts w:ascii="Times New Roman" w:eastAsia="Times New Roman" w:hAnsi="Times New Roman" w:cs="Times New Roman"/>
          <w:b/>
          <w:sz w:val="24"/>
          <w:szCs w:val="24"/>
        </w:rPr>
        <w:t xml:space="preserve">METODOLOGIA </w:t>
      </w:r>
    </w:p>
    <w:p w14:paraId="3C6AA4E1" w14:textId="3D0EFFC7" w:rsidR="00EA2785" w:rsidRPr="001D186C" w:rsidRDefault="00EA2785" w:rsidP="00B57F8E">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A metodologia deste artigo foi desenvolvida em várias etapas, com o objetivo de analisar a comercialização de produtos agrícolas nas </w:t>
      </w:r>
      <w:proofErr w:type="spellStart"/>
      <w:r w:rsidRPr="001D186C">
        <w:rPr>
          <w:rFonts w:ascii="Times New Roman" w:eastAsia="Times New Roman" w:hAnsi="Times New Roman" w:cs="Times New Roman"/>
          <w:sz w:val="24"/>
          <w:szCs w:val="24"/>
        </w:rPr>
        <w:t>CEASAs</w:t>
      </w:r>
      <w:proofErr w:type="spellEnd"/>
      <w:r w:rsidRPr="001D186C">
        <w:rPr>
          <w:rFonts w:ascii="Times New Roman" w:eastAsia="Times New Roman" w:hAnsi="Times New Roman" w:cs="Times New Roman"/>
          <w:sz w:val="24"/>
          <w:szCs w:val="24"/>
        </w:rPr>
        <w:t xml:space="preserve">, com foco especial em </w:t>
      </w:r>
      <w:r w:rsidR="00B57F8E" w:rsidRPr="001D186C">
        <w:rPr>
          <w:rFonts w:ascii="Times New Roman" w:eastAsia="Times New Roman" w:hAnsi="Times New Roman" w:cs="Times New Roman"/>
          <w:sz w:val="24"/>
          <w:szCs w:val="24"/>
        </w:rPr>
        <w:t xml:space="preserve">produtos de origem em </w:t>
      </w:r>
      <w:r w:rsidRPr="001D186C">
        <w:rPr>
          <w:rFonts w:ascii="Times New Roman" w:eastAsia="Times New Roman" w:hAnsi="Times New Roman" w:cs="Times New Roman"/>
          <w:sz w:val="24"/>
          <w:szCs w:val="24"/>
        </w:rPr>
        <w:t>Santa Catar</w:t>
      </w:r>
      <w:r w:rsidR="00B57F8E" w:rsidRPr="001D186C">
        <w:rPr>
          <w:rFonts w:ascii="Times New Roman" w:eastAsia="Times New Roman" w:hAnsi="Times New Roman" w:cs="Times New Roman"/>
          <w:sz w:val="24"/>
          <w:szCs w:val="24"/>
        </w:rPr>
        <w:t xml:space="preserve">ina. </w:t>
      </w:r>
      <w:r w:rsidRPr="001D186C">
        <w:rPr>
          <w:rFonts w:ascii="Times New Roman" w:eastAsia="Times New Roman" w:hAnsi="Times New Roman" w:cs="Times New Roman"/>
          <w:sz w:val="24"/>
          <w:szCs w:val="24"/>
        </w:rPr>
        <w:t xml:space="preserve">Para isso, foram utilizados dados nacionais, organizados por subgrupos de frutas (FRT) e frutos (FTO), com base no Censo Agropecuário (2017). A abordagem metodológica incluiu análises descritivas, comparativas e de </w:t>
      </w:r>
      <w:r w:rsidR="00B57F8E" w:rsidRPr="001D186C">
        <w:rPr>
          <w:rFonts w:ascii="Times New Roman" w:eastAsia="Times New Roman" w:hAnsi="Times New Roman" w:cs="Times New Roman"/>
          <w:sz w:val="24"/>
          <w:szCs w:val="24"/>
        </w:rPr>
        <w:t>decomposição de séries temporais</w:t>
      </w:r>
      <w:r w:rsidRPr="001D186C">
        <w:rPr>
          <w:rFonts w:ascii="Times New Roman" w:eastAsia="Times New Roman" w:hAnsi="Times New Roman" w:cs="Times New Roman"/>
          <w:sz w:val="24"/>
          <w:szCs w:val="24"/>
        </w:rPr>
        <w:t>, além de uma avaliação específica sobre preços e demanda. Inicialmente, foram coletados dados nacionais sobre a comercialização de produtos agrícolas, com ênfase nos produtos originários de Santa Catarina. Os dados foram organizados em dois subgrupos principais: frutas (FRT) e frutos (FTO), conforme classificação do Censo Agropecuário (2017). Essa categorização permitiu uma análise mais detalhada da contribuição de cada subgrupo para a Segurança Alimentar e Nutricional (SAN).</w:t>
      </w:r>
    </w:p>
    <w:p w14:paraId="624430BD" w14:textId="59B92B46" w:rsidR="00EA2785" w:rsidRPr="001D186C" w:rsidRDefault="00EA2785" w:rsidP="00B57F8E">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 Realizou-se uma análise descritiva e comparativa para avaliar a importância dos subgrupos FRT e FTO na comercialização nacional e em Santa Catarina. Foram identificados os meses de maior e menor comercialização, comparando os dados de SC com os do restante do país. Para isso, utilizaram-se dados do CONAB (2019, 2022 e 2023), destacando as variações médias de volume e valor comercializados. Dados dos anos de 2020 e 2021 foram excluídos da análise devido ao impacto atípico causado pela pandemia de COVID-19 (GOULART JR., 2021). Adicionalmente, foi realizada uma análise específica sobre preços e demanda dos produtos comercializados. Essa etapa incluiu a </w:t>
      </w:r>
      <w:r w:rsidR="00A51E12" w:rsidRPr="001D186C">
        <w:rPr>
          <w:rFonts w:ascii="Times New Roman" w:eastAsia="Times New Roman" w:hAnsi="Times New Roman" w:cs="Times New Roman"/>
          <w:sz w:val="24"/>
          <w:szCs w:val="24"/>
        </w:rPr>
        <w:t>análise de séries temporais com decomposição</w:t>
      </w:r>
      <w:r w:rsidRPr="001D186C">
        <w:rPr>
          <w:rFonts w:ascii="Times New Roman" w:eastAsia="Times New Roman" w:hAnsi="Times New Roman" w:cs="Times New Roman"/>
          <w:sz w:val="24"/>
          <w:szCs w:val="24"/>
        </w:rPr>
        <w:t xml:space="preserve"> </w:t>
      </w:r>
      <w:r w:rsidR="00A51E12" w:rsidRPr="001D186C">
        <w:rPr>
          <w:rFonts w:ascii="Times New Roman" w:eastAsia="Times New Roman" w:hAnsi="Times New Roman" w:cs="Times New Roman"/>
          <w:sz w:val="24"/>
          <w:szCs w:val="24"/>
        </w:rPr>
        <w:t xml:space="preserve">em </w:t>
      </w:r>
      <w:r w:rsidRPr="001D186C">
        <w:rPr>
          <w:rFonts w:ascii="Times New Roman" w:eastAsia="Times New Roman" w:hAnsi="Times New Roman" w:cs="Times New Roman"/>
          <w:sz w:val="24"/>
          <w:szCs w:val="24"/>
        </w:rPr>
        <w:t xml:space="preserve">tendências </w:t>
      </w:r>
      <w:r w:rsidR="008E5F98" w:rsidRPr="001D186C">
        <w:rPr>
          <w:rFonts w:ascii="Times New Roman" w:eastAsia="Times New Roman" w:hAnsi="Times New Roman" w:cs="Times New Roman"/>
          <w:sz w:val="24"/>
          <w:szCs w:val="24"/>
        </w:rPr>
        <w:t xml:space="preserve">e </w:t>
      </w:r>
      <w:r w:rsidRPr="001D186C">
        <w:rPr>
          <w:rFonts w:ascii="Times New Roman" w:eastAsia="Times New Roman" w:hAnsi="Times New Roman" w:cs="Times New Roman"/>
          <w:sz w:val="24"/>
          <w:szCs w:val="24"/>
        </w:rPr>
        <w:t>sazona</w:t>
      </w:r>
      <w:r w:rsidR="008E5F98" w:rsidRPr="001D186C">
        <w:rPr>
          <w:rFonts w:ascii="Times New Roman" w:eastAsia="Times New Roman" w:hAnsi="Times New Roman" w:cs="Times New Roman"/>
          <w:sz w:val="24"/>
          <w:szCs w:val="24"/>
        </w:rPr>
        <w:t>lidade</w:t>
      </w:r>
      <w:r w:rsidRPr="001D186C">
        <w:rPr>
          <w:rFonts w:ascii="Times New Roman" w:eastAsia="Times New Roman" w:hAnsi="Times New Roman" w:cs="Times New Roman"/>
          <w:sz w:val="24"/>
          <w:szCs w:val="24"/>
        </w:rPr>
        <w:t xml:space="preserve"> </w:t>
      </w:r>
      <w:r w:rsidR="00A51E12" w:rsidRPr="001D186C">
        <w:rPr>
          <w:rFonts w:ascii="Times New Roman" w:eastAsia="Times New Roman" w:hAnsi="Times New Roman" w:cs="Times New Roman"/>
          <w:sz w:val="24"/>
          <w:szCs w:val="24"/>
        </w:rPr>
        <w:t>aplicada aos</w:t>
      </w:r>
      <w:r w:rsidRPr="001D186C">
        <w:rPr>
          <w:rFonts w:ascii="Times New Roman" w:eastAsia="Times New Roman" w:hAnsi="Times New Roman" w:cs="Times New Roman"/>
          <w:sz w:val="24"/>
          <w:szCs w:val="24"/>
        </w:rPr>
        <w:t xml:space="preserve"> </w:t>
      </w:r>
      <w:r w:rsidR="008E5F98" w:rsidRPr="001D186C">
        <w:rPr>
          <w:rFonts w:ascii="Times New Roman" w:eastAsia="Times New Roman" w:hAnsi="Times New Roman" w:cs="Times New Roman"/>
          <w:sz w:val="24"/>
          <w:szCs w:val="24"/>
        </w:rPr>
        <w:t xml:space="preserve">volumes e </w:t>
      </w:r>
      <w:r w:rsidRPr="001D186C">
        <w:rPr>
          <w:rFonts w:ascii="Times New Roman" w:eastAsia="Times New Roman" w:hAnsi="Times New Roman" w:cs="Times New Roman"/>
          <w:sz w:val="24"/>
          <w:szCs w:val="24"/>
        </w:rPr>
        <w:t>preços</w:t>
      </w:r>
      <w:r w:rsidR="00BC5796" w:rsidRPr="001D186C">
        <w:rPr>
          <w:rFonts w:ascii="Times New Roman" w:eastAsia="Times New Roman" w:hAnsi="Times New Roman" w:cs="Times New Roman"/>
          <w:sz w:val="24"/>
          <w:szCs w:val="24"/>
        </w:rPr>
        <w:t xml:space="preserve"> de produtos agrícolas</w:t>
      </w:r>
      <w:r w:rsidRPr="001D186C">
        <w:rPr>
          <w:rFonts w:ascii="Times New Roman" w:eastAsia="Times New Roman" w:hAnsi="Times New Roman" w:cs="Times New Roman"/>
          <w:sz w:val="24"/>
          <w:szCs w:val="24"/>
        </w:rPr>
        <w:t xml:space="preserve">, </w:t>
      </w:r>
      <w:r w:rsidR="00A51E12" w:rsidRPr="001D186C">
        <w:rPr>
          <w:rFonts w:ascii="Times New Roman" w:eastAsia="Times New Roman" w:hAnsi="Times New Roman" w:cs="Times New Roman"/>
          <w:sz w:val="24"/>
          <w:szCs w:val="24"/>
        </w:rPr>
        <w:t xml:space="preserve">a </w:t>
      </w:r>
      <w:r w:rsidR="00B57F8E" w:rsidRPr="001D186C">
        <w:rPr>
          <w:rFonts w:ascii="Times New Roman" w:eastAsia="Times New Roman" w:hAnsi="Times New Roman" w:cs="Times New Roman"/>
          <w:sz w:val="24"/>
          <w:szCs w:val="24"/>
        </w:rPr>
        <w:t xml:space="preserve">análise da </w:t>
      </w:r>
      <w:r w:rsidR="00A51E12" w:rsidRPr="001D186C">
        <w:rPr>
          <w:rFonts w:ascii="Times New Roman" w:eastAsia="Times New Roman" w:hAnsi="Times New Roman" w:cs="Times New Roman"/>
          <w:sz w:val="24"/>
          <w:szCs w:val="24"/>
        </w:rPr>
        <w:t>relação</w:t>
      </w:r>
      <w:r w:rsidRPr="001D186C">
        <w:rPr>
          <w:rFonts w:ascii="Times New Roman" w:eastAsia="Times New Roman" w:hAnsi="Times New Roman" w:cs="Times New Roman"/>
          <w:sz w:val="24"/>
          <w:szCs w:val="24"/>
        </w:rPr>
        <w:t xml:space="preserve"> entre </w:t>
      </w:r>
      <w:r w:rsidR="006D1668" w:rsidRPr="001D186C">
        <w:rPr>
          <w:rFonts w:ascii="Times New Roman" w:eastAsia="Times New Roman" w:hAnsi="Times New Roman" w:cs="Times New Roman"/>
          <w:sz w:val="24"/>
          <w:szCs w:val="24"/>
        </w:rPr>
        <w:t>produção</w:t>
      </w:r>
      <w:r w:rsidRPr="001D186C">
        <w:rPr>
          <w:rFonts w:ascii="Times New Roman" w:eastAsia="Times New Roman" w:hAnsi="Times New Roman" w:cs="Times New Roman"/>
          <w:sz w:val="24"/>
          <w:szCs w:val="24"/>
        </w:rPr>
        <w:t xml:space="preserve"> e demanda</w:t>
      </w:r>
      <w:r w:rsidR="00B57F8E" w:rsidRPr="001D186C">
        <w:rPr>
          <w:rFonts w:ascii="Times New Roman" w:eastAsia="Times New Roman" w:hAnsi="Times New Roman" w:cs="Times New Roman"/>
          <w:sz w:val="24"/>
          <w:szCs w:val="24"/>
        </w:rPr>
        <w:t xml:space="preserve"> no mercado atacadista</w:t>
      </w:r>
      <w:r w:rsidRPr="001D186C">
        <w:rPr>
          <w:rFonts w:ascii="Times New Roman" w:eastAsia="Times New Roman" w:hAnsi="Times New Roman" w:cs="Times New Roman"/>
          <w:sz w:val="24"/>
          <w:szCs w:val="24"/>
        </w:rPr>
        <w:t xml:space="preserve">, e a comparação dos </w:t>
      </w:r>
      <w:r w:rsidR="008E5F98" w:rsidRPr="001D186C">
        <w:rPr>
          <w:rFonts w:ascii="Times New Roman" w:eastAsia="Times New Roman" w:hAnsi="Times New Roman" w:cs="Times New Roman"/>
          <w:sz w:val="24"/>
          <w:szCs w:val="24"/>
        </w:rPr>
        <w:t xml:space="preserve">volumes e </w:t>
      </w:r>
      <w:r w:rsidRPr="001D186C">
        <w:rPr>
          <w:rFonts w:ascii="Times New Roman" w:eastAsia="Times New Roman" w:hAnsi="Times New Roman" w:cs="Times New Roman"/>
          <w:sz w:val="24"/>
          <w:szCs w:val="24"/>
        </w:rPr>
        <w:t xml:space="preserve">preços </w:t>
      </w:r>
      <w:r w:rsidR="008E5F98" w:rsidRPr="001D186C">
        <w:rPr>
          <w:rFonts w:ascii="Times New Roman" w:eastAsia="Times New Roman" w:hAnsi="Times New Roman" w:cs="Times New Roman"/>
          <w:sz w:val="24"/>
          <w:szCs w:val="24"/>
        </w:rPr>
        <w:t>de origem catarinense</w:t>
      </w:r>
      <w:r w:rsidRPr="001D186C">
        <w:rPr>
          <w:rFonts w:ascii="Times New Roman" w:eastAsia="Times New Roman" w:hAnsi="Times New Roman" w:cs="Times New Roman"/>
          <w:sz w:val="24"/>
          <w:szCs w:val="24"/>
        </w:rPr>
        <w:t xml:space="preserve"> com os </w:t>
      </w:r>
      <w:r w:rsidR="008E5F98" w:rsidRPr="001D186C">
        <w:rPr>
          <w:rFonts w:ascii="Times New Roman" w:eastAsia="Times New Roman" w:hAnsi="Times New Roman" w:cs="Times New Roman"/>
          <w:sz w:val="24"/>
          <w:szCs w:val="24"/>
        </w:rPr>
        <w:t xml:space="preserve">de outras unidades federativas </w:t>
      </w:r>
      <w:r w:rsidR="00B57F8E" w:rsidRPr="001D186C">
        <w:rPr>
          <w:rFonts w:ascii="Times New Roman" w:eastAsia="Times New Roman" w:hAnsi="Times New Roman" w:cs="Times New Roman"/>
          <w:sz w:val="24"/>
          <w:szCs w:val="24"/>
        </w:rPr>
        <w:t xml:space="preserve">nas centrais de abastecimento </w:t>
      </w:r>
      <w:r w:rsidR="008E5F98" w:rsidRPr="001D186C">
        <w:rPr>
          <w:rFonts w:ascii="Times New Roman" w:eastAsia="Times New Roman" w:hAnsi="Times New Roman" w:cs="Times New Roman"/>
          <w:sz w:val="24"/>
          <w:szCs w:val="24"/>
        </w:rPr>
        <w:t>(FERREIRA, 2021; MORETTIN e TOLOI, 2004; MAKRIDAKIS, WRIGHT e HYNDMAN, 1998)</w:t>
      </w:r>
      <w:r w:rsidR="00060C7B" w:rsidRPr="001D186C">
        <w:rPr>
          <w:rFonts w:ascii="Times New Roman" w:eastAsia="Times New Roman" w:hAnsi="Times New Roman" w:cs="Times New Roman"/>
          <w:sz w:val="24"/>
          <w:szCs w:val="24"/>
        </w:rPr>
        <w:t>.</w:t>
      </w:r>
    </w:p>
    <w:p w14:paraId="4B0C019C" w14:textId="3A54E53F" w:rsidR="000C69C2" w:rsidRPr="001D186C" w:rsidRDefault="00EA2785" w:rsidP="00B57F8E">
      <w:pPr>
        <w:spacing w:after="0" w:line="360" w:lineRule="auto"/>
        <w:ind w:firstLine="708"/>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Para isso, foram utilizados dados históricos de preços médios praticados nas </w:t>
      </w:r>
      <w:proofErr w:type="spellStart"/>
      <w:r w:rsidRPr="001D186C">
        <w:rPr>
          <w:rFonts w:ascii="Times New Roman" w:eastAsia="Times New Roman" w:hAnsi="Times New Roman" w:cs="Times New Roman"/>
          <w:sz w:val="24"/>
          <w:szCs w:val="24"/>
        </w:rPr>
        <w:t>CEASAs</w:t>
      </w:r>
      <w:proofErr w:type="spellEnd"/>
      <w:r w:rsidRPr="001D186C">
        <w:rPr>
          <w:rFonts w:ascii="Times New Roman" w:eastAsia="Times New Roman" w:hAnsi="Times New Roman" w:cs="Times New Roman"/>
          <w:sz w:val="24"/>
          <w:szCs w:val="24"/>
        </w:rPr>
        <w:t>, bem como informações sobre a sazonalidade da produção e a demanda por produtos agrícolas.</w:t>
      </w:r>
      <w:r w:rsidR="006D1668" w:rsidRPr="001D186C">
        <w:rPr>
          <w:rFonts w:ascii="Times New Roman" w:eastAsia="Times New Roman" w:hAnsi="Times New Roman" w:cs="Times New Roman"/>
          <w:sz w:val="24"/>
          <w:szCs w:val="24"/>
        </w:rPr>
        <w:t xml:space="preserve"> </w:t>
      </w:r>
      <w:r w:rsidRPr="001D186C">
        <w:rPr>
          <w:rFonts w:ascii="Times New Roman" w:eastAsia="Times New Roman" w:hAnsi="Times New Roman" w:cs="Times New Roman"/>
          <w:sz w:val="24"/>
          <w:szCs w:val="24"/>
        </w:rPr>
        <w:t xml:space="preserve">Por fim, os resultados foram sintetizados e interpretados, destacando a importância de Santa Catarina no cenário nacional de comercialização de frutas e frutos. </w:t>
      </w:r>
    </w:p>
    <w:p w14:paraId="355512F3" w14:textId="77777777" w:rsidR="0037181A" w:rsidRPr="001D186C" w:rsidRDefault="0037181A">
      <w:pPr>
        <w:spacing w:after="0" w:line="360" w:lineRule="auto"/>
        <w:jc w:val="both"/>
        <w:rPr>
          <w:rFonts w:ascii="Times New Roman" w:eastAsia="Times New Roman" w:hAnsi="Times New Roman" w:cs="Times New Roman"/>
          <w:b/>
          <w:sz w:val="24"/>
          <w:szCs w:val="24"/>
        </w:rPr>
      </w:pPr>
    </w:p>
    <w:p w14:paraId="26A69245" w14:textId="53546DBF" w:rsidR="000C69C2" w:rsidRPr="001D186C" w:rsidRDefault="00E75D6C">
      <w:pPr>
        <w:spacing w:after="0" w:line="360" w:lineRule="auto"/>
        <w:jc w:val="both"/>
        <w:rPr>
          <w:rFonts w:ascii="Times New Roman" w:eastAsia="Times New Roman" w:hAnsi="Times New Roman" w:cs="Times New Roman"/>
          <w:b/>
          <w:sz w:val="24"/>
          <w:szCs w:val="24"/>
        </w:rPr>
      </w:pPr>
      <w:r w:rsidRPr="001D186C">
        <w:rPr>
          <w:rFonts w:ascii="Times New Roman" w:eastAsia="Times New Roman" w:hAnsi="Times New Roman" w:cs="Times New Roman"/>
          <w:b/>
          <w:sz w:val="24"/>
          <w:szCs w:val="24"/>
        </w:rPr>
        <w:t>4</w:t>
      </w:r>
      <w:r w:rsidR="0037181A" w:rsidRPr="001D186C">
        <w:rPr>
          <w:rFonts w:ascii="Times New Roman" w:eastAsia="Times New Roman" w:hAnsi="Times New Roman" w:cs="Times New Roman"/>
          <w:b/>
          <w:sz w:val="24"/>
          <w:szCs w:val="24"/>
        </w:rPr>
        <w:t>.</w:t>
      </w:r>
      <w:r w:rsidR="00EA2785" w:rsidRPr="001D186C">
        <w:rPr>
          <w:rFonts w:ascii="Times New Roman" w:eastAsia="Times New Roman" w:hAnsi="Times New Roman" w:cs="Times New Roman"/>
          <w:b/>
          <w:sz w:val="24"/>
          <w:szCs w:val="24"/>
        </w:rPr>
        <w:t xml:space="preserve">ANÁLISE SAZONAL DE PREÇOS E DEMANDAS DOS SUBRUPOS FRUTAS E FRUTOS EM CENTRAIS DE ABASTECIMENTOS </w:t>
      </w:r>
      <w:r w:rsidRPr="001D186C">
        <w:rPr>
          <w:rFonts w:ascii="Times New Roman" w:eastAsia="Times New Roman" w:hAnsi="Times New Roman" w:cs="Times New Roman"/>
          <w:b/>
          <w:sz w:val="24"/>
          <w:szCs w:val="24"/>
        </w:rPr>
        <w:t xml:space="preserve"> </w:t>
      </w:r>
    </w:p>
    <w:p w14:paraId="1BC4D3AA" w14:textId="77777777" w:rsidR="0037181A" w:rsidRPr="001D186C" w:rsidRDefault="0037181A">
      <w:pPr>
        <w:spacing w:after="0" w:line="360" w:lineRule="auto"/>
        <w:jc w:val="both"/>
        <w:rPr>
          <w:rFonts w:ascii="Times New Roman" w:eastAsia="Times New Roman" w:hAnsi="Times New Roman" w:cs="Times New Roman"/>
          <w:b/>
          <w:sz w:val="24"/>
          <w:szCs w:val="24"/>
        </w:rPr>
      </w:pPr>
    </w:p>
    <w:p w14:paraId="6FB2ADAA" w14:textId="43C1DC3B" w:rsidR="00F06814" w:rsidRPr="001D186C" w:rsidRDefault="00F06814" w:rsidP="00DF4C68">
      <w:pPr>
        <w:spacing w:after="0" w:line="360" w:lineRule="auto"/>
        <w:jc w:val="both"/>
        <w:rPr>
          <w:rFonts w:ascii="Times New Roman" w:eastAsia="Times New Roman" w:hAnsi="Times New Roman" w:cs="Times New Roman"/>
          <w:bCs/>
          <w:sz w:val="24"/>
          <w:szCs w:val="24"/>
        </w:rPr>
      </w:pPr>
      <w:r w:rsidRPr="001D186C">
        <w:rPr>
          <w:rFonts w:ascii="Times New Roman" w:eastAsia="Times New Roman" w:hAnsi="Times New Roman" w:cs="Times New Roman"/>
          <w:bCs/>
          <w:sz w:val="24"/>
          <w:szCs w:val="24"/>
        </w:rPr>
        <w:t>Tabela 9: Frutas- Dados Conab</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DF4C68" w:rsidRPr="001D186C" w14:paraId="5E97BE4D" w14:textId="77777777" w:rsidTr="00DF4C68">
        <w:tc>
          <w:tcPr>
            <w:tcW w:w="2831" w:type="dxa"/>
            <w:tcBorders>
              <w:top w:val="single" w:sz="4" w:space="0" w:color="auto"/>
              <w:bottom w:val="single" w:sz="4" w:space="0" w:color="auto"/>
            </w:tcBorders>
          </w:tcPr>
          <w:p w14:paraId="0BC23D5B" w14:textId="441F2041" w:rsidR="00DF4C68" w:rsidRPr="001D186C" w:rsidRDefault="00DF4C68" w:rsidP="00DF4C68">
            <w:pPr>
              <w:spacing w:line="360" w:lineRule="auto"/>
              <w:jc w:val="both"/>
              <w:rPr>
                <w:rFonts w:ascii="Times New Roman" w:eastAsia="Times New Roman" w:hAnsi="Times New Roman" w:cs="Times New Roman"/>
                <w:bCs/>
                <w:sz w:val="24"/>
                <w:szCs w:val="24"/>
              </w:rPr>
            </w:pPr>
            <w:r w:rsidRPr="001D186C">
              <w:rPr>
                <w:rFonts w:ascii="Times New Roman" w:eastAsia="Times New Roman" w:hAnsi="Times New Roman" w:cs="Times New Roman"/>
                <w:b/>
                <w:bCs/>
                <w:sz w:val="24"/>
                <w:szCs w:val="24"/>
              </w:rPr>
              <w:t>Ano</w:t>
            </w:r>
          </w:p>
        </w:tc>
        <w:tc>
          <w:tcPr>
            <w:tcW w:w="2831" w:type="dxa"/>
            <w:tcBorders>
              <w:top w:val="single" w:sz="4" w:space="0" w:color="auto"/>
              <w:bottom w:val="single" w:sz="4" w:space="0" w:color="auto"/>
            </w:tcBorders>
          </w:tcPr>
          <w:p w14:paraId="35B887DA" w14:textId="75E30AFE" w:rsidR="00DF4C68" w:rsidRPr="001D186C" w:rsidRDefault="00DF4C68" w:rsidP="00DF4C68">
            <w:pPr>
              <w:spacing w:line="360" w:lineRule="auto"/>
              <w:jc w:val="right"/>
              <w:rPr>
                <w:rFonts w:ascii="Times New Roman" w:eastAsia="Times New Roman" w:hAnsi="Times New Roman" w:cs="Times New Roman"/>
                <w:bCs/>
                <w:sz w:val="24"/>
                <w:szCs w:val="24"/>
              </w:rPr>
            </w:pPr>
            <w:r w:rsidRPr="001D186C">
              <w:rPr>
                <w:rFonts w:ascii="Times New Roman" w:eastAsia="Times New Roman" w:hAnsi="Times New Roman" w:cs="Times New Roman"/>
                <w:b/>
                <w:bCs/>
                <w:sz w:val="24"/>
                <w:szCs w:val="24"/>
              </w:rPr>
              <w:t>Valor médio (R$)</w:t>
            </w:r>
          </w:p>
        </w:tc>
        <w:tc>
          <w:tcPr>
            <w:tcW w:w="2832" w:type="dxa"/>
            <w:tcBorders>
              <w:top w:val="single" w:sz="4" w:space="0" w:color="auto"/>
              <w:bottom w:val="single" w:sz="4" w:space="0" w:color="auto"/>
            </w:tcBorders>
          </w:tcPr>
          <w:p w14:paraId="03408E17" w14:textId="1A02CEE4" w:rsidR="00DF4C68" w:rsidRPr="001D186C" w:rsidRDefault="00DF4C68" w:rsidP="00DF4C68">
            <w:pPr>
              <w:spacing w:line="360" w:lineRule="auto"/>
              <w:jc w:val="right"/>
              <w:rPr>
                <w:rFonts w:ascii="Times New Roman" w:eastAsia="Times New Roman" w:hAnsi="Times New Roman" w:cs="Times New Roman"/>
                <w:bCs/>
                <w:sz w:val="24"/>
                <w:szCs w:val="24"/>
              </w:rPr>
            </w:pPr>
            <w:r w:rsidRPr="001D186C">
              <w:rPr>
                <w:rFonts w:ascii="Times New Roman" w:eastAsia="Times New Roman" w:hAnsi="Times New Roman" w:cs="Times New Roman"/>
                <w:b/>
                <w:bCs/>
                <w:sz w:val="24"/>
                <w:szCs w:val="24"/>
              </w:rPr>
              <w:t>Média de Volume (kg) </w:t>
            </w:r>
          </w:p>
        </w:tc>
      </w:tr>
      <w:tr w:rsidR="00DF4C68" w:rsidRPr="001D186C" w14:paraId="5D16FA12" w14:textId="77777777" w:rsidTr="00DF4C68">
        <w:tc>
          <w:tcPr>
            <w:tcW w:w="2831" w:type="dxa"/>
            <w:tcBorders>
              <w:top w:val="single" w:sz="4" w:space="0" w:color="auto"/>
            </w:tcBorders>
          </w:tcPr>
          <w:p w14:paraId="7E6C87C8" w14:textId="4752A8CB" w:rsidR="00DF4C68" w:rsidRPr="001D186C" w:rsidRDefault="00DF4C68" w:rsidP="00DF4C68">
            <w:pPr>
              <w:spacing w:line="360" w:lineRule="auto"/>
              <w:jc w:val="both"/>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2019</w:t>
            </w:r>
          </w:p>
        </w:tc>
        <w:tc>
          <w:tcPr>
            <w:tcW w:w="2831" w:type="dxa"/>
            <w:tcBorders>
              <w:top w:val="single" w:sz="4" w:space="0" w:color="auto"/>
            </w:tcBorders>
          </w:tcPr>
          <w:p w14:paraId="24A20582" w14:textId="4922462B" w:rsidR="00DF4C68" w:rsidRPr="001D186C" w:rsidRDefault="00DF4C68" w:rsidP="00DF4C68">
            <w:pPr>
              <w:spacing w:line="360" w:lineRule="auto"/>
              <w:jc w:val="right"/>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R$1.853.292.875</w:t>
            </w:r>
          </w:p>
        </w:tc>
        <w:tc>
          <w:tcPr>
            <w:tcW w:w="2832" w:type="dxa"/>
            <w:tcBorders>
              <w:top w:val="single" w:sz="4" w:space="0" w:color="auto"/>
            </w:tcBorders>
          </w:tcPr>
          <w:p w14:paraId="76BA1DD2" w14:textId="42EAC8F8" w:rsidR="00DF4C68" w:rsidRPr="001D186C" w:rsidRDefault="00DF4C68" w:rsidP="00DF4C68">
            <w:pPr>
              <w:spacing w:line="360" w:lineRule="auto"/>
              <w:jc w:val="right"/>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462.695.649</w:t>
            </w:r>
          </w:p>
        </w:tc>
      </w:tr>
      <w:tr w:rsidR="00DF4C68" w:rsidRPr="001D186C" w14:paraId="1042EF0A" w14:textId="77777777" w:rsidTr="00DF4C68">
        <w:tc>
          <w:tcPr>
            <w:tcW w:w="2831" w:type="dxa"/>
          </w:tcPr>
          <w:p w14:paraId="55847D3F" w14:textId="442CBAC5" w:rsidR="00DF4C68" w:rsidRPr="001D186C" w:rsidRDefault="00DF4C68" w:rsidP="00DF4C68">
            <w:pPr>
              <w:spacing w:line="360" w:lineRule="auto"/>
              <w:jc w:val="both"/>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2022</w:t>
            </w:r>
          </w:p>
        </w:tc>
        <w:tc>
          <w:tcPr>
            <w:tcW w:w="2831" w:type="dxa"/>
          </w:tcPr>
          <w:p w14:paraId="56C5CBA0" w14:textId="0305E7E5" w:rsidR="00DF4C68" w:rsidRPr="001D186C" w:rsidRDefault="00DF4C68" w:rsidP="00DF4C68">
            <w:pPr>
              <w:spacing w:line="360" w:lineRule="auto"/>
              <w:jc w:val="right"/>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R$1.490.015.140</w:t>
            </w:r>
          </w:p>
        </w:tc>
        <w:tc>
          <w:tcPr>
            <w:tcW w:w="2832" w:type="dxa"/>
          </w:tcPr>
          <w:p w14:paraId="7D21AEFC" w14:textId="149DE4E1" w:rsidR="00DF4C68" w:rsidRPr="001D186C" w:rsidRDefault="00DF4C68" w:rsidP="00DF4C68">
            <w:pPr>
              <w:spacing w:line="360" w:lineRule="auto"/>
              <w:jc w:val="right"/>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422.366.690</w:t>
            </w:r>
          </w:p>
        </w:tc>
      </w:tr>
      <w:tr w:rsidR="00DF4C68" w:rsidRPr="001D186C" w14:paraId="3DABE66C" w14:textId="77777777" w:rsidTr="00DF4C68">
        <w:tc>
          <w:tcPr>
            <w:tcW w:w="2831" w:type="dxa"/>
          </w:tcPr>
          <w:p w14:paraId="72D8FEEA" w14:textId="0862576C" w:rsidR="00DF4C68" w:rsidRPr="001D186C" w:rsidRDefault="00DF4C68" w:rsidP="00DF4C68">
            <w:pPr>
              <w:spacing w:line="360" w:lineRule="auto"/>
              <w:jc w:val="both"/>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2023</w:t>
            </w:r>
          </w:p>
        </w:tc>
        <w:tc>
          <w:tcPr>
            <w:tcW w:w="2831" w:type="dxa"/>
          </w:tcPr>
          <w:p w14:paraId="09B83E43" w14:textId="3FC07FE2" w:rsidR="00DF4C68" w:rsidRPr="001D186C" w:rsidRDefault="00DF4C68" w:rsidP="00DF4C68">
            <w:pPr>
              <w:spacing w:line="360" w:lineRule="auto"/>
              <w:jc w:val="right"/>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R$1.737.784.119</w:t>
            </w:r>
          </w:p>
        </w:tc>
        <w:tc>
          <w:tcPr>
            <w:tcW w:w="2832" w:type="dxa"/>
          </w:tcPr>
          <w:p w14:paraId="7C394F80" w14:textId="56F6DD0A" w:rsidR="00DF4C68" w:rsidRPr="001D186C" w:rsidRDefault="00DF4C68" w:rsidP="00DF4C68">
            <w:pPr>
              <w:spacing w:line="360" w:lineRule="auto"/>
              <w:jc w:val="right"/>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429.905.970</w:t>
            </w:r>
          </w:p>
        </w:tc>
      </w:tr>
    </w:tbl>
    <w:p w14:paraId="511E657A" w14:textId="417B6603" w:rsidR="00B5338F" w:rsidRPr="001D186C" w:rsidRDefault="00F06814" w:rsidP="00B5338F">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Fonte: </w:t>
      </w:r>
      <w:proofErr w:type="spellStart"/>
      <w:r w:rsidRPr="001D186C">
        <w:rPr>
          <w:rFonts w:ascii="Times New Roman" w:eastAsia="Times New Roman" w:hAnsi="Times New Roman" w:cs="Times New Roman"/>
          <w:sz w:val="24"/>
          <w:szCs w:val="24"/>
        </w:rPr>
        <w:t>Prohort</w:t>
      </w:r>
      <w:proofErr w:type="spellEnd"/>
      <w:r w:rsidRPr="001D186C">
        <w:rPr>
          <w:rFonts w:ascii="Times New Roman" w:eastAsia="Times New Roman" w:hAnsi="Times New Roman" w:cs="Times New Roman"/>
          <w:sz w:val="24"/>
          <w:szCs w:val="24"/>
        </w:rPr>
        <w:t>/Conab</w:t>
      </w:r>
    </w:p>
    <w:p w14:paraId="4697C16D" w14:textId="77777777" w:rsidR="00DF4C68" w:rsidRPr="001D186C" w:rsidRDefault="00DF4C68" w:rsidP="00B5338F">
      <w:pPr>
        <w:spacing w:after="0" w:line="360" w:lineRule="auto"/>
        <w:jc w:val="both"/>
        <w:rPr>
          <w:rFonts w:ascii="Times New Roman" w:eastAsia="Times New Roman" w:hAnsi="Times New Roman" w:cs="Times New Roman"/>
          <w:sz w:val="24"/>
          <w:szCs w:val="24"/>
        </w:rPr>
      </w:pPr>
    </w:p>
    <w:p w14:paraId="1627E512" w14:textId="065E8F8F" w:rsidR="00B5338F" w:rsidRPr="001D186C" w:rsidRDefault="00B5338F" w:rsidP="00F06814">
      <w:pPr>
        <w:spacing w:after="0" w:line="360" w:lineRule="auto"/>
        <w:ind w:firstLine="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A análise dos dados de comercialização de frutas nos anos de 2019, 2022 e 2023 revela diferenças significativas nos preços e volumes. Em 2019, foram registrados os maiores valores ao longo dos meses, com uma média anual de preços de R$1,85 bilhão e o volume médio atingiu cerca de 460 mil toneladas. </w:t>
      </w:r>
      <w:r w:rsidR="006D1668" w:rsidRPr="001D186C">
        <w:rPr>
          <w:rFonts w:ascii="Times New Roman" w:eastAsia="Times New Roman" w:hAnsi="Times New Roman" w:cs="Times New Roman"/>
          <w:sz w:val="24"/>
          <w:szCs w:val="24"/>
        </w:rPr>
        <w:t>Em</w:t>
      </w:r>
      <w:r w:rsidRPr="001D186C">
        <w:rPr>
          <w:rFonts w:ascii="Times New Roman" w:eastAsia="Times New Roman" w:hAnsi="Times New Roman" w:cs="Times New Roman"/>
          <w:sz w:val="24"/>
          <w:szCs w:val="24"/>
        </w:rPr>
        <w:t xml:space="preserve"> 2022 </w:t>
      </w:r>
      <w:r w:rsidR="00F06814" w:rsidRPr="001D186C">
        <w:rPr>
          <w:rFonts w:ascii="Times New Roman" w:eastAsia="Times New Roman" w:hAnsi="Times New Roman" w:cs="Times New Roman"/>
          <w:sz w:val="24"/>
          <w:szCs w:val="24"/>
        </w:rPr>
        <w:t>houve</w:t>
      </w:r>
      <w:r w:rsidRPr="001D186C">
        <w:rPr>
          <w:rFonts w:ascii="Times New Roman" w:eastAsia="Times New Roman" w:hAnsi="Times New Roman" w:cs="Times New Roman"/>
          <w:sz w:val="24"/>
          <w:szCs w:val="24"/>
        </w:rPr>
        <w:t xml:space="preserve"> quedas significativas que possivelmente foram fatores influenciados pela pandemia de COVID-2019, onde o valor médio caiu para R$1,48 bilhão e o volume médio foi reduzido para 420 mil toneladas. Em 2023, observou-se uma recuperação parcial, com a média de preços subindo para R$1,72 bilhão e o volume médio aumentando para 430 mil toneladas, indicando uma tendência de retomada na comercialização de frutas, embora os níveis ainda estejam abaixo dos registrados em 2019. Essa volatilidade no mercado de frutas destaca a necessidade de estratégias para estabilizar preços e volumes, garantindo maior previsibilidade e equilíbrio no setor.</w:t>
      </w:r>
    </w:p>
    <w:p w14:paraId="5EB91BC6" w14:textId="77777777" w:rsidR="00D6228F" w:rsidRPr="001D186C" w:rsidRDefault="00D6228F" w:rsidP="00F06814">
      <w:pPr>
        <w:spacing w:after="0" w:line="360" w:lineRule="auto"/>
        <w:ind w:firstLine="720"/>
        <w:jc w:val="both"/>
        <w:rPr>
          <w:rFonts w:ascii="Times New Roman" w:eastAsia="Times New Roman" w:hAnsi="Times New Roman" w:cs="Times New Roman"/>
          <w:sz w:val="24"/>
          <w:szCs w:val="24"/>
        </w:rPr>
      </w:pPr>
    </w:p>
    <w:p w14:paraId="09348006" w14:textId="37C78220" w:rsidR="00F06814" w:rsidRPr="001D186C" w:rsidRDefault="00F06814" w:rsidP="00D6228F">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Tabela 10: Frutos- Dados Conab</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D6228F" w:rsidRPr="001D186C" w14:paraId="199A2AF7" w14:textId="77777777" w:rsidTr="00800783">
        <w:tc>
          <w:tcPr>
            <w:tcW w:w="2831" w:type="dxa"/>
            <w:tcBorders>
              <w:top w:val="single" w:sz="4" w:space="0" w:color="auto"/>
              <w:bottom w:val="single" w:sz="4" w:space="0" w:color="auto"/>
            </w:tcBorders>
          </w:tcPr>
          <w:p w14:paraId="7D8D762B" w14:textId="77777777" w:rsidR="00D6228F" w:rsidRPr="001D186C" w:rsidRDefault="00D6228F" w:rsidP="00800783">
            <w:pPr>
              <w:spacing w:line="360" w:lineRule="auto"/>
              <w:jc w:val="both"/>
              <w:rPr>
                <w:rFonts w:ascii="Times New Roman" w:eastAsia="Times New Roman" w:hAnsi="Times New Roman" w:cs="Times New Roman"/>
                <w:bCs/>
                <w:sz w:val="24"/>
                <w:szCs w:val="24"/>
              </w:rPr>
            </w:pPr>
            <w:r w:rsidRPr="001D186C">
              <w:rPr>
                <w:rFonts w:ascii="Times New Roman" w:eastAsia="Times New Roman" w:hAnsi="Times New Roman" w:cs="Times New Roman"/>
                <w:b/>
                <w:bCs/>
                <w:sz w:val="24"/>
                <w:szCs w:val="24"/>
              </w:rPr>
              <w:t>Ano</w:t>
            </w:r>
          </w:p>
        </w:tc>
        <w:tc>
          <w:tcPr>
            <w:tcW w:w="2831" w:type="dxa"/>
            <w:tcBorders>
              <w:top w:val="single" w:sz="4" w:space="0" w:color="auto"/>
              <w:bottom w:val="single" w:sz="4" w:space="0" w:color="auto"/>
            </w:tcBorders>
          </w:tcPr>
          <w:p w14:paraId="36FB3826" w14:textId="77777777" w:rsidR="00D6228F" w:rsidRPr="001D186C" w:rsidRDefault="00D6228F" w:rsidP="00800783">
            <w:pPr>
              <w:spacing w:line="360" w:lineRule="auto"/>
              <w:jc w:val="right"/>
              <w:rPr>
                <w:rFonts w:ascii="Times New Roman" w:eastAsia="Times New Roman" w:hAnsi="Times New Roman" w:cs="Times New Roman"/>
                <w:bCs/>
                <w:sz w:val="24"/>
                <w:szCs w:val="24"/>
              </w:rPr>
            </w:pPr>
            <w:r w:rsidRPr="001D186C">
              <w:rPr>
                <w:rFonts w:ascii="Times New Roman" w:eastAsia="Times New Roman" w:hAnsi="Times New Roman" w:cs="Times New Roman"/>
                <w:b/>
                <w:bCs/>
                <w:sz w:val="24"/>
                <w:szCs w:val="24"/>
              </w:rPr>
              <w:t>Valor médio (R$)</w:t>
            </w:r>
          </w:p>
        </w:tc>
        <w:tc>
          <w:tcPr>
            <w:tcW w:w="2832" w:type="dxa"/>
            <w:tcBorders>
              <w:top w:val="single" w:sz="4" w:space="0" w:color="auto"/>
              <w:bottom w:val="single" w:sz="4" w:space="0" w:color="auto"/>
            </w:tcBorders>
          </w:tcPr>
          <w:p w14:paraId="5EA5CC44" w14:textId="77777777" w:rsidR="00D6228F" w:rsidRPr="001D186C" w:rsidRDefault="00D6228F" w:rsidP="00800783">
            <w:pPr>
              <w:spacing w:line="360" w:lineRule="auto"/>
              <w:jc w:val="right"/>
              <w:rPr>
                <w:rFonts w:ascii="Times New Roman" w:eastAsia="Times New Roman" w:hAnsi="Times New Roman" w:cs="Times New Roman"/>
                <w:bCs/>
                <w:sz w:val="24"/>
                <w:szCs w:val="24"/>
              </w:rPr>
            </w:pPr>
            <w:r w:rsidRPr="001D186C">
              <w:rPr>
                <w:rFonts w:ascii="Times New Roman" w:eastAsia="Times New Roman" w:hAnsi="Times New Roman" w:cs="Times New Roman"/>
                <w:b/>
                <w:bCs/>
                <w:sz w:val="24"/>
                <w:szCs w:val="24"/>
              </w:rPr>
              <w:t>Média de Volume (kg) </w:t>
            </w:r>
          </w:p>
        </w:tc>
      </w:tr>
      <w:tr w:rsidR="00D6228F" w:rsidRPr="001D186C" w14:paraId="32A155F3" w14:textId="77777777" w:rsidTr="00800783">
        <w:tc>
          <w:tcPr>
            <w:tcW w:w="2831" w:type="dxa"/>
            <w:tcBorders>
              <w:top w:val="single" w:sz="4" w:space="0" w:color="auto"/>
            </w:tcBorders>
          </w:tcPr>
          <w:p w14:paraId="4A6F0C8A" w14:textId="44EFAFF9" w:rsidR="00D6228F" w:rsidRPr="001D186C" w:rsidRDefault="00D6228F" w:rsidP="00D6228F">
            <w:pPr>
              <w:spacing w:line="360" w:lineRule="auto"/>
              <w:jc w:val="both"/>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2019</w:t>
            </w:r>
          </w:p>
        </w:tc>
        <w:tc>
          <w:tcPr>
            <w:tcW w:w="2831" w:type="dxa"/>
            <w:tcBorders>
              <w:top w:val="single" w:sz="4" w:space="0" w:color="auto"/>
            </w:tcBorders>
          </w:tcPr>
          <w:p w14:paraId="2140D690" w14:textId="153B6F69" w:rsidR="00D6228F" w:rsidRPr="001D186C" w:rsidRDefault="00D6228F" w:rsidP="00D6228F">
            <w:pPr>
              <w:spacing w:line="360" w:lineRule="auto"/>
              <w:jc w:val="right"/>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R$755.605.931,39</w:t>
            </w:r>
          </w:p>
        </w:tc>
        <w:tc>
          <w:tcPr>
            <w:tcW w:w="2832" w:type="dxa"/>
            <w:tcBorders>
              <w:top w:val="single" w:sz="4" w:space="0" w:color="auto"/>
            </w:tcBorders>
          </w:tcPr>
          <w:p w14:paraId="4F741047" w14:textId="0E365568" w:rsidR="00D6228F" w:rsidRPr="001D186C" w:rsidRDefault="00D6228F" w:rsidP="00D6228F">
            <w:pPr>
              <w:spacing w:line="360" w:lineRule="auto"/>
              <w:jc w:val="right"/>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190.916.777,83</w:t>
            </w:r>
          </w:p>
        </w:tc>
      </w:tr>
      <w:tr w:rsidR="00D6228F" w:rsidRPr="001D186C" w14:paraId="713E3FE9" w14:textId="77777777" w:rsidTr="00800783">
        <w:tc>
          <w:tcPr>
            <w:tcW w:w="2831" w:type="dxa"/>
          </w:tcPr>
          <w:p w14:paraId="726B232A" w14:textId="580D129B" w:rsidR="00D6228F" w:rsidRPr="001D186C" w:rsidRDefault="00D6228F" w:rsidP="00D6228F">
            <w:pPr>
              <w:spacing w:line="360" w:lineRule="auto"/>
              <w:jc w:val="both"/>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2022</w:t>
            </w:r>
          </w:p>
        </w:tc>
        <w:tc>
          <w:tcPr>
            <w:tcW w:w="2831" w:type="dxa"/>
          </w:tcPr>
          <w:p w14:paraId="133104F0" w14:textId="078AD6CD" w:rsidR="00D6228F" w:rsidRPr="001D186C" w:rsidRDefault="00D6228F" w:rsidP="00D6228F">
            <w:pPr>
              <w:spacing w:line="360" w:lineRule="auto"/>
              <w:jc w:val="right"/>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R$598.756.900,07</w:t>
            </w:r>
          </w:p>
        </w:tc>
        <w:tc>
          <w:tcPr>
            <w:tcW w:w="2832" w:type="dxa"/>
          </w:tcPr>
          <w:p w14:paraId="5A971645" w14:textId="0226BD76" w:rsidR="00D6228F" w:rsidRPr="001D186C" w:rsidRDefault="00D6228F" w:rsidP="00D6228F">
            <w:pPr>
              <w:spacing w:line="360" w:lineRule="auto"/>
              <w:jc w:val="right"/>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175.594.362,33</w:t>
            </w:r>
          </w:p>
        </w:tc>
      </w:tr>
      <w:tr w:rsidR="00D6228F" w:rsidRPr="001D186C" w14:paraId="78E034B3" w14:textId="77777777" w:rsidTr="00800783">
        <w:tc>
          <w:tcPr>
            <w:tcW w:w="2831" w:type="dxa"/>
            <w:tcBorders>
              <w:bottom w:val="single" w:sz="4" w:space="0" w:color="auto"/>
            </w:tcBorders>
          </w:tcPr>
          <w:p w14:paraId="7C26CE98" w14:textId="45273AB2" w:rsidR="00D6228F" w:rsidRPr="001D186C" w:rsidRDefault="00D6228F" w:rsidP="00D6228F">
            <w:pPr>
              <w:spacing w:line="360" w:lineRule="auto"/>
              <w:jc w:val="both"/>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2023</w:t>
            </w:r>
          </w:p>
        </w:tc>
        <w:tc>
          <w:tcPr>
            <w:tcW w:w="2831" w:type="dxa"/>
            <w:tcBorders>
              <w:bottom w:val="single" w:sz="4" w:space="0" w:color="auto"/>
            </w:tcBorders>
          </w:tcPr>
          <w:p w14:paraId="77D08E48" w14:textId="5BF615F1" w:rsidR="00D6228F" w:rsidRPr="001D186C" w:rsidRDefault="00D6228F" w:rsidP="00D6228F">
            <w:pPr>
              <w:spacing w:line="360" w:lineRule="auto"/>
              <w:jc w:val="right"/>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R$642.100.341,19</w:t>
            </w:r>
          </w:p>
        </w:tc>
        <w:tc>
          <w:tcPr>
            <w:tcW w:w="2832" w:type="dxa"/>
            <w:tcBorders>
              <w:bottom w:val="single" w:sz="4" w:space="0" w:color="auto"/>
            </w:tcBorders>
          </w:tcPr>
          <w:p w14:paraId="16EF641C" w14:textId="4FC2496B" w:rsidR="00D6228F" w:rsidRPr="001D186C" w:rsidRDefault="00D6228F" w:rsidP="00D6228F">
            <w:pPr>
              <w:spacing w:line="360" w:lineRule="auto"/>
              <w:jc w:val="right"/>
              <w:rPr>
                <w:rFonts w:ascii="Times New Roman" w:eastAsia="Times New Roman" w:hAnsi="Times New Roman" w:cs="Times New Roman"/>
                <w:bCs/>
                <w:sz w:val="24"/>
                <w:szCs w:val="24"/>
              </w:rPr>
            </w:pPr>
            <w:r w:rsidRPr="001D186C">
              <w:rPr>
                <w:rFonts w:ascii="Times New Roman" w:eastAsia="Times New Roman" w:hAnsi="Times New Roman" w:cs="Times New Roman"/>
                <w:sz w:val="24"/>
                <w:szCs w:val="24"/>
              </w:rPr>
              <w:t>179.874.435,50</w:t>
            </w:r>
          </w:p>
        </w:tc>
      </w:tr>
    </w:tbl>
    <w:p w14:paraId="0928E827" w14:textId="6344E73D" w:rsidR="00B5338F" w:rsidRPr="001D186C" w:rsidRDefault="00DE7783" w:rsidP="00B5338F">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Fonte: </w:t>
      </w:r>
      <w:proofErr w:type="spellStart"/>
      <w:r w:rsidRPr="001D186C">
        <w:rPr>
          <w:rFonts w:ascii="Times New Roman" w:eastAsia="Times New Roman" w:hAnsi="Times New Roman" w:cs="Times New Roman"/>
          <w:sz w:val="24"/>
          <w:szCs w:val="24"/>
        </w:rPr>
        <w:t>Prohort</w:t>
      </w:r>
      <w:proofErr w:type="spellEnd"/>
      <w:r w:rsidRPr="001D186C">
        <w:rPr>
          <w:rFonts w:ascii="Times New Roman" w:eastAsia="Times New Roman" w:hAnsi="Times New Roman" w:cs="Times New Roman"/>
          <w:sz w:val="24"/>
          <w:szCs w:val="24"/>
        </w:rPr>
        <w:t>/ Conab</w:t>
      </w:r>
    </w:p>
    <w:p w14:paraId="015ED718" w14:textId="5B19149B" w:rsidR="00B5338F" w:rsidRPr="001D186C" w:rsidRDefault="00B5338F" w:rsidP="00800783">
      <w:pPr>
        <w:spacing w:line="360" w:lineRule="auto"/>
        <w:ind w:firstLine="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O fruto é de extrema importância para a dieta do brasileiro</w:t>
      </w:r>
      <w:r w:rsidR="0006219B" w:rsidRPr="001D186C">
        <w:rPr>
          <w:rFonts w:ascii="Times New Roman" w:eastAsia="Times New Roman" w:hAnsi="Times New Roman" w:cs="Times New Roman"/>
          <w:sz w:val="24"/>
          <w:szCs w:val="24"/>
        </w:rPr>
        <w:t xml:space="preserve"> </w:t>
      </w:r>
      <w:r w:rsidR="00800783" w:rsidRPr="001D186C">
        <w:rPr>
          <w:rFonts w:ascii="Times New Roman" w:eastAsia="Times New Roman" w:hAnsi="Times New Roman" w:cs="Times New Roman"/>
          <w:sz w:val="24"/>
          <w:szCs w:val="24"/>
        </w:rPr>
        <w:t xml:space="preserve">sendo importante o acompanhamento da comercialização. </w:t>
      </w:r>
      <w:r w:rsidRPr="001D186C">
        <w:rPr>
          <w:rFonts w:ascii="Times New Roman" w:eastAsia="Times New Roman" w:hAnsi="Times New Roman" w:cs="Times New Roman"/>
          <w:sz w:val="24"/>
          <w:szCs w:val="24"/>
        </w:rPr>
        <w:t xml:space="preserve">Ao analisar os mesmos anos em que as frutas foram estudadas, é possível identificar padrões de preços e volumes. Em 2019, o mercado de frutos atingiu um patamar elevado, com uma média anual de </w:t>
      </w:r>
      <w:r w:rsidR="00E8606F" w:rsidRPr="001D186C">
        <w:rPr>
          <w:rFonts w:ascii="Times New Roman" w:eastAsia="Times New Roman" w:hAnsi="Times New Roman" w:cs="Times New Roman"/>
          <w:sz w:val="24"/>
          <w:szCs w:val="24"/>
        </w:rPr>
        <w:t>valor</w:t>
      </w:r>
      <w:r w:rsidRPr="001D186C">
        <w:rPr>
          <w:rFonts w:ascii="Times New Roman" w:eastAsia="Times New Roman" w:hAnsi="Times New Roman" w:cs="Times New Roman"/>
          <w:sz w:val="24"/>
          <w:szCs w:val="24"/>
        </w:rPr>
        <w:t xml:space="preserve"> de R$755 milhões </w:t>
      </w:r>
      <w:r w:rsidRPr="001D186C">
        <w:rPr>
          <w:rFonts w:ascii="Times New Roman" w:eastAsia="Times New Roman" w:hAnsi="Times New Roman" w:cs="Times New Roman"/>
          <w:sz w:val="24"/>
          <w:szCs w:val="24"/>
        </w:rPr>
        <w:lastRenderedPageBreak/>
        <w:t xml:space="preserve">e cerca de 190 mil toneladas de frutos comercializados. Uma alta demanda que teve uma grande queda no ano de 2022, a média anual de </w:t>
      </w:r>
      <w:r w:rsidR="00E8606F" w:rsidRPr="001D186C">
        <w:rPr>
          <w:rFonts w:ascii="Times New Roman" w:eastAsia="Times New Roman" w:hAnsi="Times New Roman" w:cs="Times New Roman"/>
          <w:sz w:val="24"/>
          <w:szCs w:val="24"/>
        </w:rPr>
        <w:t>valor</w:t>
      </w:r>
      <w:r w:rsidRPr="001D186C">
        <w:rPr>
          <w:rFonts w:ascii="Times New Roman" w:eastAsia="Times New Roman" w:hAnsi="Times New Roman" w:cs="Times New Roman"/>
          <w:sz w:val="24"/>
          <w:szCs w:val="24"/>
        </w:rPr>
        <w:t xml:space="preserve"> caiu para R$600 milhões e a média de volume para 175 mil toneladas. Redução que também pode ser atribuída a fatores externos, como o COVID-19, que impactou de certa forma toda a cadeia de produção, logística e com isso a de comercialização. Em 2023, observou-se uma recuperação parcial, com a média de </w:t>
      </w:r>
      <w:r w:rsidR="00E8606F" w:rsidRPr="001D186C">
        <w:rPr>
          <w:rFonts w:ascii="Times New Roman" w:eastAsia="Times New Roman" w:hAnsi="Times New Roman" w:cs="Times New Roman"/>
          <w:sz w:val="24"/>
          <w:szCs w:val="24"/>
        </w:rPr>
        <w:t>valor</w:t>
      </w:r>
      <w:r w:rsidRPr="001D186C">
        <w:rPr>
          <w:rFonts w:ascii="Times New Roman" w:eastAsia="Times New Roman" w:hAnsi="Times New Roman" w:cs="Times New Roman"/>
          <w:sz w:val="24"/>
          <w:szCs w:val="24"/>
        </w:rPr>
        <w:t xml:space="preserve"> atingindo R$642 milhões e o volume médio aumentando para quase 180 mil toneladas. Embora ainda seja uma recuperação gradual, há indicativos de que o mercado está se reerguendo. A volatilidade na comercialização de frutos sugere a necessidade de estratégias bem definidas para o setor.</w:t>
      </w:r>
      <w:r w:rsidRPr="001D186C">
        <w:rPr>
          <w:rFonts w:ascii="Times New Roman" w:eastAsia="Times New Roman" w:hAnsi="Times New Roman" w:cs="Times New Roman"/>
          <w:sz w:val="24"/>
          <w:szCs w:val="24"/>
        </w:rPr>
        <w:br/>
      </w:r>
      <w:r w:rsidRPr="001D186C">
        <w:rPr>
          <w:rFonts w:ascii="Times New Roman" w:eastAsia="Times New Roman" w:hAnsi="Times New Roman" w:cs="Times New Roman"/>
          <w:sz w:val="24"/>
          <w:szCs w:val="24"/>
        </w:rPr>
        <w:tab/>
        <w:t>O ano de 2019 foi marcado por um mercado estável e aquecido, com preços e volumes elevados. O pico de preços ocorreu em julho, atingindo R$1,26 bilhão, enquanto o pico de volumes foi registrado em</w:t>
      </w:r>
      <w:r w:rsidR="0037181A" w:rsidRPr="001D186C">
        <w:rPr>
          <w:rFonts w:ascii="Times New Roman" w:eastAsia="Times New Roman" w:hAnsi="Times New Roman" w:cs="Times New Roman"/>
          <w:sz w:val="24"/>
          <w:szCs w:val="24"/>
        </w:rPr>
        <w:t xml:space="preserve"> outubro, com 205 mil toneladas.</w:t>
      </w:r>
      <w:r w:rsidRPr="001D186C">
        <w:rPr>
          <w:rFonts w:ascii="Times New Roman" w:eastAsia="Times New Roman" w:hAnsi="Times New Roman" w:cs="Times New Roman"/>
          <w:sz w:val="24"/>
          <w:szCs w:val="24"/>
        </w:rPr>
        <w:t xml:space="preserve"> </w:t>
      </w:r>
      <w:r w:rsidR="0037181A" w:rsidRPr="001D186C">
        <w:rPr>
          <w:rFonts w:ascii="Times New Roman" w:eastAsia="Times New Roman" w:hAnsi="Times New Roman" w:cs="Times New Roman"/>
          <w:sz w:val="24"/>
          <w:szCs w:val="24"/>
        </w:rPr>
        <w:t>Em 2022,</w:t>
      </w:r>
      <w:r w:rsidRPr="001D186C">
        <w:rPr>
          <w:rFonts w:ascii="Times New Roman" w:eastAsia="Times New Roman" w:hAnsi="Times New Roman" w:cs="Times New Roman"/>
          <w:sz w:val="24"/>
          <w:szCs w:val="24"/>
        </w:rPr>
        <w:t xml:space="preserve"> no entanto, o cenário mudou significativamente, com expressivas tanto no preço como no volume, o pico de </w:t>
      </w:r>
      <w:r w:rsidR="00E8606F" w:rsidRPr="001D186C">
        <w:rPr>
          <w:rFonts w:ascii="Times New Roman" w:eastAsia="Times New Roman" w:hAnsi="Times New Roman" w:cs="Times New Roman"/>
          <w:sz w:val="24"/>
          <w:szCs w:val="24"/>
        </w:rPr>
        <w:t>valor</w:t>
      </w:r>
      <w:r w:rsidRPr="001D186C">
        <w:rPr>
          <w:rFonts w:ascii="Times New Roman" w:eastAsia="Times New Roman" w:hAnsi="Times New Roman" w:cs="Times New Roman"/>
          <w:sz w:val="24"/>
          <w:szCs w:val="24"/>
        </w:rPr>
        <w:t xml:space="preserve"> foi observado atingiu 736 milhões em março, e o de volumes em novembro, com 184 mil toneladas. Essa redução pode ser atribuída a fatores como a pandemia de COVID-19</w:t>
      </w:r>
      <w:r w:rsidR="00C43518" w:rsidRPr="001D186C">
        <w:rPr>
          <w:rFonts w:ascii="Times New Roman" w:eastAsia="Times New Roman" w:hAnsi="Times New Roman" w:cs="Times New Roman"/>
          <w:sz w:val="24"/>
          <w:szCs w:val="24"/>
        </w:rPr>
        <w:t>, climáticos e</w:t>
      </w:r>
      <w:r w:rsidRPr="001D186C">
        <w:rPr>
          <w:rFonts w:ascii="Times New Roman" w:eastAsia="Times New Roman" w:hAnsi="Times New Roman" w:cs="Times New Roman"/>
          <w:sz w:val="24"/>
          <w:szCs w:val="24"/>
        </w:rPr>
        <w:t xml:space="preserve"> crises econômicas.  Já em 2023, houve sinais de recuperação, com aumentos nos preços e volumes em comparação ao ano anterior. O pico de </w:t>
      </w:r>
      <w:r w:rsidR="00C43518" w:rsidRPr="001D186C">
        <w:rPr>
          <w:rFonts w:ascii="Times New Roman" w:eastAsia="Times New Roman" w:hAnsi="Times New Roman" w:cs="Times New Roman"/>
          <w:sz w:val="24"/>
          <w:szCs w:val="24"/>
        </w:rPr>
        <w:t>valor</w:t>
      </w:r>
      <w:r w:rsidRPr="001D186C">
        <w:rPr>
          <w:rFonts w:ascii="Times New Roman" w:eastAsia="Times New Roman" w:hAnsi="Times New Roman" w:cs="Times New Roman"/>
          <w:sz w:val="24"/>
          <w:szCs w:val="24"/>
        </w:rPr>
        <w:t xml:space="preserve"> e volumes ocorreu em outubro, com R$711 milhões e 194 mil toneladas, respectivamente. Apesar da melhora, os valores ainda estão abaixo dos níveis registrados em 2019.</w:t>
      </w:r>
      <w:r w:rsidRPr="001D186C">
        <w:rPr>
          <w:rFonts w:ascii="Times New Roman" w:eastAsia="Times New Roman" w:hAnsi="Times New Roman" w:cs="Times New Roman"/>
          <w:sz w:val="24"/>
          <w:szCs w:val="24"/>
        </w:rPr>
        <w:tab/>
      </w:r>
    </w:p>
    <w:p w14:paraId="2E6E6CAA" w14:textId="2BBFCA20" w:rsidR="00B5338F" w:rsidRPr="001D186C" w:rsidRDefault="00B5338F" w:rsidP="00F52F09">
      <w:pPr>
        <w:spacing w:after="0" w:line="360" w:lineRule="auto"/>
        <w:ind w:firstLine="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A análise dos dados de comercialização de </w:t>
      </w:r>
      <w:r w:rsidR="00F52F09" w:rsidRPr="001D186C">
        <w:rPr>
          <w:rFonts w:ascii="Times New Roman" w:eastAsia="Times New Roman" w:hAnsi="Times New Roman" w:cs="Times New Roman"/>
          <w:sz w:val="24"/>
          <w:szCs w:val="24"/>
        </w:rPr>
        <w:t>frutos revela</w:t>
      </w:r>
      <w:r w:rsidRPr="001D186C">
        <w:rPr>
          <w:rFonts w:ascii="Times New Roman" w:eastAsia="Times New Roman" w:hAnsi="Times New Roman" w:cs="Times New Roman"/>
          <w:sz w:val="24"/>
          <w:szCs w:val="24"/>
        </w:rPr>
        <w:t xml:space="preserve"> oportunidades importantes para fortalecer a segurança alimentar e nutricional. Durante os meses de outubro a dezembro, quando os preços tendem a ser mais baixos, é possível promover o consumo de frutos por meio de campanhas de educação nutricional e programas de distribuição em escolas, hospitais e comunidades carentes. Além disso, nos períodos de alta produção, como outubro, a implementação de políticas de estoque regulador e a melhoria da logística podem reduzir o desperdício e garantir que os frutos cheguem aos consumidores a preços acessíveis. Durante a entressafra, quando os preços são mais elevados, o apoio aos produtores pode ajudar a estabilizar o mercado e garantir a renda dos agricultores. Investimentos em infraestrutura de comercialização também são essenciais para reduzir custos e aumentar a eficiência da cadeia produtiva.</w:t>
      </w:r>
    </w:p>
    <w:p w14:paraId="5D4B9165" w14:textId="657313C8" w:rsidR="00B5338F" w:rsidRPr="001D186C" w:rsidRDefault="00B5338F" w:rsidP="00AD6FA1">
      <w:pPr>
        <w:spacing w:after="0" w:line="360" w:lineRule="auto"/>
        <w:ind w:firstLine="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A Segurança </w:t>
      </w:r>
      <w:r w:rsidR="00DE7783" w:rsidRPr="001D186C">
        <w:rPr>
          <w:rFonts w:ascii="Times New Roman" w:eastAsia="Times New Roman" w:hAnsi="Times New Roman" w:cs="Times New Roman"/>
          <w:sz w:val="24"/>
          <w:szCs w:val="24"/>
        </w:rPr>
        <w:t>alimentar nutricional</w:t>
      </w:r>
      <w:r w:rsidRPr="001D186C">
        <w:rPr>
          <w:rFonts w:ascii="Times New Roman" w:eastAsia="Times New Roman" w:hAnsi="Times New Roman" w:cs="Times New Roman"/>
          <w:sz w:val="24"/>
          <w:szCs w:val="24"/>
        </w:rPr>
        <w:t xml:space="preserve"> vai além do simples direito à alimentação, defendendo que o acesso aos alimentos deve ser de qualidade, ambientalmente </w:t>
      </w:r>
      <w:r w:rsidRPr="001D186C">
        <w:rPr>
          <w:rFonts w:ascii="Times New Roman" w:eastAsia="Times New Roman" w:hAnsi="Times New Roman" w:cs="Times New Roman"/>
          <w:sz w:val="24"/>
          <w:szCs w:val="24"/>
        </w:rPr>
        <w:lastRenderedPageBreak/>
        <w:t>sustentável, em quantidade suficiente e rico em nutrientes variados. Além disso, promove a diversidade alimentar, respeitando diferentes culturas. Inicialmente as Centrais de Abastecimento (</w:t>
      </w:r>
      <w:proofErr w:type="spellStart"/>
      <w:r w:rsidRPr="001D186C">
        <w:rPr>
          <w:rFonts w:ascii="Times New Roman" w:eastAsia="Times New Roman" w:hAnsi="Times New Roman" w:cs="Times New Roman"/>
          <w:sz w:val="24"/>
          <w:szCs w:val="24"/>
        </w:rPr>
        <w:t>CEASAs</w:t>
      </w:r>
      <w:proofErr w:type="spellEnd"/>
      <w:r w:rsidRPr="001D186C">
        <w:rPr>
          <w:rFonts w:ascii="Times New Roman" w:eastAsia="Times New Roman" w:hAnsi="Times New Roman" w:cs="Times New Roman"/>
          <w:sz w:val="24"/>
          <w:szCs w:val="24"/>
        </w:rPr>
        <w:t>) foram criadas para atuarem como uma política pública que serviria para ajudar a promover a segurança alimentar, facilitando o acesso aos alimentos nos grandes centros urbanos e tendo maior diversidade para a população e ajudando na troca entre o produtor agrícola e comerciantes.</w:t>
      </w:r>
    </w:p>
    <w:p w14:paraId="3715BAA7" w14:textId="77777777" w:rsidR="00B5338F" w:rsidRPr="001D186C" w:rsidRDefault="00B5338F" w:rsidP="00AD6FA1">
      <w:pPr>
        <w:spacing w:after="0" w:line="360" w:lineRule="auto"/>
        <w:ind w:firstLine="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Atuando como um mercado atacadista, as Ceasas são responsáveis por administrar o espaço para comercialização de produtos hortigranjeiros, como hortaliças, legumes, frutas, frutos, raízes e outros grupos. As Ceasas também influenciam na qualidade e segurança dos alimentos, desempenhando um papel importante para a segurança alimentar da população. </w:t>
      </w:r>
    </w:p>
    <w:p w14:paraId="1E5C5318" w14:textId="77777777" w:rsidR="00DF4C68" w:rsidRPr="001D186C" w:rsidRDefault="00DF4C68" w:rsidP="00AD6FA1">
      <w:pPr>
        <w:spacing w:after="0" w:line="360" w:lineRule="auto"/>
        <w:ind w:firstLine="720"/>
        <w:jc w:val="both"/>
        <w:rPr>
          <w:rFonts w:ascii="Times New Roman" w:eastAsia="Times New Roman" w:hAnsi="Times New Roman" w:cs="Times New Roman"/>
          <w:sz w:val="24"/>
          <w:szCs w:val="24"/>
        </w:rPr>
      </w:pPr>
    </w:p>
    <w:p w14:paraId="22AB613B" w14:textId="6CC1067F" w:rsidR="00E44F61" w:rsidRPr="001D186C" w:rsidRDefault="00E44F61" w:rsidP="00B5338F">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ab/>
        <w:t xml:space="preserve">4.1 </w:t>
      </w:r>
      <w:r w:rsidR="00153E00" w:rsidRPr="001D186C">
        <w:rPr>
          <w:rFonts w:ascii="Times New Roman" w:eastAsia="Times New Roman" w:hAnsi="Times New Roman" w:cs="Times New Roman"/>
          <w:sz w:val="24"/>
          <w:szCs w:val="24"/>
        </w:rPr>
        <w:t>Subgrupo- Frutas</w:t>
      </w:r>
    </w:p>
    <w:p w14:paraId="4C1A4ACA" w14:textId="77777777" w:rsidR="005038DD" w:rsidRPr="001D186C" w:rsidRDefault="005038DD" w:rsidP="00F52F09">
      <w:pPr>
        <w:spacing w:after="0" w:line="360" w:lineRule="auto"/>
        <w:ind w:firstLine="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Com as informações obtidas pelo Programa Brasileiro de Modernização do Mercado   Hortigranjeiro (PROHORT/CONAB, 2024) foram analisados os anos de 2019, 2022 e 2023 referentes à comercialização de Frutas e Frutos. No Brasil, o volume em média que foi comercializado foi de 5.259,87 mil toneladas (PROHORT/CONAB, 2024) de frutas por ano, sendo dezembro, outubro e novembro, respectivamente, os meses com maior comercialização desse subgrupo.</w:t>
      </w:r>
    </w:p>
    <w:p w14:paraId="2FCA3428" w14:textId="77777777" w:rsidR="00D6228F" w:rsidRPr="001D186C" w:rsidRDefault="00D6228F" w:rsidP="00D6228F">
      <w:pPr>
        <w:spacing w:after="0" w:line="360" w:lineRule="auto"/>
        <w:jc w:val="both"/>
        <w:rPr>
          <w:rFonts w:ascii="Times New Roman" w:eastAsia="Times New Roman" w:hAnsi="Times New Roman" w:cs="Times New Roman"/>
          <w:sz w:val="24"/>
          <w:szCs w:val="24"/>
        </w:rPr>
      </w:pPr>
    </w:p>
    <w:p w14:paraId="649C8D67" w14:textId="75416C2A" w:rsidR="00A37A1C" w:rsidRPr="001D186C" w:rsidRDefault="001F435D" w:rsidP="00D6228F">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Gráfico 1: </w:t>
      </w:r>
      <w:r w:rsidR="002C4151" w:rsidRPr="001D186C">
        <w:rPr>
          <w:rFonts w:ascii="Times New Roman" w:eastAsia="Times New Roman" w:hAnsi="Times New Roman" w:cs="Times New Roman"/>
          <w:sz w:val="24"/>
          <w:szCs w:val="24"/>
        </w:rPr>
        <w:t>Quantidade de frutas comercializadas (Conab) analisadas neste artigo em 2019, 2022 e 2023</w:t>
      </w:r>
      <w:r w:rsidR="00A37A1C" w:rsidRPr="001D186C">
        <w:rPr>
          <w:rFonts w:ascii="Times New Roman" w:eastAsia="Times New Roman" w:hAnsi="Times New Roman" w:cs="Times New Roman"/>
          <w:sz w:val="24"/>
          <w:szCs w:val="24"/>
        </w:rPr>
        <w:t>.</w:t>
      </w:r>
    </w:p>
    <w:p w14:paraId="538621E5" w14:textId="0BC32BFC" w:rsidR="00C25341" w:rsidRPr="001D186C" w:rsidRDefault="00C25341" w:rsidP="004223C5">
      <w:pPr>
        <w:spacing w:after="0" w:line="360" w:lineRule="auto"/>
        <w:rPr>
          <w:rFonts w:ascii="Times New Roman" w:eastAsia="Times New Roman" w:hAnsi="Times New Roman" w:cs="Times New Roman"/>
          <w:sz w:val="24"/>
          <w:szCs w:val="24"/>
        </w:rPr>
      </w:pPr>
      <w:r w:rsidRPr="001D186C">
        <w:rPr>
          <w:rFonts w:ascii="Times New Roman" w:eastAsia="Times New Roman" w:hAnsi="Times New Roman" w:cs="Times New Roman"/>
          <w:noProof/>
          <w:sz w:val="24"/>
          <w:szCs w:val="24"/>
        </w:rPr>
        <w:drawing>
          <wp:inline distT="0" distB="0" distL="0" distR="0" wp14:anchorId="204A0A9E" wp14:editId="626E2300">
            <wp:extent cx="5400040" cy="2586990"/>
            <wp:effectExtent l="0" t="0" r="0" b="3810"/>
            <wp:docPr id="743414871" name="Imagem 25"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14871" name="Imagem 25" descr="Gráfico, Gráfico de barras&#10;&#10;O conteúdo gerado por IA pode estar incorre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586990"/>
                    </a:xfrm>
                    <a:prstGeom prst="rect">
                      <a:avLst/>
                    </a:prstGeom>
                    <a:noFill/>
                    <a:ln>
                      <a:noFill/>
                    </a:ln>
                  </pic:spPr>
                </pic:pic>
              </a:graphicData>
            </a:graphic>
          </wp:inline>
        </w:drawing>
      </w:r>
    </w:p>
    <w:p w14:paraId="77776344" w14:textId="51744FAC" w:rsidR="005038DD" w:rsidRPr="001D186C" w:rsidRDefault="00C25341" w:rsidP="005038DD">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Fonte: </w:t>
      </w:r>
      <w:r w:rsidR="004223C5" w:rsidRPr="001D186C">
        <w:rPr>
          <w:rFonts w:ascii="Times New Roman" w:eastAsia="Times New Roman" w:hAnsi="Times New Roman" w:cs="Times New Roman"/>
          <w:sz w:val="24"/>
          <w:szCs w:val="24"/>
        </w:rPr>
        <w:t>Conab, 2024.</w:t>
      </w:r>
    </w:p>
    <w:p w14:paraId="7B3FA54A" w14:textId="77777777" w:rsidR="00D6228F" w:rsidRPr="001D186C" w:rsidRDefault="00D6228F" w:rsidP="005038DD">
      <w:pPr>
        <w:spacing w:after="0" w:line="360" w:lineRule="auto"/>
        <w:jc w:val="both"/>
        <w:rPr>
          <w:rFonts w:ascii="Times New Roman" w:eastAsia="Times New Roman" w:hAnsi="Times New Roman" w:cs="Times New Roman"/>
          <w:sz w:val="24"/>
          <w:szCs w:val="24"/>
        </w:rPr>
      </w:pPr>
    </w:p>
    <w:p w14:paraId="3A2816AC" w14:textId="6315DC90" w:rsidR="005038DD" w:rsidRPr="001D186C" w:rsidRDefault="005038DD" w:rsidP="00DE7783">
      <w:pPr>
        <w:spacing w:after="0" w:line="360" w:lineRule="auto"/>
        <w:ind w:firstLine="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A partir da série de dados pesquisados (PROHORT/CONAB, 2024) foram observados os valores totais negociados de frutas nas centrais de abastecimentos brasileiras chegou no valor de R$22,23 bilhões, em 2019, R$17,88 bilhões, em 2022 e R$20,85 bilhões, em 2023. No comparativo entre 2019 e 2022 houve uma regressão</w:t>
      </w:r>
      <w:r w:rsidR="00153E00" w:rsidRPr="001D186C">
        <w:rPr>
          <w:rFonts w:ascii="Times New Roman" w:eastAsia="Times New Roman" w:hAnsi="Times New Roman" w:cs="Times New Roman"/>
          <w:sz w:val="24"/>
          <w:szCs w:val="24"/>
        </w:rPr>
        <w:t xml:space="preserve"> de 7,0%</w:t>
      </w:r>
      <w:r w:rsidRPr="001D186C">
        <w:rPr>
          <w:rFonts w:ascii="Times New Roman" w:eastAsia="Times New Roman" w:hAnsi="Times New Roman" w:cs="Times New Roman"/>
          <w:sz w:val="24"/>
          <w:szCs w:val="24"/>
        </w:rPr>
        <w:t xml:space="preserve"> quando se é analisado os preços corrigidos pelo IGP DI. Caso não tivesse feito a correção do valor, iríamos por considerar um aumento de </w:t>
      </w:r>
      <w:r w:rsidR="00153E00" w:rsidRPr="001D186C">
        <w:rPr>
          <w:rFonts w:ascii="Times New Roman" w:eastAsia="Times New Roman" w:hAnsi="Times New Roman" w:cs="Times New Roman"/>
          <w:sz w:val="24"/>
          <w:szCs w:val="24"/>
        </w:rPr>
        <w:t>8,4%</w:t>
      </w:r>
      <w:r w:rsidRPr="001D186C">
        <w:rPr>
          <w:rFonts w:ascii="Times New Roman" w:eastAsia="Times New Roman" w:hAnsi="Times New Roman" w:cs="Times New Roman"/>
          <w:sz w:val="24"/>
          <w:szCs w:val="24"/>
        </w:rPr>
        <w:t xml:space="preserve"> nos valores anuais negociados, mas o real que aconteceu foi uma diminuição de R$4,36 bilhões No ano de 2023, um pouco mais recuperados da pandemia, houve uma evolução, com um crescimento </w:t>
      </w:r>
      <w:r w:rsidR="00153E00" w:rsidRPr="001D186C">
        <w:rPr>
          <w:rFonts w:ascii="Times New Roman" w:eastAsia="Times New Roman" w:hAnsi="Times New Roman" w:cs="Times New Roman"/>
          <w:sz w:val="24"/>
          <w:szCs w:val="24"/>
        </w:rPr>
        <w:t>de 16,6% (</w:t>
      </w:r>
      <w:r w:rsidRPr="001D186C">
        <w:rPr>
          <w:rFonts w:ascii="Times New Roman" w:eastAsia="Times New Roman" w:hAnsi="Times New Roman" w:cs="Times New Roman"/>
          <w:sz w:val="24"/>
          <w:szCs w:val="24"/>
        </w:rPr>
        <w:t>R$2,97 bilhões</w:t>
      </w:r>
      <w:r w:rsidR="00153E00" w:rsidRPr="001D186C">
        <w:rPr>
          <w:rFonts w:ascii="Times New Roman" w:eastAsia="Times New Roman" w:hAnsi="Times New Roman" w:cs="Times New Roman"/>
          <w:sz w:val="24"/>
          <w:szCs w:val="24"/>
        </w:rPr>
        <w:t>)</w:t>
      </w:r>
      <w:r w:rsidRPr="001D186C">
        <w:rPr>
          <w:rFonts w:ascii="Times New Roman" w:eastAsia="Times New Roman" w:hAnsi="Times New Roman" w:cs="Times New Roman"/>
          <w:sz w:val="24"/>
          <w:szCs w:val="24"/>
        </w:rPr>
        <w:t xml:space="preserve"> em relação ao ano de 2022.</w:t>
      </w:r>
    </w:p>
    <w:p w14:paraId="2EFA9EC6" w14:textId="77777777" w:rsidR="005038DD" w:rsidRPr="001D186C" w:rsidRDefault="005038DD" w:rsidP="005038DD">
      <w:pPr>
        <w:spacing w:after="0" w:line="360" w:lineRule="auto"/>
        <w:jc w:val="both"/>
        <w:rPr>
          <w:rFonts w:ascii="Times New Roman" w:eastAsia="Times New Roman" w:hAnsi="Times New Roman" w:cs="Times New Roman"/>
          <w:sz w:val="24"/>
          <w:szCs w:val="24"/>
        </w:rPr>
      </w:pPr>
    </w:p>
    <w:p w14:paraId="5FA9E70C" w14:textId="3AE5D103" w:rsidR="005038DD" w:rsidRPr="001D186C" w:rsidRDefault="005038DD" w:rsidP="00960E55">
      <w:pPr>
        <w:spacing w:after="0" w:line="360" w:lineRule="auto"/>
        <w:ind w:firstLine="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4.1.1 F</w:t>
      </w:r>
      <w:r w:rsidR="00153E00" w:rsidRPr="001D186C">
        <w:rPr>
          <w:rFonts w:ascii="Times New Roman" w:eastAsia="Times New Roman" w:hAnsi="Times New Roman" w:cs="Times New Roman"/>
          <w:sz w:val="24"/>
          <w:szCs w:val="24"/>
        </w:rPr>
        <w:t>rutas c</w:t>
      </w:r>
      <w:r w:rsidRPr="001D186C">
        <w:rPr>
          <w:rFonts w:ascii="Times New Roman" w:eastAsia="Times New Roman" w:hAnsi="Times New Roman" w:cs="Times New Roman"/>
          <w:sz w:val="24"/>
          <w:szCs w:val="24"/>
        </w:rPr>
        <w:t>atarinenses </w:t>
      </w:r>
    </w:p>
    <w:p w14:paraId="49750D49" w14:textId="0019E3B7" w:rsidR="005038DD" w:rsidRPr="001D186C" w:rsidRDefault="005038DD" w:rsidP="00EA36E9">
      <w:pPr>
        <w:spacing w:after="0" w:line="360" w:lineRule="auto"/>
        <w:ind w:firstLine="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As frutas de origem catarinense comercializadas nas centrais de abastecimento de todo país, a partir da série de dados pesquisados (PROHORT/CONAB, 2024) tiveram o volume de frutas comercializadas em Santa Catarina no ano de 2019 de 319,53 mil toneladas. Esta quantidade representou um valor negociado de R$1,74 bilhões. Esse valor foi superior aos de 2022 e 2023, que foram R$1,48 bilhões (279,55 mil toneladas) e R$1,60 bilhões (268,77 mil toneladas), respectivamente. Entre 2019 e 2020, o grupo frutas (FRT) teve uma regressão, as frutas tiveram o valor total negociado, reduzido em até R$2,3 bilhões (GOULART JR.,2021).</w:t>
      </w:r>
    </w:p>
    <w:p w14:paraId="56EC8421" w14:textId="77777777" w:rsidR="00DF4C68" w:rsidRPr="001D186C" w:rsidRDefault="00DF4C68" w:rsidP="005038DD">
      <w:pPr>
        <w:spacing w:after="0" w:line="360" w:lineRule="auto"/>
        <w:jc w:val="both"/>
        <w:rPr>
          <w:rFonts w:ascii="Times New Roman" w:eastAsia="Times New Roman" w:hAnsi="Times New Roman" w:cs="Times New Roman"/>
          <w:sz w:val="24"/>
          <w:szCs w:val="24"/>
        </w:rPr>
      </w:pPr>
    </w:p>
    <w:p w14:paraId="3A156033" w14:textId="3B9A7AD1" w:rsidR="005038DD" w:rsidRPr="001D186C" w:rsidRDefault="00960E55" w:rsidP="00960E55">
      <w:pPr>
        <w:spacing w:after="0" w:line="360" w:lineRule="auto"/>
        <w:ind w:firstLine="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4.1.2 </w:t>
      </w:r>
      <w:r w:rsidR="005038DD" w:rsidRPr="001D186C">
        <w:rPr>
          <w:rFonts w:ascii="Times New Roman" w:eastAsia="Times New Roman" w:hAnsi="Times New Roman" w:cs="Times New Roman"/>
          <w:sz w:val="24"/>
          <w:szCs w:val="24"/>
        </w:rPr>
        <w:t>Frutas- Sazonalidade (Conab)</w:t>
      </w:r>
    </w:p>
    <w:p w14:paraId="1307E0E7" w14:textId="16BB07F8" w:rsidR="00B96A65" w:rsidRPr="001D186C" w:rsidRDefault="005038DD" w:rsidP="00960E55">
      <w:pPr>
        <w:spacing w:after="0" w:line="360" w:lineRule="auto"/>
        <w:ind w:firstLine="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Nos dados de comercialização de frutas em Santa Catarina, fevereiro e março destacam-se com coeficientes sazonais superiores a 1, indicando picos favoráveis na comercialização. Em contraste, dezembro apresenta um coeficiente inferior a 1, sinalizando um período de baixa comercialização A sazonalidade reflete as variações cíclicas regulares na comercialização, influenciadas pelos períodos de plantio e colheita. Nos dados analisados, fevereiro mantém um coeficiente constante ao longo dos três anos, comprovando historicamente maior comercialização, como em 2022, quando o volume atingiu 28,37 mil toneladas. </w:t>
      </w:r>
      <w:r w:rsidRPr="001D186C">
        <w:rPr>
          <w:rFonts w:ascii="Times New Roman" w:eastAsia="Times New Roman" w:hAnsi="Times New Roman" w:cs="Times New Roman"/>
          <w:sz w:val="24"/>
          <w:szCs w:val="24"/>
        </w:rPr>
        <w:tab/>
      </w:r>
    </w:p>
    <w:p w14:paraId="61185287" w14:textId="6500E65A" w:rsidR="005038DD" w:rsidRPr="001D186C" w:rsidRDefault="005038DD" w:rsidP="00960E55">
      <w:pPr>
        <w:spacing w:after="0" w:line="360" w:lineRule="auto"/>
        <w:ind w:firstLine="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Em dezembro, registrou volumes menores, como 26,16 mil toneladas em 2019 e 15,83 mil toneladas em 2023. A variação sazonal também é notável em meses como maio, sendo o terceiro mês com maior coeficiente e apresenta coeficientes em torno de 1,0</w:t>
      </w:r>
      <w:r w:rsidR="00EA36E9" w:rsidRPr="001D186C">
        <w:rPr>
          <w:rFonts w:ascii="Times New Roman" w:eastAsia="Times New Roman" w:hAnsi="Times New Roman" w:cs="Times New Roman"/>
          <w:sz w:val="24"/>
          <w:szCs w:val="24"/>
        </w:rPr>
        <w:t>494</w:t>
      </w:r>
      <w:r w:rsidRPr="001D186C">
        <w:rPr>
          <w:rFonts w:ascii="Times New Roman" w:eastAsia="Times New Roman" w:hAnsi="Times New Roman" w:cs="Times New Roman"/>
          <w:sz w:val="24"/>
          <w:szCs w:val="24"/>
        </w:rPr>
        <w:t xml:space="preserve">, sugerindo um leve aumento na comercialização. Essas flutuações destacam a importância </w:t>
      </w:r>
      <w:r w:rsidRPr="001D186C">
        <w:rPr>
          <w:rFonts w:ascii="Times New Roman" w:eastAsia="Times New Roman" w:hAnsi="Times New Roman" w:cs="Times New Roman"/>
          <w:sz w:val="24"/>
          <w:szCs w:val="24"/>
        </w:rPr>
        <w:lastRenderedPageBreak/>
        <w:t>do planejamento estratégico para otimizar os recursos nos meses de pico e minimizar os impactos nos períodos de baixa produtividade.</w:t>
      </w:r>
    </w:p>
    <w:p w14:paraId="7D22E240" w14:textId="77777777" w:rsidR="005038DD" w:rsidRPr="001D186C" w:rsidRDefault="005038DD" w:rsidP="005038DD">
      <w:pPr>
        <w:spacing w:after="0" w:line="360" w:lineRule="auto"/>
        <w:jc w:val="both"/>
        <w:rPr>
          <w:rFonts w:ascii="Times New Roman" w:eastAsia="Times New Roman" w:hAnsi="Times New Roman" w:cs="Times New Roman"/>
          <w:sz w:val="24"/>
          <w:szCs w:val="24"/>
        </w:rPr>
      </w:pPr>
    </w:p>
    <w:p w14:paraId="3E4EAFF4" w14:textId="119BA503" w:rsidR="005038DD" w:rsidRPr="001D186C" w:rsidRDefault="00C90A8F" w:rsidP="005038DD">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Gráfico </w:t>
      </w:r>
      <w:r w:rsidR="00153E00" w:rsidRPr="001D186C">
        <w:rPr>
          <w:rFonts w:ascii="Times New Roman" w:eastAsia="Times New Roman" w:hAnsi="Times New Roman" w:cs="Times New Roman"/>
          <w:sz w:val="24"/>
          <w:szCs w:val="24"/>
        </w:rPr>
        <w:t>2</w:t>
      </w:r>
      <w:r w:rsidRPr="001D186C">
        <w:rPr>
          <w:rFonts w:ascii="Times New Roman" w:eastAsia="Times New Roman" w:hAnsi="Times New Roman" w:cs="Times New Roman"/>
          <w:sz w:val="24"/>
          <w:szCs w:val="24"/>
        </w:rPr>
        <w:t xml:space="preserve">: </w:t>
      </w:r>
      <w:r w:rsidR="00D54E9C" w:rsidRPr="001D186C">
        <w:rPr>
          <w:rFonts w:ascii="Times New Roman" w:eastAsia="Times New Roman" w:hAnsi="Times New Roman" w:cs="Times New Roman"/>
          <w:sz w:val="24"/>
          <w:szCs w:val="24"/>
        </w:rPr>
        <w:t xml:space="preserve">Frutas- </w:t>
      </w:r>
      <w:r w:rsidR="00EA36E9" w:rsidRPr="001D186C">
        <w:rPr>
          <w:rFonts w:ascii="Times New Roman" w:eastAsia="Times New Roman" w:hAnsi="Times New Roman" w:cs="Times New Roman"/>
          <w:sz w:val="24"/>
          <w:szCs w:val="24"/>
        </w:rPr>
        <w:t>Índices de s</w:t>
      </w:r>
      <w:r w:rsidR="00D54E9C" w:rsidRPr="001D186C">
        <w:rPr>
          <w:rFonts w:ascii="Times New Roman" w:eastAsia="Times New Roman" w:hAnsi="Times New Roman" w:cs="Times New Roman"/>
          <w:sz w:val="24"/>
          <w:szCs w:val="24"/>
        </w:rPr>
        <w:t>azonalidade</w:t>
      </w:r>
      <w:r w:rsidR="00967AA4" w:rsidRPr="001D186C">
        <w:rPr>
          <w:rFonts w:ascii="Times New Roman" w:eastAsia="Times New Roman" w:hAnsi="Times New Roman" w:cs="Times New Roman"/>
          <w:sz w:val="24"/>
          <w:szCs w:val="24"/>
        </w:rPr>
        <w:t xml:space="preserve"> </w:t>
      </w:r>
      <w:r w:rsidR="00EA36E9" w:rsidRPr="001D186C">
        <w:rPr>
          <w:rFonts w:ascii="Times New Roman" w:eastAsia="Times New Roman" w:hAnsi="Times New Roman" w:cs="Times New Roman"/>
          <w:sz w:val="24"/>
          <w:szCs w:val="24"/>
        </w:rPr>
        <w:t>de volume comercializado de origem de SC</w:t>
      </w:r>
    </w:p>
    <w:p w14:paraId="3B58B9BA" w14:textId="0CD3E2FB" w:rsidR="0003451B" w:rsidRPr="001D186C" w:rsidRDefault="0003451B" w:rsidP="005038DD">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noProof/>
          <w:sz w:val="24"/>
          <w:szCs w:val="24"/>
        </w:rPr>
        <w:drawing>
          <wp:inline distT="0" distB="0" distL="0" distR="0" wp14:anchorId="2653D008" wp14:editId="0BEC8C6D">
            <wp:extent cx="5414010" cy="26765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4010" cy="2676525"/>
                    </a:xfrm>
                    <a:prstGeom prst="rect">
                      <a:avLst/>
                    </a:prstGeom>
                    <a:noFill/>
                  </pic:spPr>
                </pic:pic>
              </a:graphicData>
            </a:graphic>
          </wp:inline>
        </w:drawing>
      </w:r>
    </w:p>
    <w:p w14:paraId="6BC10379" w14:textId="7CEA8AA5" w:rsidR="005038DD" w:rsidRPr="001D186C" w:rsidRDefault="0055358E" w:rsidP="005038DD">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Fonte: </w:t>
      </w:r>
      <w:proofErr w:type="spellStart"/>
      <w:r w:rsidRPr="001D186C">
        <w:rPr>
          <w:rFonts w:ascii="Times New Roman" w:eastAsia="Times New Roman" w:hAnsi="Times New Roman" w:cs="Times New Roman"/>
          <w:sz w:val="24"/>
          <w:szCs w:val="24"/>
        </w:rPr>
        <w:t>Prohort</w:t>
      </w:r>
      <w:proofErr w:type="spellEnd"/>
      <w:r w:rsidRPr="001D186C">
        <w:rPr>
          <w:rFonts w:ascii="Times New Roman" w:eastAsia="Times New Roman" w:hAnsi="Times New Roman" w:cs="Times New Roman"/>
          <w:sz w:val="24"/>
          <w:szCs w:val="24"/>
        </w:rPr>
        <w:t>/Conab, 2024.</w:t>
      </w:r>
    </w:p>
    <w:p w14:paraId="2ED4FFED" w14:textId="77777777" w:rsidR="00E802E1" w:rsidRPr="001D186C" w:rsidRDefault="00E802E1" w:rsidP="005038DD">
      <w:pPr>
        <w:spacing w:after="0" w:line="360" w:lineRule="auto"/>
        <w:jc w:val="both"/>
        <w:rPr>
          <w:rFonts w:ascii="Times New Roman" w:eastAsia="Times New Roman" w:hAnsi="Times New Roman" w:cs="Times New Roman"/>
          <w:sz w:val="24"/>
          <w:szCs w:val="24"/>
        </w:rPr>
      </w:pPr>
    </w:p>
    <w:p w14:paraId="120BAB6F" w14:textId="0A290871" w:rsidR="00E802E1" w:rsidRPr="001D186C" w:rsidRDefault="00E802E1" w:rsidP="00E802E1">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Gráfico 3: Frutas- Índices de sazonalidade de preços de produtos de origem de SC</w:t>
      </w:r>
    </w:p>
    <w:p w14:paraId="10CBDADB" w14:textId="1574F3BD" w:rsidR="0003451B" w:rsidRPr="001D186C" w:rsidRDefault="0003451B" w:rsidP="00E802E1">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noProof/>
          <w:sz w:val="24"/>
          <w:szCs w:val="24"/>
        </w:rPr>
        <w:drawing>
          <wp:inline distT="0" distB="0" distL="0" distR="0" wp14:anchorId="7D2E73A8" wp14:editId="242AB52B">
            <wp:extent cx="5414010" cy="2944495"/>
            <wp:effectExtent l="0" t="0" r="0"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4010" cy="2944495"/>
                    </a:xfrm>
                    <a:prstGeom prst="rect">
                      <a:avLst/>
                    </a:prstGeom>
                    <a:noFill/>
                  </pic:spPr>
                </pic:pic>
              </a:graphicData>
            </a:graphic>
          </wp:inline>
        </w:drawing>
      </w:r>
    </w:p>
    <w:p w14:paraId="2B3BC0C5" w14:textId="77777777" w:rsidR="00E802E1" w:rsidRPr="001D186C" w:rsidRDefault="00E802E1" w:rsidP="00E802E1">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Fonte: </w:t>
      </w:r>
      <w:proofErr w:type="spellStart"/>
      <w:r w:rsidRPr="001D186C">
        <w:rPr>
          <w:rFonts w:ascii="Times New Roman" w:eastAsia="Times New Roman" w:hAnsi="Times New Roman" w:cs="Times New Roman"/>
          <w:sz w:val="24"/>
          <w:szCs w:val="24"/>
        </w:rPr>
        <w:t>Prohort</w:t>
      </w:r>
      <w:proofErr w:type="spellEnd"/>
      <w:r w:rsidRPr="001D186C">
        <w:rPr>
          <w:rFonts w:ascii="Times New Roman" w:eastAsia="Times New Roman" w:hAnsi="Times New Roman" w:cs="Times New Roman"/>
          <w:sz w:val="24"/>
          <w:szCs w:val="24"/>
        </w:rPr>
        <w:t>/Conab, 2024.</w:t>
      </w:r>
    </w:p>
    <w:p w14:paraId="4A95B99C" w14:textId="77777777" w:rsidR="00DF4C68" w:rsidRPr="001D186C" w:rsidRDefault="00DF4C68" w:rsidP="005038DD">
      <w:pPr>
        <w:spacing w:after="0" w:line="360" w:lineRule="auto"/>
        <w:jc w:val="both"/>
        <w:rPr>
          <w:rFonts w:ascii="Times New Roman" w:eastAsia="Times New Roman" w:hAnsi="Times New Roman" w:cs="Times New Roman"/>
          <w:sz w:val="24"/>
          <w:szCs w:val="24"/>
        </w:rPr>
      </w:pPr>
    </w:p>
    <w:p w14:paraId="66AF1F02" w14:textId="77777777" w:rsidR="005038DD" w:rsidRPr="001D186C" w:rsidRDefault="005038DD" w:rsidP="005038DD">
      <w:pPr>
        <w:spacing w:after="0" w:line="360" w:lineRule="auto"/>
        <w:jc w:val="both"/>
        <w:rPr>
          <w:rFonts w:ascii="Times New Roman" w:eastAsia="Times New Roman" w:hAnsi="Times New Roman" w:cs="Times New Roman"/>
          <w:sz w:val="24"/>
          <w:szCs w:val="24"/>
        </w:rPr>
      </w:pPr>
    </w:p>
    <w:p w14:paraId="099B899B" w14:textId="122FDC00" w:rsidR="005038DD" w:rsidRPr="001D186C" w:rsidRDefault="00BF51AE" w:rsidP="00B5338F">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ab/>
        <w:t xml:space="preserve">4.2 </w:t>
      </w:r>
      <w:r w:rsidR="00153E00" w:rsidRPr="001D186C">
        <w:rPr>
          <w:rFonts w:ascii="Times New Roman" w:eastAsia="Times New Roman" w:hAnsi="Times New Roman" w:cs="Times New Roman"/>
          <w:sz w:val="24"/>
          <w:szCs w:val="24"/>
        </w:rPr>
        <w:t xml:space="preserve">Subgrupo- Frutos </w:t>
      </w:r>
    </w:p>
    <w:p w14:paraId="17E2A69B" w14:textId="39BEA97F" w:rsidR="00BF51AE" w:rsidRPr="001D186C" w:rsidRDefault="00BF51AE" w:rsidP="00960E55">
      <w:pPr>
        <w:spacing w:after="0" w:line="360" w:lineRule="auto"/>
        <w:ind w:firstLine="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lastRenderedPageBreak/>
        <w:t>No Brasil, o volume em média que foi comercializado foi de 2.185,54 mil toneladas (PROHORT/CONAB, 2024) de frutos por ano, sendo outubro, agosto e novembro, respectivamente, os meses com maior comercialização desse subgrupo.</w:t>
      </w:r>
      <w:r w:rsidR="00960E55" w:rsidRPr="001D186C">
        <w:rPr>
          <w:rFonts w:ascii="Times New Roman" w:eastAsia="Times New Roman" w:hAnsi="Times New Roman" w:cs="Times New Roman"/>
          <w:sz w:val="24"/>
          <w:szCs w:val="24"/>
        </w:rPr>
        <w:t xml:space="preserve"> </w:t>
      </w:r>
      <w:r w:rsidRPr="001D186C">
        <w:rPr>
          <w:rFonts w:ascii="Times New Roman" w:eastAsia="Times New Roman" w:hAnsi="Times New Roman" w:cs="Times New Roman"/>
          <w:sz w:val="24"/>
          <w:szCs w:val="24"/>
        </w:rPr>
        <w:t>A partir da série de dados pesquisados (PROHORT/CONAB, 2024) foram observados os valores totais negociados de frutos nas centrais de abastecimentos brasileiras chegou no valor de R$9,06 bilhões, em 2019, R$7,18 bilhões, em 2022 e R$7,70 bilhões, em 2023. No comparativo entre 2019 e 2022 houve uma regressão, com a diminuição de R$1,88 bilhões nos valores anuais negociados. A evolução veio apenas no ano de 2023, com um crescimento de R$50 milhões em relação ao ano de 2022.</w:t>
      </w:r>
    </w:p>
    <w:p w14:paraId="6CFE646B" w14:textId="77777777" w:rsidR="00DF4C68" w:rsidRPr="001D186C" w:rsidRDefault="00DF4C68" w:rsidP="00960E55">
      <w:pPr>
        <w:spacing w:after="0" w:line="360" w:lineRule="auto"/>
        <w:ind w:firstLine="720"/>
        <w:jc w:val="both"/>
        <w:rPr>
          <w:rFonts w:ascii="Times New Roman" w:eastAsia="Times New Roman" w:hAnsi="Times New Roman" w:cs="Times New Roman"/>
          <w:sz w:val="24"/>
          <w:szCs w:val="24"/>
        </w:rPr>
      </w:pPr>
    </w:p>
    <w:p w14:paraId="14F48DE4" w14:textId="190A4377" w:rsidR="008D3C3F" w:rsidRPr="001D186C" w:rsidRDefault="008D3C3F" w:rsidP="00E802E1">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Gráfico </w:t>
      </w:r>
      <w:r w:rsidR="00E802E1" w:rsidRPr="001D186C">
        <w:rPr>
          <w:rFonts w:ascii="Times New Roman" w:eastAsia="Times New Roman" w:hAnsi="Times New Roman" w:cs="Times New Roman"/>
          <w:sz w:val="24"/>
          <w:szCs w:val="24"/>
        </w:rPr>
        <w:t>4</w:t>
      </w:r>
      <w:r w:rsidRPr="001D186C">
        <w:rPr>
          <w:rFonts w:ascii="Times New Roman" w:eastAsia="Times New Roman" w:hAnsi="Times New Roman" w:cs="Times New Roman"/>
          <w:sz w:val="24"/>
          <w:szCs w:val="24"/>
        </w:rPr>
        <w:t xml:space="preserve">: </w:t>
      </w:r>
      <w:r w:rsidR="00D31C92" w:rsidRPr="001D186C">
        <w:rPr>
          <w:rFonts w:ascii="Times New Roman" w:eastAsia="Times New Roman" w:hAnsi="Times New Roman" w:cs="Times New Roman"/>
          <w:sz w:val="24"/>
          <w:szCs w:val="24"/>
        </w:rPr>
        <w:t>Quantidade de frutos comercializados (Conab) analisados neste artigo em 2019, 2022 e 2023.</w:t>
      </w:r>
    </w:p>
    <w:p w14:paraId="53C7F0BF" w14:textId="17E61C1C" w:rsidR="00D31C92" w:rsidRPr="001D186C" w:rsidRDefault="00D31C92" w:rsidP="00D31C92">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noProof/>
          <w:sz w:val="24"/>
          <w:szCs w:val="24"/>
        </w:rPr>
        <w:drawing>
          <wp:inline distT="0" distB="0" distL="0" distR="0" wp14:anchorId="560332FD" wp14:editId="16A871D1">
            <wp:extent cx="5400040" cy="2802890"/>
            <wp:effectExtent l="0" t="0" r="0" b="0"/>
            <wp:docPr id="1901153001" name="Imagem 27"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53001" name="Imagem 27" descr="Gráfico, Gráfico de barras&#10;&#10;O conteúdo gerado por IA pode estar incorre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802890"/>
                    </a:xfrm>
                    <a:prstGeom prst="rect">
                      <a:avLst/>
                    </a:prstGeom>
                    <a:noFill/>
                    <a:ln>
                      <a:noFill/>
                    </a:ln>
                  </pic:spPr>
                </pic:pic>
              </a:graphicData>
            </a:graphic>
          </wp:inline>
        </w:drawing>
      </w:r>
    </w:p>
    <w:p w14:paraId="6D1E56FB" w14:textId="47D04761" w:rsidR="00BF51AE" w:rsidRPr="001D186C" w:rsidRDefault="00D31C92" w:rsidP="00BF51AE">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Fonte: Conab</w:t>
      </w:r>
      <w:r w:rsidR="004B7E47" w:rsidRPr="001D186C">
        <w:rPr>
          <w:rFonts w:ascii="Times New Roman" w:eastAsia="Times New Roman" w:hAnsi="Times New Roman" w:cs="Times New Roman"/>
          <w:sz w:val="24"/>
          <w:szCs w:val="24"/>
        </w:rPr>
        <w:t>, 2024.</w:t>
      </w:r>
    </w:p>
    <w:p w14:paraId="765F5966" w14:textId="77777777" w:rsidR="00DF4C68" w:rsidRPr="001D186C" w:rsidRDefault="00DF4C68" w:rsidP="00BF51AE">
      <w:pPr>
        <w:spacing w:after="0" w:line="360" w:lineRule="auto"/>
        <w:jc w:val="both"/>
        <w:rPr>
          <w:rFonts w:ascii="Times New Roman" w:eastAsia="Times New Roman" w:hAnsi="Times New Roman" w:cs="Times New Roman"/>
          <w:sz w:val="24"/>
          <w:szCs w:val="24"/>
        </w:rPr>
      </w:pPr>
    </w:p>
    <w:p w14:paraId="3FFBD0BF" w14:textId="3DA163EA" w:rsidR="00BF51AE" w:rsidRPr="001D186C" w:rsidRDefault="00BF51AE" w:rsidP="00960E55">
      <w:pPr>
        <w:spacing w:after="0" w:line="360" w:lineRule="auto"/>
        <w:ind w:firstLine="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4.2.1 Frutos </w:t>
      </w:r>
      <w:r w:rsidR="00153E00" w:rsidRPr="001D186C">
        <w:rPr>
          <w:rFonts w:ascii="Times New Roman" w:eastAsia="Times New Roman" w:hAnsi="Times New Roman" w:cs="Times New Roman"/>
          <w:sz w:val="24"/>
          <w:szCs w:val="24"/>
        </w:rPr>
        <w:t>c</w:t>
      </w:r>
      <w:r w:rsidRPr="001D186C">
        <w:rPr>
          <w:rFonts w:ascii="Times New Roman" w:eastAsia="Times New Roman" w:hAnsi="Times New Roman" w:cs="Times New Roman"/>
          <w:sz w:val="24"/>
          <w:szCs w:val="24"/>
        </w:rPr>
        <w:t>atarinenses </w:t>
      </w:r>
    </w:p>
    <w:p w14:paraId="3A840914" w14:textId="06A93636" w:rsidR="00BF51AE" w:rsidRPr="001D186C" w:rsidRDefault="00BF51AE" w:rsidP="005C1F2B">
      <w:pPr>
        <w:spacing w:after="0" w:line="360" w:lineRule="auto"/>
        <w:ind w:firstLine="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Na análise dos dados de volume de frutos </w:t>
      </w:r>
      <w:r w:rsidR="005C1F2B" w:rsidRPr="001D186C">
        <w:rPr>
          <w:rFonts w:ascii="Times New Roman" w:eastAsia="Times New Roman" w:hAnsi="Times New Roman" w:cs="Times New Roman"/>
          <w:sz w:val="24"/>
          <w:szCs w:val="24"/>
        </w:rPr>
        <w:t xml:space="preserve">catarinenses </w:t>
      </w:r>
      <w:r w:rsidRPr="001D186C">
        <w:rPr>
          <w:rFonts w:ascii="Times New Roman" w:eastAsia="Times New Roman" w:hAnsi="Times New Roman" w:cs="Times New Roman"/>
          <w:sz w:val="24"/>
          <w:szCs w:val="24"/>
        </w:rPr>
        <w:t xml:space="preserve">comercializados </w:t>
      </w:r>
      <w:r w:rsidR="005C1F2B" w:rsidRPr="001D186C">
        <w:rPr>
          <w:rFonts w:ascii="Times New Roman" w:eastAsia="Times New Roman" w:hAnsi="Times New Roman" w:cs="Times New Roman"/>
          <w:sz w:val="24"/>
          <w:szCs w:val="24"/>
        </w:rPr>
        <w:t>nas principais centrais de abastecimento do país</w:t>
      </w:r>
      <w:r w:rsidRPr="001D186C">
        <w:rPr>
          <w:rFonts w:ascii="Times New Roman" w:eastAsia="Times New Roman" w:hAnsi="Times New Roman" w:cs="Times New Roman"/>
          <w:sz w:val="24"/>
          <w:szCs w:val="24"/>
        </w:rPr>
        <w:t>, com base nas médias mensais dos anos de 2019, 2022 e 2023, pode-se identificar algumas tendências interessantes. Nacionalmente, agosto e outubro se destacam com os maiores volumes de comercialização, atingindo cerca de 189,7 mil toneladas e 193,5 mil toneladas, respectivamente. Em contrapartida, fevereiro apresentou o menor volume de comercialização, com aproximadamente 163,73 mil toneladas, mas com a maior participação catarinense n</w:t>
      </w:r>
      <w:r w:rsidR="005C1F2B" w:rsidRPr="001D186C">
        <w:rPr>
          <w:rFonts w:ascii="Times New Roman" w:eastAsia="Times New Roman" w:hAnsi="Times New Roman" w:cs="Times New Roman"/>
          <w:sz w:val="24"/>
          <w:szCs w:val="24"/>
        </w:rPr>
        <w:t xml:space="preserve">o mercado nacional com 6,57%. </w:t>
      </w:r>
      <w:r w:rsidRPr="001D186C">
        <w:rPr>
          <w:rFonts w:ascii="Times New Roman" w:eastAsia="Times New Roman" w:hAnsi="Times New Roman" w:cs="Times New Roman"/>
          <w:sz w:val="24"/>
          <w:szCs w:val="24"/>
        </w:rPr>
        <w:t xml:space="preserve">Em Santa Catarina, março aparece como o mês de maior volume, com 11,1 mil </w:t>
      </w:r>
      <w:r w:rsidRPr="001D186C">
        <w:rPr>
          <w:rFonts w:ascii="Times New Roman" w:eastAsia="Times New Roman" w:hAnsi="Times New Roman" w:cs="Times New Roman"/>
          <w:sz w:val="24"/>
          <w:szCs w:val="24"/>
        </w:rPr>
        <w:lastRenderedPageBreak/>
        <w:t xml:space="preserve">toneladas, enquanto agosto tem o menor volume, com apenas 740 toneladas. A menor comercialização em agosto pode ser atribuída ao inverno na região. Segundo o Boletim Hortigranjeiro (CONAB, 2024), </w:t>
      </w:r>
      <w:r w:rsidR="00153E00" w:rsidRPr="001D186C">
        <w:rPr>
          <w:rFonts w:ascii="Times New Roman" w:eastAsia="Times New Roman" w:hAnsi="Times New Roman" w:cs="Times New Roman"/>
          <w:sz w:val="24"/>
          <w:szCs w:val="24"/>
        </w:rPr>
        <w:t>em</w:t>
      </w:r>
      <w:r w:rsidRPr="001D186C">
        <w:rPr>
          <w:rFonts w:ascii="Times New Roman" w:eastAsia="Times New Roman" w:hAnsi="Times New Roman" w:cs="Times New Roman"/>
          <w:sz w:val="24"/>
          <w:szCs w:val="24"/>
        </w:rPr>
        <w:t xml:space="preserve"> temperatura</w:t>
      </w:r>
      <w:r w:rsidR="00153E00" w:rsidRPr="001D186C">
        <w:rPr>
          <w:rFonts w:ascii="Times New Roman" w:eastAsia="Times New Roman" w:hAnsi="Times New Roman" w:cs="Times New Roman"/>
          <w:sz w:val="24"/>
          <w:szCs w:val="24"/>
        </w:rPr>
        <w:t>s</w:t>
      </w:r>
      <w:r w:rsidRPr="001D186C">
        <w:rPr>
          <w:rFonts w:ascii="Times New Roman" w:eastAsia="Times New Roman" w:hAnsi="Times New Roman" w:cs="Times New Roman"/>
          <w:sz w:val="24"/>
          <w:szCs w:val="24"/>
        </w:rPr>
        <w:t xml:space="preserve"> amena</w:t>
      </w:r>
      <w:r w:rsidR="00153E00" w:rsidRPr="001D186C">
        <w:rPr>
          <w:rFonts w:ascii="Times New Roman" w:eastAsia="Times New Roman" w:hAnsi="Times New Roman" w:cs="Times New Roman"/>
          <w:sz w:val="24"/>
          <w:szCs w:val="24"/>
        </w:rPr>
        <w:t>s</w:t>
      </w:r>
      <w:r w:rsidRPr="001D186C">
        <w:rPr>
          <w:rFonts w:ascii="Times New Roman" w:eastAsia="Times New Roman" w:hAnsi="Times New Roman" w:cs="Times New Roman"/>
          <w:sz w:val="24"/>
          <w:szCs w:val="24"/>
        </w:rPr>
        <w:t xml:space="preserve"> ou fria</w:t>
      </w:r>
      <w:r w:rsidR="00153E00" w:rsidRPr="001D186C">
        <w:rPr>
          <w:rFonts w:ascii="Times New Roman" w:eastAsia="Times New Roman" w:hAnsi="Times New Roman" w:cs="Times New Roman"/>
          <w:sz w:val="24"/>
          <w:szCs w:val="24"/>
        </w:rPr>
        <w:t>s</w:t>
      </w:r>
      <w:r w:rsidRPr="001D186C">
        <w:rPr>
          <w:rFonts w:ascii="Times New Roman" w:eastAsia="Times New Roman" w:hAnsi="Times New Roman" w:cs="Times New Roman"/>
          <w:sz w:val="24"/>
          <w:szCs w:val="24"/>
        </w:rPr>
        <w:t>, ocorre retenção do fruto e menor oferta</w:t>
      </w:r>
      <w:r w:rsidR="005C1F2B" w:rsidRPr="001D186C">
        <w:rPr>
          <w:rFonts w:ascii="Times New Roman" w:eastAsia="Times New Roman" w:hAnsi="Times New Roman" w:cs="Times New Roman"/>
          <w:sz w:val="24"/>
          <w:szCs w:val="24"/>
        </w:rPr>
        <w:t>.</w:t>
      </w:r>
    </w:p>
    <w:p w14:paraId="42F59A10" w14:textId="77777777" w:rsidR="00DF4C68" w:rsidRPr="001D186C" w:rsidRDefault="00DF4C68" w:rsidP="00960E55">
      <w:pPr>
        <w:spacing w:after="0" w:line="360" w:lineRule="auto"/>
        <w:ind w:firstLine="720"/>
        <w:jc w:val="both"/>
        <w:rPr>
          <w:rFonts w:ascii="Times New Roman" w:eastAsia="Times New Roman" w:hAnsi="Times New Roman" w:cs="Times New Roman"/>
          <w:sz w:val="24"/>
          <w:szCs w:val="24"/>
        </w:rPr>
      </w:pPr>
    </w:p>
    <w:p w14:paraId="3A819E8C" w14:textId="3AECFFF4" w:rsidR="00BF51AE" w:rsidRPr="001D186C" w:rsidRDefault="00960E55" w:rsidP="00960E55">
      <w:pPr>
        <w:spacing w:after="0" w:line="360" w:lineRule="auto"/>
        <w:ind w:firstLine="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4.2.2 </w:t>
      </w:r>
      <w:r w:rsidR="00BF51AE" w:rsidRPr="001D186C">
        <w:rPr>
          <w:rFonts w:ascii="Times New Roman" w:eastAsia="Times New Roman" w:hAnsi="Times New Roman" w:cs="Times New Roman"/>
          <w:sz w:val="24"/>
          <w:szCs w:val="24"/>
        </w:rPr>
        <w:t>Frutos- Sazonalidade (Conab)</w:t>
      </w:r>
    </w:p>
    <w:p w14:paraId="19AC2678" w14:textId="51087A06" w:rsidR="00BF51AE" w:rsidRPr="001D186C" w:rsidRDefault="00BF51AE" w:rsidP="00960E55">
      <w:pPr>
        <w:spacing w:after="0" w:line="360" w:lineRule="auto"/>
        <w:ind w:firstLine="72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A sazonalidade desempenha um papel fundamental no comportamento do volume de comercialização de frutas </w:t>
      </w:r>
      <w:r w:rsidR="005C1F2B" w:rsidRPr="001D186C">
        <w:rPr>
          <w:rFonts w:ascii="Times New Roman" w:eastAsia="Times New Roman" w:hAnsi="Times New Roman" w:cs="Times New Roman"/>
          <w:sz w:val="24"/>
          <w:szCs w:val="24"/>
        </w:rPr>
        <w:t>de</w:t>
      </w:r>
      <w:r w:rsidRPr="001D186C">
        <w:rPr>
          <w:rFonts w:ascii="Times New Roman" w:eastAsia="Times New Roman" w:hAnsi="Times New Roman" w:cs="Times New Roman"/>
          <w:sz w:val="24"/>
          <w:szCs w:val="24"/>
        </w:rPr>
        <w:t xml:space="preserve"> Santa Catarina, refletindo flutuações recorrentes ao longo dos meses do ano. Os coeficientes sazonais mostram picos distintos em fevereiro e março, quando os efeitos sazonais alcançaram v</w:t>
      </w:r>
      <w:r w:rsidR="00E802E1" w:rsidRPr="001D186C">
        <w:rPr>
          <w:rFonts w:ascii="Times New Roman" w:eastAsia="Times New Roman" w:hAnsi="Times New Roman" w:cs="Times New Roman"/>
          <w:sz w:val="24"/>
          <w:szCs w:val="24"/>
        </w:rPr>
        <w:t>olumes</w:t>
      </w:r>
      <w:r w:rsidRPr="001D186C">
        <w:rPr>
          <w:rFonts w:ascii="Times New Roman" w:eastAsia="Times New Roman" w:hAnsi="Times New Roman" w:cs="Times New Roman"/>
          <w:sz w:val="24"/>
          <w:szCs w:val="24"/>
        </w:rPr>
        <w:t xml:space="preserve"> </w:t>
      </w:r>
      <w:r w:rsidR="00EA36E9" w:rsidRPr="001D186C">
        <w:rPr>
          <w:rFonts w:ascii="Times New Roman" w:eastAsia="Times New Roman" w:hAnsi="Times New Roman" w:cs="Times New Roman"/>
          <w:sz w:val="24"/>
          <w:szCs w:val="24"/>
        </w:rPr>
        <w:t>máximos</w:t>
      </w:r>
      <w:r w:rsidRPr="001D186C">
        <w:rPr>
          <w:rFonts w:ascii="Times New Roman" w:eastAsia="Times New Roman" w:hAnsi="Times New Roman" w:cs="Times New Roman"/>
          <w:sz w:val="24"/>
          <w:szCs w:val="24"/>
        </w:rPr>
        <w:t xml:space="preserve"> em 2023, indicando um aumento significativo na comercialização esperada em relação à tendência linear nesses meses. Por outro lado, meses como agosto e setembro historicamente apresenta</w:t>
      </w:r>
      <w:r w:rsidR="00EA36E9" w:rsidRPr="001D186C">
        <w:rPr>
          <w:rFonts w:ascii="Times New Roman" w:eastAsia="Times New Roman" w:hAnsi="Times New Roman" w:cs="Times New Roman"/>
          <w:sz w:val="24"/>
          <w:szCs w:val="24"/>
        </w:rPr>
        <w:t>m coeficientes sazonais baixos</w:t>
      </w:r>
      <w:r w:rsidRPr="001D186C">
        <w:rPr>
          <w:rFonts w:ascii="Times New Roman" w:eastAsia="Times New Roman" w:hAnsi="Times New Roman" w:cs="Times New Roman"/>
          <w:sz w:val="24"/>
          <w:szCs w:val="24"/>
        </w:rPr>
        <w:t>, revelando uma queda natural no volume de comercialização durante esses períodos. Essa variação sazonal está ligada a ciclos climáticos e características específicas das culturas, influenciando o planejamento agrícola e a logística de distribuição. A consistência desses padrões entre 2019, 2022 e 2023 ressalta a previsibilidade sazonal, mas também aponta para a necessidade de estratégias para mitigar os efeitos das quedas sazonais e otimizar a comercialização durante os meses de pico.</w:t>
      </w:r>
    </w:p>
    <w:p w14:paraId="7C31CBB5" w14:textId="77777777" w:rsidR="00EA36E9" w:rsidRPr="001D186C" w:rsidRDefault="00EA36E9" w:rsidP="00960E55">
      <w:pPr>
        <w:spacing w:after="0" w:line="360" w:lineRule="auto"/>
        <w:ind w:firstLine="720"/>
        <w:jc w:val="both"/>
        <w:rPr>
          <w:rFonts w:ascii="Times New Roman" w:eastAsia="Times New Roman" w:hAnsi="Times New Roman" w:cs="Times New Roman"/>
          <w:sz w:val="24"/>
          <w:szCs w:val="24"/>
        </w:rPr>
      </w:pPr>
    </w:p>
    <w:p w14:paraId="4E847E34" w14:textId="3AA6A9E1" w:rsidR="00EC42C6" w:rsidRPr="001D186C" w:rsidRDefault="00EC42C6" w:rsidP="00EC42C6">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Gráfico </w:t>
      </w:r>
      <w:r w:rsidR="00E802E1" w:rsidRPr="001D186C">
        <w:rPr>
          <w:rFonts w:ascii="Times New Roman" w:eastAsia="Times New Roman" w:hAnsi="Times New Roman" w:cs="Times New Roman"/>
          <w:sz w:val="24"/>
          <w:szCs w:val="24"/>
        </w:rPr>
        <w:t>5</w:t>
      </w:r>
      <w:r w:rsidRPr="001D186C">
        <w:rPr>
          <w:rFonts w:ascii="Times New Roman" w:eastAsia="Times New Roman" w:hAnsi="Times New Roman" w:cs="Times New Roman"/>
          <w:sz w:val="24"/>
          <w:szCs w:val="24"/>
        </w:rPr>
        <w:t xml:space="preserve">: Frutos- </w:t>
      </w:r>
      <w:r w:rsidR="00EA36E9" w:rsidRPr="001D186C">
        <w:rPr>
          <w:rFonts w:ascii="Times New Roman" w:eastAsia="Times New Roman" w:hAnsi="Times New Roman" w:cs="Times New Roman"/>
          <w:sz w:val="24"/>
          <w:szCs w:val="24"/>
        </w:rPr>
        <w:t>Índices de sazonalidade de volume comercializado de origem de SC</w:t>
      </w:r>
    </w:p>
    <w:p w14:paraId="55EB7C2D" w14:textId="3DF43655" w:rsidR="0003451B" w:rsidRPr="001D186C" w:rsidRDefault="0003451B" w:rsidP="00EC42C6">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noProof/>
          <w:sz w:val="24"/>
          <w:szCs w:val="24"/>
        </w:rPr>
        <w:drawing>
          <wp:inline distT="0" distB="0" distL="0" distR="0" wp14:anchorId="2E2717A1" wp14:editId="37D33DBC">
            <wp:extent cx="5414010" cy="30175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4010" cy="3017520"/>
                    </a:xfrm>
                    <a:prstGeom prst="rect">
                      <a:avLst/>
                    </a:prstGeom>
                    <a:noFill/>
                  </pic:spPr>
                </pic:pic>
              </a:graphicData>
            </a:graphic>
          </wp:inline>
        </w:drawing>
      </w:r>
    </w:p>
    <w:p w14:paraId="57524A17" w14:textId="77777777" w:rsidR="002F295A" w:rsidRPr="001D186C" w:rsidRDefault="002F295A" w:rsidP="002F295A">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Fonte: </w:t>
      </w:r>
      <w:proofErr w:type="spellStart"/>
      <w:r w:rsidRPr="001D186C">
        <w:rPr>
          <w:rFonts w:ascii="Times New Roman" w:eastAsia="Times New Roman" w:hAnsi="Times New Roman" w:cs="Times New Roman"/>
          <w:sz w:val="24"/>
          <w:szCs w:val="24"/>
        </w:rPr>
        <w:t>Prohort</w:t>
      </w:r>
      <w:proofErr w:type="spellEnd"/>
      <w:r w:rsidRPr="001D186C">
        <w:rPr>
          <w:rFonts w:ascii="Times New Roman" w:eastAsia="Times New Roman" w:hAnsi="Times New Roman" w:cs="Times New Roman"/>
          <w:sz w:val="24"/>
          <w:szCs w:val="24"/>
        </w:rPr>
        <w:t>/Conab, 2024.</w:t>
      </w:r>
    </w:p>
    <w:p w14:paraId="45C54080" w14:textId="77777777" w:rsidR="003E1EE2" w:rsidRPr="001D186C" w:rsidRDefault="003E1EE2" w:rsidP="00960E55">
      <w:pPr>
        <w:spacing w:after="0" w:line="360" w:lineRule="auto"/>
        <w:ind w:firstLine="720"/>
        <w:jc w:val="both"/>
        <w:rPr>
          <w:rFonts w:ascii="Times New Roman" w:eastAsia="Times New Roman" w:hAnsi="Times New Roman" w:cs="Times New Roman"/>
          <w:sz w:val="24"/>
          <w:szCs w:val="24"/>
        </w:rPr>
      </w:pPr>
    </w:p>
    <w:p w14:paraId="64601724" w14:textId="112B14D9" w:rsidR="00E802E1" w:rsidRPr="001D186C" w:rsidRDefault="00E802E1" w:rsidP="00E802E1">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Gráfico 6: Frutos- Índices de sazonalidade de preços de produtos de origem de SC</w:t>
      </w:r>
    </w:p>
    <w:p w14:paraId="39137084" w14:textId="1B069E8D" w:rsidR="0003451B" w:rsidRPr="001D186C" w:rsidRDefault="0003451B" w:rsidP="00E802E1">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noProof/>
          <w:sz w:val="24"/>
          <w:szCs w:val="24"/>
        </w:rPr>
        <w:drawing>
          <wp:inline distT="0" distB="0" distL="0" distR="0" wp14:anchorId="54516930" wp14:editId="021281B5">
            <wp:extent cx="5414010" cy="2944495"/>
            <wp:effectExtent l="0" t="0" r="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4010" cy="2944495"/>
                    </a:xfrm>
                    <a:prstGeom prst="rect">
                      <a:avLst/>
                    </a:prstGeom>
                    <a:noFill/>
                  </pic:spPr>
                </pic:pic>
              </a:graphicData>
            </a:graphic>
          </wp:inline>
        </w:drawing>
      </w:r>
    </w:p>
    <w:p w14:paraId="129399F7" w14:textId="77777777" w:rsidR="00E802E1" w:rsidRPr="001D186C" w:rsidRDefault="00E802E1" w:rsidP="00E802E1">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Fonte: </w:t>
      </w:r>
      <w:proofErr w:type="spellStart"/>
      <w:r w:rsidRPr="001D186C">
        <w:rPr>
          <w:rFonts w:ascii="Times New Roman" w:eastAsia="Times New Roman" w:hAnsi="Times New Roman" w:cs="Times New Roman"/>
          <w:sz w:val="24"/>
          <w:szCs w:val="24"/>
        </w:rPr>
        <w:t>Prohort</w:t>
      </w:r>
      <w:proofErr w:type="spellEnd"/>
      <w:r w:rsidRPr="001D186C">
        <w:rPr>
          <w:rFonts w:ascii="Times New Roman" w:eastAsia="Times New Roman" w:hAnsi="Times New Roman" w:cs="Times New Roman"/>
          <w:sz w:val="24"/>
          <w:szCs w:val="24"/>
        </w:rPr>
        <w:t>/Conab, 2024.</w:t>
      </w:r>
    </w:p>
    <w:p w14:paraId="5E3F7282" w14:textId="77777777" w:rsidR="00E802E1" w:rsidRPr="001D186C" w:rsidRDefault="00E802E1" w:rsidP="00960E55">
      <w:pPr>
        <w:spacing w:after="0" w:line="360" w:lineRule="auto"/>
        <w:ind w:firstLine="720"/>
        <w:jc w:val="both"/>
        <w:rPr>
          <w:rFonts w:ascii="Times New Roman" w:eastAsia="Times New Roman" w:hAnsi="Times New Roman" w:cs="Times New Roman"/>
          <w:sz w:val="24"/>
          <w:szCs w:val="24"/>
        </w:rPr>
      </w:pPr>
    </w:p>
    <w:p w14:paraId="66C6013E" w14:textId="2278B106" w:rsidR="00BF51AE" w:rsidRPr="001D186C" w:rsidRDefault="00BF51AE" w:rsidP="00B5338F">
      <w:pPr>
        <w:spacing w:after="0" w:line="360" w:lineRule="auto"/>
        <w:jc w:val="both"/>
        <w:rPr>
          <w:rFonts w:ascii="Times New Roman" w:eastAsia="Times New Roman" w:hAnsi="Times New Roman" w:cs="Times New Roman"/>
          <w:sz w:val="24"/>
          <w:szCs w:val="24"/>
        </w:rPr>
      </w:pPr>
    </w:p>
    <w:p w14:paraId="2FA6BC69" w14:textId="35BA330D" w:rsidR="00BF51AE" w:rsidRPr="001D186C" w:rsidRDefault="00BF51AE" w:rsidP="00B5338F">
      <w:pPr>
        <w:spacing w:after="0" w:line="360" w:lineRule="auto"/>
        <w:jc w:val="both"/>
        <w:rPr>
          <w:rFonts w:ascii="Times New Roman" w:eastAsia="Times New Roman" w:hAnsi="Times New Roman" w:cs="Times New Roman"/>
          <w:b/>
          <w:bCs/>
          <w:sz w:val="24"/>
          <w:szCs w:val="24"/>
        </w:rPr>
      </w:pPr>
      <w:r w:rsidRPr="001D186C">
        <w:rPr>
          <w:rFonts w:ascii="Times New Roman" w:eastAsia="Times New Roman" w:hAnsi="Times New Roman" w:cs="Times New Roman"/>
          <w:b/>
          <w:bCs/>
          <w:sz w:val="24"/>
          <w:szCs w:val="24"/>
        </w:rPr>
        <w:t xml:space="preserve">5. DISCUSSÃO </w:t>
      </w:r>
    </w:p>
    <w:p w14:paraId="4B99A239" w14:textId="17CAE249" w:rsidR="00960E55" w:rsidRPr="001D186C" w:rsidRDefault="00E5171A" w:rsidP="00960E55">
      <w:pPr>
        <w:spacing w:after="0" w:line="360" w:lineRule="auto"/>
        <w:ind w:firstLine="36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Santa Catarina é uma região propensa a eventos climáticos extremos, </w:t>
      </w:r>
      <w:r w:rsidR="0006219B" w:rsidRPr="001D186C">
        <w:rPr>
          <w:rFonts w:ascii="Times New Roman" w:eastAsia="Times New Roman" w:hAnsi="Times New Roman" w:cs="Times New Roman"/>
          <w:sz w:val="24"/>
          <w:szCs w:val="24"/>
        </w:rPr>
        <w:t>com estiagem e granizo</w:t>
      </w:r>
      <w:r w:rsidRPr="001D186C">
        <w:rPr>
          <w:rFonts w:ascii="Times New Roman" w:eastAsia="Times New Roman" w:hAnsi="Times New Roman" w:cs="Times New Roman"/>
          <w:sz w:val="24"/>
          <w:szCs w:val="24"/>
        </w:rPr>
        <w:t xml:space="preserve">, que afetam a agricultura do estado. Segundo os dados da Conab, em 2024, em 2023, a comercialização </w:t>
      </w:r>
      <w:r w:rsidR="0006219B" w:rsidRPr="001D186C">
        <w:rPr>
          <w:rFonts w:ascii="Times New Roman" w:eastAsia="Times New Roman" w:hAnsi="Times New Roman" w:cs="Times New Roman"/>
          <w:sz w:val="24"/>
          <w:szCs w:val="24"/>
        </w:rPr>
        <w:t xml:space="preserve">do subgrupo Frutas (FRT) </w:t>
      </w:r>
      <w:r w:rsidRPr="001D186C">
        <w:rPr>
          <w:rFonts w:ascii="Times New Roman" w:eastAsia="Times New Roman" w:hAnsi="Times New Roman" w:cs="Times New Roman"/>
          <w:sz w:val="24"/>
          <w:szCs w:val="24"/>
        </w:rPr>
        <w:t>foi de 50,75 mil toneladas a menos do que em 2019, representando uma queda de 15,88%. As geadas e o frio intenso em 2020 e 2021 causaram danos significativos às lavouras e pomares, e o que explica uma certa parte a dificuldade do estado em conseguir retomar a mesma quantidade da comercialização nos anos anteriores.</w:t>
      </w:r>
    </w:p>
    <w:p w14:paraId="7817F494" w14:textId="449796EE" w:rsidR="00E5171A" w:rsidRPr="001D186C" w:rsidRDefault="00E5171A" w:rsidP="00960E55">
      <w:pPr>
        <w:spacing w:after="0" w:line="360" w:lineRule="auto"/>
        <w:ind w:firstLine="36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Em contrapartida, a comercialização do subgrupo de frutos (FTO) aumentou 33,24% entre 2019 e 2023. Apesar dos desafios causados pela crise climática, os frutos demonstraram maior resiliência, resultando em uma recuperação mais rápida da comercialização. Em 2023, Santa Catarina atingiu um total de 14,77 mil toneladas a mais do que em 2019.</w:t>
      </w:r>
    </w:p>
    <w:p w14:paraId="6FD31D6B" w14:textId="111C826B" w:rsidR="0006219B" w:rsidRPr="001D186C" w:rsidRDefault="0006219B" w:rsidP="00960E55">
      <w:pPr>
        <w:spacing w:after="0" w:line="360" w:lineRule="auto"/>
        <w:ind w:firstLine="36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A combinação de eventos climáticos recorrentes impediu Santa Catarina de recuperar os níveis de comercialização de frutas de 2019. A análise dos dados revela que a comercialização brasileira apresentou um aumento no volume comercializado nas centrais de abastecimento, nos subgrupos de fruta (FRT) e fruto (FTO) entre 2022 e 2023. </w:t>
      </w:r>
      <w:r w:rsidRPr="001D186C">
        <w:rPr>
          <w:rFonts w:ascii="Times New Roman" w:eastAsia="Times New Roman" w:hAnsi="Times New Roman" w:cs="Times New Roman"/>
          <w:sz w:val="24"/>
          <w:szCs w:val="24"/>
        </w:rPr>
        <w:lastRenderedPageBreak/>
        <w:t>Contudo, esse crescimento não foi suficiente para alcançar o nível de comercialização de 2019.</w:t>
      </w:r>
    </w:p>
    <w:p w14:paraId="6B74F512" w14:textId="77777777" w:rsidR="008C67D6" w:rsidRPr="001D186C" w:rsidRDefault="008C67D6" w:rsidP="00E5171A">
      <w:pPr>
        <w:spacing w:after="0" w:line="360" w:lineRule="auto"/>
        <w:jc w:val="both"/>
        <w:rPr>
          <w:rFonts w:ascii="Times New Roman" w:eastAsia="Times New Roman" w:hAnsi="Times New Roman" w:cs="Times New Roman"/>
          <w:sz w:val="24"/>
          <w:szCs w:val="24"/>
        </w:rPr>
      </w:pPr>
    </w:p>
    <w:p w14:paraId="4A0EC874" w14:textId="412B9651" w:rsidR="00E5171A" w:rsidRPr="001D186C" w:rsidRDefault="00712FC1" w:rsidP="00E5171A">
      <w:pPr>
        <w:pStyle w:val="PargrafodaLista"/>
        <w:numPr>
          <w:ilvl w:val="0"/>
          <w:numId w:val="2"/>
        </w:numPr>
        <w:spacing w:after="0" w:line="360" w:lineRule="auto"/>
        <w:jc w:val="both"/>
        <w:rPr>
          <w:rFonts w:ascii="Times New Roman" w:eastAsia="Times New Roman" w:hAnsi="Times New Roman" w:cs="Times New Roman"/>
          <w:b/>
          <w:bCs/>
          <w:sz w:val="24"/>
          <w:szCs w:val="24"/>
        </w:rPr>
      </w:pPr>
      <w:r w:rsidRPr="001D186C">
        <w:rPr>
          <w:rFonts w:ascii="Times New Roman" w:eastAsia="Times New Roman" w:hAnsi="Times New Roman" w:cs="Times New Roman"/>
          <w:b/>
          <w:bCs/>
          <w:sz w:val="24"/>
          <w:szCs w:val="24"/>
        </w:rPr>
        <w:t>CONCLUSÃO</w:t>
      </w:r>
    </w:p>
    <w:p w14:paraId="125FBE10" w14:textId="3DC433E3" w:rsidR="0006219B" w:rsidRPr="001D186C" w:rsidRDefault="0006219B" w:rsidP="00960E55">
      <w:pPr>
        <w:spacing w:after="0" w:line="360" w:lineRule="auto"/>
        <w:ind w:firstLine="36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Com a recorrência de eventos climáticos no Sul do país oriundos do fenômeno “La </w:t>
      </w:r>
      <w:proofErr w:type="spellStart"/>
      <w:r w:rsidRPr="001D186C">
        <w:rPr>
          <w:rFonts w:ascii="Times New Roman" w:eastAsia="Times New Roman" w:hAnsi="Times New Roman" w:cs="Times New Roman"/>
          <w:sz w:val="24"/>
          <w:szCs w:val="24"/>
        </w:rPr>
        <w:t>Niña</w:t>
      </w:r>
      <w:proofErr w:type="spellEnd"/>
      <w:r w:rsidRPr="001D186C">
        <w:rPr>
          <w:rFonts w:ascii="Times New Roman" w:eastAsia="Times New Roman" w:hAnsi="Times New Roman" w:cs="Times New Roman"/>
          <w:sz w:val="24"/>
          <w:szCs w:val="24"/>
        </w:rPr>
        <w:t xml:space="preserve">”, nos últimos anos o Estado catarinense </w:t>
      </w:r>
      <w:r w:rsidR="00E5171A" w:rsidRPr="001D186C">
        <w:rPr>
          <w:rFonts w:ascii="Times New Roman" w:eastAsia="Times New Roman" w:hAnsi="Times New Roman" w:cs="Times New Roman"/>
          <w:sz w:val="24"/>
          <w:szCs w:val="24"/>
        </w:rPr>
        <w:t>continua enfrentando uma diminuição no volume de comercialização, ao contrário da tendência nacional, que mostra sinais de recuperação gradual.</w:t>
      </w:r>
    </w:p>
    <w:p w14:paraId="3794F87B" w14:textId="241F0942" w:rsidR="00E5171A" w:rsidRPr="001D186C" w:rsidRDefault="00E5171A" w:rsidP="00960E55">
      <w:pPr>
        <w:spacing w:after="0" w:line="360" w:lineRule="auto"/>
        <w:ind w:firstLine="36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Ao observar o comportamento dos produtos de origem catarinense e sua comercialização nas diversas centrais de abastecimento, percebe-se uma redução contínua no volume entre os anos. Isso sugere a necessidade de novas adequações e políticas para ajudar os produtores a se ajustarem ao mercado de hortifrutis e retomarem o ritmo da comercialização nacional.</w:t>
      </w:r>
      <w:r w:rsidR="00960E55" w:rsidRPr="001D186C">
        <w:rPr>
          <w:rFonts w:ascii="Times New Roman" w:eastAsia="Times New Roman" w:hAnsi="Times New Roman" w:cs="Times New Roman"/>
          <w:sz w:val="24"/>
          <w:szCs w:val="24"/>
        </w:rPr>
        <w:t xml:space="preserve"> </w:t>
      </w:r>
      <w:r w:rsidRPr="001D186C">
        <w:rPr>
          <w:rFonts w:ascii="Times New Roman" w:eastAsia="Times New Roman" w:hAnsi="Times New Roman" w:cs="Times New Roman"/>
          <w:sz w:val="24"/>
          <w:szCs w:val="24"/>
        </w:rPr>
        <w:t xml:space="preserve">As centrais de abastecimento são essenciais para a comercialização de frutas e hortaliças, garantindo acesso a alimentos frescos e </w:t>
      </w:r>
      <w:r w:rsidR="0006219B" w:rsidRPr="001D186C">
        <w:rPr>
          <w:rFonts w:ascii="Times New Roman" w:eastAsia="Times New Roman" w:hAnsi="Times New Roman" w:cs="Times New Roman"/>
          <w:sz w:val="24"/>
          <w:szCs w:val="24"/>
        </w:rPr>
        <w:t>variados.</w:t>
      </w:r>
      <w:r w:rsidRPr="001D186C">
        <w:rPr>
          <w:rFonts w:ascii="Times New Roman" w:eastAsia="Times New Roman" w:hAnsi="Times New Roman" w:cs="Times New Roman"/>
          <w:sz w:val="24"/>
          <w:szCs w:val="24"/>
        </w:rPr>
        <w:t xml:space="preserve"> A análise de dados revela variações sazonais e regionais na oferta e demanda ao longo do ano, informações </w:t>
      </w:r>
      <w:r w:rsidR="00800783" w:rsidRPr="001D186C">
        <w:rPr>
          <w:rFonts w:ascii="Times New Roman" w:eastAsia="Times New Roman" w:hAnsi="Times New Roman" w:cs="Times New Roman"/>
          <w:sz w:val="24"/>
          <w:szCs w:val="24"/>
        </w:rPr>
        <w:t xml:space="preserve">fundamentais </w:t>
      </w:r>
      <w:r w:rsidRPr="001D186C">
        <w:rPr>
          <w:rFonts w:ascii="Times New Roman" w:eastAsia="Times New Roman" w:hAnsi="Times New Roman" w:cs="Times New Roman"/>
          <w:sz w:val="24"/>
          <w:szCs w:val="24"/>
        </w:rPr>
        <w:t>para aprimorar a logística e distribuição dos produtos. Ao analisar esses dados, verifica-se a necessidade de adotar novas estratégias para continuar atendendo a população com hortifruti de forma que garanta a segurança alimentar nutricional. É fundamental que esses alimentos permaneçam acessíveis tanto em disponibilidade quanto em preço para os consumidores, e rentáveis para os produtores.</w:t>
      </w:r>
    </w:p>
    <w:p w14:paraId="690D4BB1" w14:textId="464E279D" w:rsidR="00E5171A" w:rsidRPr="001D186C" w:rsidRDefault="00E5171A" w:rsidP="00960E55">
      <w:pPr>
        <w:spacing w:after="0" w:line="360" w:lineRule="auto"/>
        <w:ind w:firstLine="360"/>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A inclusão de frutas e hortaliças orgânicas nas </w:t>
      </w:r>
      <w:r w:rsidR="00D62B27" w:rsidRPr="001D186C">
        <w:rPr>
          <w:rFonts w:ascii="Times New Roman" w:eastAsia="Times New Roman" w:hAnsi="Times New Roman" w:cs="Times New Roman"/>
          <w:sz w:val="24"/>
          <w:szCs w:val="24"/>
        </w:rPr>
        <w:t>centrais de abastecimento</w:t>
      </w:r>
      <w:r w:rsidRPr="001D186C">
        <w:rPr>
          <w:rFonts w:ascii="Times New Roman" w:eastAsia="Times New Roman" w:hAnsi="Times New Roman" w:cs="Times New Roman"/>
          <w:sz w:val="24"/>
          <w:szCs w:val="24"/>
        </w:rPr>
        <w:t xml:space="preserve"> pode atender à crescente demanda por alimentos saudáveis e sustentáveis, beneficiando consumidores e produtores. Integrar esses produtos fortalece a cadeia de abastecimento e promove a segurança alimentar nutricional.</w:t>
      </w:r>
    </w:p>
    <w:p w14:paraId="2CC279CE" w14:textId="77777777" w:rsidR="00E5171A" w:rsidRPr="001D186C" w:rsidRDefault="00E5171A" w:rsidP="00B5338F">
      <w:pPr>
        <w:spacing w:after="0" w:line="360" w:lineRule="auto"/>
        <w:jc w:val="both"/>
        <w:rPr>
          <w:rFonts w:ascii="Times New Roman" w:eastAsia="Times New Roman" w:hAnsi="Times New Roman" w:cs="Times New Roman"/>
          <w:b/>
          <w:bCs/>
          <w:sz w:val="24"/>
          <w:szCs w:val="24"/>
        </w:rPr>
      </w:pPr>
    </w:p>
    <w:p w14:paraId="2492BF9D" w14:textId="77777777" w:rsidR="000C69C2" w:rsidRPr="001D186C" w:rsidRDefault="00E75D6C">
      <w:pPr>
        <w:spacing w:after="0" w:line="360" w:lineRule="auto"/>
        <w:jc w:val="both"/>
        <w:rPr>
          <w:rFonts w:ascii="Times New Roman" w:eastAsia="Times New Roman" w:hAnsi="Times New Roman" w:cs="Times New Roman"/>
          <w:b/>
          <w:sz w:val="24"/>
          <w:szCs w:val="24"/>
        </w:rPr>
      </w:pPr>
      <w:r w:rsidRPr="001D186C">
        <w:rPr>
          <w:rFonts w:ascii="Times New Roman" w:eastAsia="Times New Roman" w:hAnsi="Times New Roman" w:cs="Times New Roman"/>
          <w:b/>
          <w:sz w:val="24"/>
          <w:szCs w:val="24"/>
        </w:rPr>
        <w:t xml:space="preserve">REFERÊNCIAS </w:t>
      </w:r>
    </w:p>
    <w:p w14:paraId="16586DE1" w14:textId="77777777" w:rsidR="004C2020" w:rsidRPr="001D186C" w:rsidRDefault="004C2020">
      <w:pPr>
        <w:spacing w:after="0" w:line="360" w:lineRule="auto"/>
        <w:jc w:val="both"/>
        <w:rPr>
          <w:rFonts w:ascii="Times New Roman" w:eastAsia="Times New Roman" w:hAnsi="Times New Roman" w:cs="Times New Roman"/>
          <w:sz w:val="24"/>
          <w:szCs w:val="24"/>
        </w:rPr>
      </w:pPr>
    </w:p>
    <w:p w14:paraId="1733FD81" w14:textId="330234FF" w:rsidR="004C2020" w:rsidRPr="001D186C" w:rsidRDefault="00AE65B2" w:rsidP="00AE65B2">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BELIK W. e CUNHA, A.R.A de A.</w:t>
      </w:r>
      <w:r w:rsidRPr="001D186C">
        <w:rPr>
          <w:rFonts w:ascii="Times New Roman" w:eastAsia="Times New Roman" w:hAnsi="Times New Roman" w:cs="Times New Roman"/>
          <w:b/>
          <w:sz w:val="24"/>
          <w:szCs w:val="24"/>
        </w:rPr>
        <w:t xml:space="preserve"> “</w:t>
      </w:r>
      <w:r w:rsidRPr="001D186C">
        <w:rPr>
          <w:rFonts w:ascii="Times New Roman" w:eastAsia="Times New Roman" w:hAnsi="Times New Roman" w:cs="Times New Roman"/>
          <w:sz w:val="24"/>
          <w:szCs w:val="24"/>
        </w:rPr>
        <w:t>Abastecimento no Brasil: o desafio de alimentar as cidades e promover o Desenvolvimento Rural</w:t>
      </w:r>
      <w:r w:rsidRPr="001D186C">
        <w:rPr>
          <w:rFonts w:ascii="Times New Roman" w:eastAsia="Times New Roman" w:hAnsi="Times New Roman" w:cs="Times New Roman"/>
          <w:b/>
          <w:sz w:val="24"/>
          <w:szCs w:val="24"/>
        </w:rPr>
        <w:t xml:space="preserve">”. </w:t>
      </w:r>
      <w:r w:rsidRPr="001D186C">
        <w:rPr>
          <w:rFonts w:ascii="Times New Roman" w:eastAsia="Times New Roman" w:hAnsi="Times New Roman" w:cs="Times New Roman"/>
          <w:sz w:val="24"/>
          <w:szCs w:val="24"/>
        </w:rPr>
        <w:t>In: GRISA, K. e SCHNEIDER, S.</w:t>
      </w:r>
      <w:r w:rsidRPr="001D186C">
        <w:rPr>
          <w:rFonts w:ascii="Times New Roman" w:eastAsia="Times New Roman" w:hAnsi="Times New Roman" w:cs="Times New Roman"/>
          <w:b/>
          <w:sz w:val="24"/>
          <w:szCs w:val="24"/>
        </w:rPr>
        <w:t xml:space="preserve"> Políticas públicas de desenvolvimento rural no Brasil. </w:t>
      </w:r>
      <w:r w:rsidRPr="001D186C">
        <w:rPr>
          <w:rFonts w:ascii="Times New Roman" w:eastAsia="Times New Roman" w:hAnsi="Times New Roman" w:cs="Times New Roman"/>
          <w:sz w:val="24"/>
          <w:szCs w:val="24"/>
        </w:rPr>
        <w:t>Porto Alegre: Ed. UFRGS, 2015</w:t>
      </w:r>
      <w:r w:rsidR="001D186C">
        <w:rPr>
          <w:rFonts w:ascii="Times New Roman" w:eastAsia="Times New Roman" w:hAnsi="Times New Roman" w:cs="Times New Roman"/>
          <w:sz w:val="24"/>
          <w:szCs w:val="24"/>
        </w:rPr>
        <w:t>.</w:t>
      </w:r>
    </w:p>
    <w:p w14:paraId="3C51FA13" w14:textId="401B20FB" w:rsidR="0012558B" w:rsidRPr="001D186C" w:rsidRDefault="0012558B" w:rsidP="00F03DE5">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BRASIL. Ministério da Saúde</w:t>
      </w:r>
      <w:r w:rsidRPr="001D186C">
        <w:rPr>
          <w:rFonts w:ascii="Times New Roman" w:eastAsia="Times New Roman" w:hAnsi="Times New Roman" w:cs="Times New Roman"/>
          <w:b/>
          <w:bCs/>
          <w:sz w:val="24"/>
          <w:szCs w:val="24"/>
        </w:rPr>
        <w:t>. Guia alimentar para a população brasileira. Brasília: Ministério da Saúde,</w:t>
      </w:r>
      <w:r w:rsidRPr="001D186C">
        <w:rPr>
          <w:rFonts w:ascii="Times New Roman" w:eastAsia="Times New Roman" w:hAnsi="Times New Roman" w:cs="Times New Roman"/>
          <w:sz w:val="24"/>
          <w:szCs w:val="24"/>
        </w:rPr>
        <w:t xml:space="preserve"> 2006</w:t>
      </w:r>
      <w:r w:rsidR="001D186C">
        <w:rPr>
          <w:rFonts w:ascii="Times New Roman" w:eastAsia="Times New Roman" w:hAnsi="Times New Roman" w:cs="Times New Roman"/>
          <w:sz w:val="24"/>
          <w:szCs w:val="24"/>
        </w:rPr>
        <w:t>.</w:t>
      </w:r>
    </w:p>
    <w:p w14:paraId="2FF38DE2" w14:textId="40788E7F" w:rsidR="0012558B" w:rsidRPr="001D186C" w:rsidRDefault="0012558B" w:rsidP="00F03DE5">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lastRenderedPageBreak/>
        <w:t>CONAB. PROGRAMA BRASILEIRO DE MODERNIZAÇÃO DO MERCADO HORTIGRANJEIRO (</w:t>
      </w:r>
      <w:proofErr w:type="spellStart"/>
      <w:r w:rsidRPr="001D186C">
        <w:rPr>
          <w:rFonts w:ascii="Times New Roman" w:eastAsia="Times New Roman" w:hAnsi="Times New Roman" w:cs="Times New Roman"/>
          <w:sz w:val="24"/>
          <w:szCs w:val="24"/>
        </w:rPr>
        <w:t>Prohort</w:t>
      </w:r>
      <w:proofErr w:type="spellEnd"/>
      <w:r w:rsidRPr="001D186C">
        <w:rPr>
          <w:rFonts w:ascii="Times New Roman" w:eastAsia="Times New Roman" w:hAnsi="Times New Roman" w:cs="Times New Roman"/>
          <w:sz w:val="24"/>
          <w:szCs w:val="24"/>
        </w:rPr>
        <w:t xml:space="preserve">). </w:t>
      </w:r>
      <w:r w:rsidRPr="001D186C">
        <w:rPr>
          <w:rFonts w:ascii="Times New Roman" w:eastAsia="Times New Roman" w:hAnsi="Times New Roman" w:cs="Times New Roman"/>
          <w:b/>
          <w:bCs/>
          <w:sz w:val="24"/>
          <w:szCs w:val="24"/>
        </w:rPr>
        <w:t>SIMAB – Sistema de informações de mercado de abastecimento do Brasil (2019, 2022 e 2023).</w:t>
      </w:r>
      <w:r w:rsidRPr="001D186C">
        <w:rPr>
          <w:rFonts w:ascii="Times New Roman" w:eastAsia="Times New Roman" w:hAnsi="Times New Roman" w:cs="Times New Roman"/>
          <w:sz w:val="24"/>
          <w:szCs w:val="24"/>
        </w:rPr>
        <w:t xml:space="preserve"> Disponível em: &lt;https:// </w:t>
      </w:r>
      <w:hyperlink r:id="rId12" w:history="1">
        <w:r w:rsidRPr="001D186C">
          <w:rPr>
            <w:rFonts w:ascii="Times New Roman" w:hAnsi="Times New Roman" w:cs="Times New Roman"/>
            <w:sz w:val="24"/>
            <w:szCs w:val="24"/>
          </w:rPr>
          <w:t>https://www.conab.gov.br/info-agro/hortigranjeiros-prohort</w:t>
        </w:r>
      </w:hyperlink>
      <w:r w:rsidRPr="001D186C">
        <w:rPr>
          <w:rFonts w:ascii="Times New Roman" w:eastAsia="Times New Roman" w:hAnsi="Times New Roman" w:cs="Times New Roman"/>
          <w:sz w:val="24"/>
          <w:szCs w:val="24"/>
        </w:rPr>
        <w:t>&gt;. Acesso em: 30 out. 2024</w:t>
      </w:r>
      <w:r w:rsidR="001D186C">
        <w:rPr>
          <w:rFonts w:ascii="Times New Roman" w:eastAsia="Times New Roman" w:hAnsi="Times New Roman" w:cs="Times New Roman"/>
          <w:sz w:val="24"/>
          <w:szCs w:val="24"/>
        </w:rPr>
        <w:t>.</w:t>
      </w:r>
    </w:p>
    <w:p w14:paraId="2D96EEEB" w14:textId="36FEE683" w:rsidR="0012558B" w:rsidRPr="001D186C" w:rsidRDefault="0012558B" w:rsidP="00F03DE5">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CONAB - COMPANHIA NACIONAL DE ABASTECIMENTO. </w:t>
      </w:r>
      <w:r w:rsidRPr="001D186C">
        <w:rPr>
          <w:rFonts w:ascii="Times New Roman" w:eastAsia="Times New Roman" w:hAnsi="Times New Roman" w:cs="Times New Roman"/>
          <w:b/>
          <w:bCs/>
          <w:sz w:val="24"/>
          <w:szCs w:val="24"/>
        </w:rPr>
        <w:t>Boletim Hortigranjeiro, Brasília</w:t>
      </w:r>
      <w:r w:rsidRPr="001D186C">
        <w:rPr>
          <w:rFonts w:ascii="Times New Roman" w:eastAsia="Times New Roman" w:hAnsi="Times New Roman" w:cs="Times New Roman"/>
          <w:sz w:val="24"/>
          <w:szCs w:val="24"/>
        </w:rPr>
        <w:t>, DF, v. 10, n. 8, agosto, 2024</w:t>
      </w:r>
      <w:r w:rsidR="001D186C">
        <w:rPr>
          <w:rFonts w:ascii="Times New Roman" w:eastAsia="Times New Roman" w:hAnsi="Times New Roman" w:cs="Times New Roman"/>
          <w:sz w:val="24"/>
          <w:szCs w:val="24"/>
        </w:rPr>
        <w:t>.</w:t>
      </w:r>
    </w:p>
    <w:p w14:paraId="4A45F1A2" w14:textId="17ECF76A" w:rsidR="008E5F98" w:rsidRPr="001D186C" w:rsidRDefault="0012558B" w:rsidP="00F03DE5">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EMBRAPA</w:t>
      </w:r>
      <w:r w:rsidRPr="001D186C">
        <w:rPr>
          <w:rFonts w:ascii="Times New Roman" w:eastAsia="Times New Roman" w:hAnsi="Times New Roman" w:cs="Times New Roman"/>
          <w:b/>
          <w:bCs/>
          <w:sz w:val="24"/>
          <w:szCs w:val="24"/>
        </w:rPr>
        <w:t>. Crescimento dos Mercados Orgânicos e de Produção Agroecológica</w:t>
      </w:r>
      <w:r w:rsidRPr="001D186C">
        <w:rPr>
          <w:rFonts w:ascii="Times New Roman" w:eastAsia="Times New Roman" w:hAnsi="Times New Roman" w:cs="Times New Roman"/>
          <w:sz w:val="24"/>
          <w:szCs w:val="24"/>
        </w:rPr>
        <w:t>. Embrapa/</w:t>
      </w:r>
      <w:proofErr w:type="spellStart"/>
      <w:r w:rsidRPr="001D186C">
        <w:rPr>
          <w:rFonts w:ascii="Times New Roman" w:eastAsia="Times New Roman" w:hAnsi="Times New Roman" w:cs="Times New Roman"/>
          <w:sz w:val="24"/>
          <w:szCs w:val="24"/>
        </w:rPr>
        <w:t>Agropensa</w:t>
      </w:r>
      <w:proofErr w:type="spellEnd"/>
      <w:r w:rsidRPr="001D186C">
        <w:rPr>
          <w:rFonts w:ascii="Times New Roman" w:eastAsia="Times New Roman" w:hAnsi="Times New Roman" w:cs="Times New Roman"/>
          <w:sz w:val="24"/>
          <w:szCs w:val="24"/>
        </w:rPr>
        <w:t>, 26 de abril de 2022. Disponível em:&lt;https://www.embrapa.br/visao-de-futuro/sustentabilidade/sinal-e-tendencia/crescimento-dos-mercados-organicos-e-de-producao-agroecologica?form=MG0AV3&gt;. Acesso em: 4 nov. 2024</w:t>
      </w:r>
      <w:r w:rsidR="001D186C">
        <w:rPr>
          <w:rFonts w:ascii="Times New Roman" w:eastAsia="Times New Roman" w:hAnsi="Times New Roman" w:cs="Times New Roman"/>
          <w:sz w:val="24"/>
          <w:szCs w:val="24"/>
        </w:rPr>
        <w:t>.</w:t>
      </w:r>
    </w:p>
    <w:p w14:paraId="249A3091" w14:textId="724BCD3E" w:rsidR="008E5F98" w:rsidRPr="001D186C" w:rsidRDefault="008E5F98" w:rsidP="008E5F98">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FERREIRA, P.G.C. (Org). </w:t>
      </w:r>
      <w:r w:rsidRPr="001D186C">
        <w:rPr>
          <w:rFonts w:ascii="Times New Roman" w:eastAsia="Times New Roman" w:hAnsi="Times New Roman" w:cs="Times New Roman"/>
          <w:b/>
          <w:sz w:val="24"/>
          <w:szCs w:val="24"/>
        </w:rPr>
        <w:t>Análise de séries temporais em R: curso introdutório</w:t>
      </w:r>
      <w:r w:rsidRPr="001D186C">
        <w:rPr>
          <w:rFonts w:ascii="Times New Roman" w:eastAsia="Times New Roman" w:hAnsi="Times New Roman" w:cs="Times New Roman"/>
          <w:sz w:val="24"/>
          <w:szCs w:val="24"/>
        </w:rPr>
        <w:t>. 1 ed. 7ª. reimpressão, São Paulo: GEN/Ed. Atlas/FGV-IBRE, 2021</w:t>
      </w:r>
      <w:r w:rsidR="001D186C">
        <w:rPr>
          <w:rFonts w:ascii="Times New Roman" w:eastAsia="Times New Roman" w:hAnsi="Times New Roman" w:cs="Times New Roman"/>
          <w:sz w:val="24"/>
          <w:szCs w:val="24"/>
        </w:rPr>
        <w:t>.</w:t>
      </w:r>
      <w:r w:rsidRPr="001D186C">
        <w:rPr>
          <w:rFonts w:ascii="Times New Roman" w:eastAsia="Times New Roman" w:hAnsi="Times New Roman" w:cs="Times New Roman"/>
          <w:sz w:val="24"/>
          <w:szCs w:val="24"/>
        </w:rPr>
        <w:t xml:space="preserve"> </w:t>
      </w:r>
    </w:p>
    <w:p w14:paraId="689B7C0C" w14:textId="5A2FC1F7" w:rsidR="0012558B" w:rsidRPr="001D186C" w:rsidRDefault="0012558B" w:rsidP="00F03DE5">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GOULART JR., R. </w:t>
      </w:r>
      <w:r w:rsidRPr="001D186C">
        <w:rPr>
          <w:rFonts w:ascii="Times New Roman" w:eastAsia="Times New Roman" w:hAnsi="Times New Roman" w:cs="Times New Roman"/>
          <w:bCs/>
          <w:sz w:val="24"/>
          <w:szCs w:val="24"/>
        </w:rPr>
        <w:t>Os produtos da agricultura catarinense e a comercialização na pandemia: hortifrútis no mercado atacadista.</w:t>
      </w:r>
      <w:r w:rsidRPr="001D186C">
        <w:rPr>
          <w:rFonts w:ascii="Times New Roman" w:eastAsia="Times New Roman" w:hAnsi="Times New Roman" w:cs="Times New Roman"/>
          <w:b/>
          <w:bCs/>
          <w:sz w:val="24"/>
          <w:szCs w:val="24"/>
        </w:rPr>
        <w:t xml:space="preserve"> </w:t>
      </w:r>
      <w:r w:rsidRPr="001D186C">
        <w:rPr>
          <w:rFonts w:ascii="Times New Roman" w:eastAsia="Times New Roman" w:hAnsi="Times New Roman" w:cs="Times New Roman"/>
          <w:b/>
          <w:sz w:val="24"/>
          <w:szCs w:val="24"/>
        </w:rPr>
        <w:t>Agropecuária Catarinense</w:t>
      </w:r>
      <w:r w:rsidRPr="001D186C">
        <w:rPr>
          <w:rFonts w:ascii="Times New Roman" w:eastAsia="Times New Roman" w:hAnsi="Times New Roman" w:cs="Times New Roman"/>
          <w:sz w:val="24"/>
          <w:szCs w:val="24"/>
        </w:rPr>
        <w:t xml:space="preserve">, 34(1), 2021, p.7 -- 11. Recuperado de </w:t>
      </w:r>
      <w:hyperlink r:id="rId13" w:history="1">
        <w:r w:rsidRPr="001D186C">
          <w:rPr>
            <w:rFonts w:ascii="Times New Roman" w:hAnsi="Times New Roman" w:cs="Times New Roman"/>
            <w:sz w:val="24"/>
            <w:szCs w:val="24"/>
          </w:rPr>
          <w:t>https://publicacoes.epagri.sc.gov.br/rac/article/view/1131</w:t>
        </w:r>
      </w:hyperlink>
      <w:r w:rsidR="001D186C">
        <w:rPr>
          <w:rFonts w:ascii="Times New Roman" w:eastAsia="Times New Roman" w:hAnsi="Times New Roman" w:cs="Times New Roman"/>
          <w:sz w:val="24"/>
          <w:szCs w:val="24"/>
        </w:rPr>
        <w:t>.</w:t>
      </w:r>
    </w:p>
    <w:p w14:paraId="2FF2C2D5" w14:textId="63FF79F9" w:rsidR="0012558B" w:rsidRPr="001D186C" w:rsidRDefault="0012558B" w:rsidP="00F03DE5">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INSTITUTO BRASILEIRO DE GEOGRAFIA E ESTATÍSTICA (IBGE</w:t>
      </w:r>
      <w:r w:rsidRPr="001D186C">
        <w:rPr>
          <w:rFonts w:ascii="Times New Roman" w:eastAsia="Times New Roman" w:hAnsi="Times New Roman" w:cs="Times New Roman"/>
          <w:b/>
          <w:bCs/>
          <w:sz w:val="24"/>
          <w:szCs w:val="24"/>
        </w:rPr>
        <w:t>). Censo Agropecuário, 2017.</w:t>
      </w:r>
      <w:r w:rsidRPr="001D186C">
        <w:rPr>
          <w:rFonts w:ascii="Times New Roman" w:eastAsia="Times New Roman" w:hAnsi="Times New Roman" w:cs="Times New Roman"/>
          <w:sz w:val="24"/>
          <w:szCs w:val="24"/>
        </w:rPr>
        <w:t xml:space="preserve"> Disponível em: &lt;https://www.ibge.gov.br&gt;. Acesso em: 30 out. 2024</w:t>
      </w:r>
      <w:r w:rsidR="001D186C">
        <w:rPr>
          <w:rFonts w:ascii="Times New Roman" w:eastAsia="Times New Roman" w:hAnsi="Times New Roman" w:cs="Times New Roman"/>
          <w:sz w:val="24"/>
          <w:szCs w:val="24"/>
        </w:rPr>
        <w:t>.</w:t>
      </w:r>
    </w:p>
    <w:p w14:paraId="4AD3A0AD" w14:textId="5F3ABE76" w:rsidR="008E5F98" w:rsidRPr="001D186C" w:rsidRDefault="008E5F98" w:rsidP="008E5F98">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INSTITUTO BRASILEIRO DE GEOGRAFIA E ESTATÍSTICA (IBGE). </w:t>
      </w:r>
      <w:r w:rsidRPr="001D186C">
        <w:rPr>
          <w:rFonts w:ascii="Times New Roman" w:eastAsia="Times New Roman" w:hAnsi="Times New Roman" w:cs="Times New Roman"/>
          <w:b/>
          <w:bCs/>
          <w:sz w:val="24"/>
          <w:szCs w:val="24"/>
        </w:rPr>
        <w:t>São Joaquim: Panorama. 2021</w:t>
      </w:r>
      <w:r w:rsidRPr="001D186C">
        <w:rPr>
          <w:rFonts w:ascii="Times New Roman" w:eastAsia="Times New Roman" w:hAnsi="Times New Roman" w:cs="Times New Roman"/>
          <w:sz w:val="24"/>
          <w:szCs w:val="24"/>
        </w:rPr>
        <w:t xml:space="preserve">. Disponível em: </w:t>
      </w:r>
      <w:hyperlink r:id="rId14" w:history="1">
        <w:r w:rsidRPr="001D186C">
          <w:rPr>
            <w:rFonts w:ascii="Times New Roman" w:hAnsi="Times New Roman" w:cs="Times New Roman"/>
            <w:sz w:val="24"/>
            <w:szCs w:val="24"/>
          </w:rPr>
          <w:t>https://cidades.ibge.gov.br/brasil/sc/sao-joaquim/panorama</w:t>
        </w:r>
      </w:hyperlink>
      <w:r w:rsidRPr="001D186C">
        <w:rPr>
          <w:rFonts w:ascii="Times New Roman" w:eastAsia="Times New Roman" w:hAnsi="Times New Roman" w:cs="Times New Roman"/>
          <w:sz w:val="24"/>
          <w:szCs w:val="24"/>
        </w:rPr>
        <w:t>. Acesso em: 26 fev. 2025</w:t>
      </w:r>
      <w:r w:rsidR="001D186C">
        <w:rPr>
          <w:rFonts w:ascii="Times New Roman" w:eastAsia="Times New Roman" w:hAnsi="Times New Roman" w:cs="Times New Roman"/>
          <w:sz w:val="24"/>
          <w:szCs w:val="24"/>
        </w:rPr>
        <w:t>.</w:t>
      </w:r>
    </w:p>
    <w:p w14:paraId="2C1DDFB5" w14:textId="5E94490E" w:rsidR="008E5F98" w:rsidRPr="001D186C" w:rsidRDefault="008E5F98" w:rsidP="008E5F98">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MAKRIDAKIS, S.; WRIGHT, S. W. e HYNDMAN, R. </w:t>
      </w:r>
      <w:proofErr w:type="spellStart"/>
      <w:r w:rsidRPr="001D186C">
        <w:rPr>
          <w:rFonts w:ascii="Times New Roman" w:eastAsia="Times New Roman" w:hAnsi="Times New Roman" w:cs="Times New Roman"/>
          <w:b/>
          <w:i/>
          <w:sz w:val="24"/>
          <w:szCs w:val="24"/>
        </w:rPr>
        <w:t>Forecasting</w:t>
      </w:r>
      <w:proofErr w:type="spellEnd"/>
      <w:r w:rsidRPr="001D186C">
        <w:rPr>
          <w:rFonts w:ascii="Times New Roman" w:eastAsia="Times New Roman" w:hAnsi="Times New Roman" w:cs="Times New Roman"/>
          <w:b/>
          <w:i/>
          <w:sz w:val="24"/>
          <w:szCs w:val="24"/>
        </w:rPr>
        <w:t xml:space="preserve">: </w:t>
      </w:r>
      <w:proofErr w:type="spellStart"/>
      <w:r w:rsidRPr="001D186C">
        <w:rPr>
          <w:rFonts w:ascii="Times New Roman" w:eastAsia="Times New Roman" w:hAnsi="Times New Roman" w:cs="Times New Roman"/>
          <w:b/>
          <w:i/>
          <w:sz w:val="24"/>
          <w:szCs w:val="24"/>
        </w:rPr>
        <w:t>Methods</w:t>
      </w:r>
      <w:proofErr w:type="spellEnd"/>
      <w:r w:rsidRPr="001D186C">
        <w:rPr>
          <w:rFonts w:ascii="Times New Roman" w:eastAsia="Times New Roman" w:hAnsi="Times New Roman" w:cs="Times New Roman"/>
          <w:b/>
          <w:i/>
          <w:sz w:val="24"/>
          <w:szCs w:val="24"/>
        </w:rPr>
        <w:t xml:space="preserve"> </w:t>
      </w:r>
      <w:proofErr w:type="spellStart"/>
      <w:r w:rsidRPr="001D186C">
        <w:rPr>
          <w:rFonts w:ascii="Times New Roman" w:eastAsia="Times New Roman" w:hAnsi="Times New Roman" w:cs="Times New Roman"/>
          <w:b/>
          <w:i/>
          <w:sz w:val="24"/>
          <w:szCs w:val="24"/>
        </w:rPr>
        <w:t>and</w:t>
      </w:r>
      <w:proofErr w:type="spellEnd"/>
      <w:r w:rsidRPr="001D186C">
        <w:rPr>
          <w:rFonts w:ascii="Times New Roman" w:eastAsia="Times New Roman" w:hAnsi="Times New Roman" w:cs="Times New Roman"/>
          <w:b/>
          <w:i/>
          <w:sz w:val="24"/>
          <w:szCs w:val="24"/>
        </w:rPr>
        <w:t xml:space="preserve"> </w:t>
      </w:r>
      <w:proofErr w:type="spellStart"/>
      <w:r w:rsidRPr="001D186C">
        <w:rPr>
          <w:rFonts w:ascii="Times New Roman" w:eastAsia="Times New Roman" w:hAnsi="Times New Roman" w:cs="Times New Roman"/>
          <w:b/>
          <w:i/>
          <w:sz w:val="24"/>
          <w:szCs w:val="24"/>
        </w:rPr>
        <w:t>Applications</w:t>
      </w:r>
      <w:proofErr w:type="spellEnd"/>
      <w:r w:rsidRPr="001D186C">
        <w:rPr>
          <w:rFonts w:ascii="Times New Roman" w:eastAsia="Times New Roman" w:hAnsi="Times New Roman" w:cs="Times New Roman"/>
          <w:sz w:val="24"/>
          <w:szCs w:val="24"/>
        </w:rPr>
        <w:t xml:space="preserve">. 3 ed., New York: John </w:t>
      </w:r>
      <w:proofErr w:type="spellStart"/>
      <w:r w:rsidRPr="001D186C">
        <w:rPr>
          <w:rFonts w:ascii="Times New Roman" w:eastAsia="Times New Roman" w:hAnsi="Times New Roman" w:cs="Times New Roman"/>
          <w:sz w:val="24"/>
          <w:szCs w:val="24"/>
        </w:rPr>
        <w:t>Wiley</w:t>
      </w:r>
      <w:proofErr w:type="spellEnd"/>
      <w:r w:rsidRPr="001D186C">
        <w:rPr>
          <w:rFonts w:ascii="Times New Roman" w:eastAsia="Times New Roman" w:hAnsi="Times New Roman" w:cs="Times New Roman"/>
          <w:sz w:val="24"/>
          <w:szCs w:val="24"/>
        </w:rPr>
        <w:t xml:space="preserve"> &amp; Sons, 1998</w:t>
      </w:r>
      <w:r w:rsidR="001D186C">
        <w:rPr>
          <w:rFonts w:ascii="Times New Roman" w:eastAsia="Times New Roman" w:hAnsi="Times New Roman" w:cs="Times New Roman"/>
          <w:sz w:val="24"/>
          <w:szCs w:val="24"/>
        </w:rPr>
        <w:t>.</w:t>
      </w:r>
    </w:p>
    <w:p w14:paraId="0F29437E" w14:textId="1652F4FF" w:rsidR="0012558B" w:rsidRPr="001D186C" w:rsidRDefault="0012558B" w:rsidP="00F03DE5">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MALUF, R.S.; LUZ, L.F. da</w:t>
      </w:r>
      <w:r w:rsidRPr="001D186C">
        <w:rPr>
          <w:rFonts w:ascii="Times New Roman" w:eastAsia="Times New Roman" w:hAnsi="Times New Roman" w:cs="Times New Roman"/>
          <w:b/>
          <w:bCs/>
          <w:sz w:val="24"/>
          <w:szCs w:val="24"/>
        </w:rPr>
        <w:t>. “Sistemas alimentares descentralizados: Um enfoque de abastecimento na perspectiva da Soberania e segurança alimentar e nutricional”.</w:t>
      </w:r>
      <w:r w:rsidRPr="001D186C">
        <w:rPr>
          <w:rFonts w:ascii="Times New Roman" w:eastAsia="Times New Roman" w:hAnsi="Times New Roman" w:cs="Times New Roman"/>
          <w:sz w:val="24"/>
          <w:szCs w:val="24"/>
        </w:rPr>
        <w:t xml:space="preserve"> Texto de Conjuntura, n. 19, Rio de Janeiro: OPPA/UFRRJ/NEAD, out. 2016, p. 1-22. (Projeto de cooperação técnica UTF/BRA/083/BRA)</w:t>
      </w:r>
      <w:r w:rsidR="001D186C">
        <w:rPr>
          <w:rFonts w:ascii="Times New Roman" w:eastAsia="Times New Roman" w:hAnsi="Times New Roman" w:cs="Times New Roman"/>
          <w:sz w:val="24"/>
          <w:szCs w:val="24"/>
        </w:rPr>
        <w:t>.</w:t>
      </w:r>
    </w:p>
    <w:p w14:paraId="21D1A11D" w14:textId="74558C92" w:rsidR="008E5F98" w:rsidRPr="001D186C" w:rsidRDefault="008E5F98" w:rsidP="008E5F98">
      <w:pPr>
        <w:spacing w:after="0" w:line="360" w:lineRule="auto"/>
        <w:jc w:val="both"/>
        <w:rPr>
          <w:rFonts w:ascii="Times New Roman" w:eastAsia="Times New Roman" w:hAnsi="Times New Roman" w:cs="Times New Roman"/>
          <w:sz w:val="24"/>
          <w:szCs w:val="24"/>
        </w:rPr>
      </w:pPr>
      <w:r w:rsidRPr="001D186C">
        <w:rPr>
          <w:rFonts w:ascii="Times New Roman" w:eastAsia="Times New Roman" w:hAnsi="Times New Roman" w:cs="Times New Roman"/>
          <w:sz w:val="24"/>
          <w:szCs w:val="24"/>
        </w:rPr>
        <w:t xml:space="preserve">MORETTIN, P. A. e TOLOI, C. M. C. </w:t>
      </w:r>
      <w:r w:rsidRPr="001D186C">
        <w:rPr>
          <w:rFonts w:ascii="Times New Roman" w:eastAsia="Times New Roman" w:hAnsi="Times New Roman" w:cs="Times New Roman"/>
          <w:b/>
          <w:sz w:val="24"/>
          <w:szCs w:val="24"/>
        </w:rPr>
        <w:t>Análise de séries temporais</w:t>
      </w:r>
      <w:r w:rsidRPr="001D186C">
        <w:rPr>
          <w:rFonts w:ascii="Times New Roman" w:eastAsia="Times New Roman" w:hAnsi="Times New Roman" w:cs="Times New Roman"/>
          <w:sz w:val="24"/>
          <w:szCs w:val="24"/>
        </w:rPr>
        <w:t xml:space="preserve">. São Paulo: Ed. Edgard </w:t>
      </w:r>
      <w:proofErr w:type="spellStart"/>
      <w:r w:rsidRPr="001D186C">
        <w:rPr>
          <w:rFonts w:ascii="Times New Roman" w:eastAsia="Times New Roman" w:hAnsi="Times New Roman" w:cs="Times New Roman"/>
          <w:sz w:val="24"/>
          <w:szCs w:val="24"/>
        </w:rPr>
        <w:t>Blucher</w:t>
      </w:r>
      <w:proofErr w:type="spellEnd"/>
      <w:r w:rsidRPr="001D186C">
        <w:rPr>
          <w:rFonts w:ascii="Times New Roman" w:eastAsia="Times New Roman" w:hAnsi="Times New Roman" w:cs="Times New Roman"/>
          <w:sz w:val="24"/>
          <w:szCs w:val="24"/>
        </w:rPr>
        <w:t>,</w:t>
      </w:r>
      <w:r w:rsidR="001D186C">
        <w:rPr>
          <w:rFonts w:ascii="Times New Roman" w:eastAsia="Times New Roman" w:hAnsi="Times New Roman" w:cs="Times New Roman"/>
          <w:sz w:val="24"/>
          <w:szCs w:val="24"/>
        </w:rPr>
        <w:t xml:space="preserve"> 2004.</w:t>
      </w:r>
      <w:r w:rsidRPr="001D186C">
        <w:rPr>
          <w:rFonts w:ascii="Times New Roman" w:eastAsia="Times New Roman" w:hAnsi="Times New Roman" w:cs="Times New Roman"/>
          <w:sz w:val="24"/>
          <w:szCs w:val="24"/>
        </w:rPr>
        <w:t xml:space="preserve"> </w:t>
      </w:r>
    </w:p>
    <w:p w14:paraId="5F85F142" w14:textId="04D316A7" w:rsidR="008E5F98" w:rsidRPr="001D186C" w:rsidRDefault="008E5F98" w:rsidP="008E5F98">
      <w:pPr>
        <w:spacing w:after="0" w:line="360" w:lineRule="auto"/>
        <w:jc w:val="both"/>
        <w:rPr>
          <w:rFonts w:ascii="Times New Roman" w:eastAsia="Times New Roman" w:hAnsi="Times New Roman" w:cs="Times New Roman"/>
          <w:sz w:val="24"/>
          <w:szCs w:val="24"/>
        </w:rPr>
      </w:pPr>
      <w:r w:rsidRPr="0075505F">
        <w:rPr>
          <w:rFonts w:ascii="Times New Roman" w:eastAsia="Times New Roman" w:hAnsi="Times New Roman" w:cs="Times New Roman"/>
          <w:bCs/>
          <w:sz w:val="24"/>
          <w:szCs w:val="24"/>
        </w:rPr>
        <w:t>PREFEITURA DE FRAIBURGO.</w:t>
      </w:r>
      <w:r w:rsidRPr="001D186C">
        <w:rPr>
          <w:rFonts w:ascii="Times New Roman" w:eastAsia="Times New Roman" w:hAnsi="Times New Roman" w:cs="Times New Roman"/>
          <w:b/>
          <w:bCs/>
          <w:sz w:val="24"/>
          <w:szCs w:val="24"/>
        </w:rPr>
        <w:t xml:space="preserve"> Histórico da Maçã. Fraiburgo, 2023</w:t>
      </w:r>
      <w:r w:rsidRPr="001D186C">
        <w:rPr>
          <w:rFonts w:ascii="Times New Roman" w:eastAsia="Times New Roman" w:hAnsi="Times New Roman" w:cs="Times New Roman"/>
          <w:sz w:val="24"/>
          <w:szCs w:val="24"/>
        </w:rPr>
        <w:t xml:space="preserve">. Disponível em: </w:t>
      </w:r>
      <w:hyperlink r:id="rId15" w:history="1">
        <w:r w:rsidRPr="001D186C">
          <w:rPr>
            <w:rFonts w:ascii="Times New Roman" w:hAnsi="Times New Roman" w:cs="Times New Roman"/>
            <w:sz w:val="24"/>
            <w:szCs w:val="24"/>
          </w:rPr>
          <w:t>https://fraiburgo.atende.net/cidadao/pagina/historico-da-maca</w:t>
        </w:r>
      </w:hyperlink>
      <w:r w:rsidRPr="001D186C">
        <w:rPr>
          <w:rFonts w:ascii="Times New Roman" w:eastAsia="Times New Roman" w:hAnsi="Times New Roman" w:cs="Times New Roman"/>
          <w:sz w:val="24"/>
          <w:szCs w:val="24"/>
        </w:rPr>
        <w:t>. Acesso em: 26 de fev. 2025</w:t>
      </w:r>
      <w:r w:rsidR="001D186C">
        <w:rPr>
          <w:rFonts w:ascii="Times New Roman" w:eastAsia="Times New Roman" w:hAnsi="Times New Roman" w:cs="Times New Roman"/>
          <w:sz w:val="24"/>
          <w:szCs w:val="24"/>
        </w:rPr>
        <w:t>.</w:t>
      </w:r>
    </w:p>
    <w:p w14:paraId="3D0EF1A5" w14:textId="343B9555" w:rsidR="0012558B" w:rsidRDefault="0012558B" w:rsidP="00F03DE5">
      <w:pPr>
        <w:spacing w:after="0" w:line="360" w:lineRule="auto"/>
        <w:jc w:val="both"/>
        <w:rPr>
          <w:rFonts w:ascii="Times New Roman" w:hAnsi="Times New Roman" w:cs="Times New Roman"/>
          <w:b/>
          <w:bCs/>
          <w:sz w:val="24"/>
          <w:szCs w:val="24"/>
        </w:rPr>
      </w:pPr>
      <w:r w:rsidRPr="001D186C">
        <w:rPr>
          <w:rFonts w:ascii="Times New Roman" w:eastAsia="Times New Roman" w:hAnsi="Times New Roman" w:cs="Times New Roman"/>
          <w:sz w:val="24"/>
          <w:szCs w:val="24"/>
        </w:rPr>
        <w:lastRenderedPageBreak/>
        <w:t>SANTA CATARINA. Lei nº 12.472</w:t>
      </w:r>
      <w:r w:rsidRPr="001D186C">
        <w:rPr>
          <w:rFonts w:ascii="Times New Roman" w:eastAsia="Times New Roman" w:hAnsi="Times New Roman" w:cs="Times New Roman"/>
          <w:b/>
          <w:bCs/>
          <w:sz w:val="24"/>
          <w:szCs w:val="24"/>
        </w:rPr>
        <w:t xml:space="preserve">, </w:t>
      </w:r>
      <w:proofErr w:type="gramStart"/>
      <w:r w:rsidRPr="001D186C">
        <w:rPr>
          <w:rFonts w:ascii="Times New Roman" w:eastAsia="Times New Roman" w:hAnsi="Times New Roman" w:cs="Times New Roman"/>
          <w:b/>
          <w:bCs/>
          <w:sz w:val="24"/>
          <w:szCs w:val="24"/>
        </w:rPr>
        <w:t>Declara</w:t>
      </w:r>
      <w:proofErr w:type="gramEnd"/>
      <w:r w:rsidRPr="001D186C">
        <w:rPr>
          <w:rFonts w:ascii="Times New Roman" w:eastAsia="Times New Roman" w:hAnsi="Times New Roman" w:cs="Times New Roman"/>
          <w:b/>
          <w:bCs/>
          <w:sz w:val="24"/>
          <w:szCs w:val="24"/>
        </w:rPr>
        <w:t xml:space="preserve"> o Município de Corupá como Capital Catarinense da Banana. </w:t>
      </w:r>
      <w:hyperlink r:id="rId16" w:history="1">
        <w:r w:rsidRPr="001D186C">
          <w:rPr>
            <w:rFonts w:ascii="Times New Roman" w:hAnsi="Times New Roman" w:cs="Times New Roman"/>
            <w:b/>
            <w:bCs/>
            <w:sz w:val="24"/>
            <w:szCs w:val="24"/>
          </w:rPr>
          <w:t>Alesc</w:t>
        </w:r>
      </w:hyperlink>
      <w:r w:rsidR="008E5F98" w:rsidRPr="001D186C">
        <w:rPr>
          <w:rFonts w:ascii="Times New Roman" w:hAnsi="Times New Roman" w:cs="Times New Roman"/>
          <w:b/>
          <w:bCs/>
          <w:sz w:val="24"/>
          <w:szCs w:val="24"/>
        </w:rPr>
        <w:t>.</w:t>
      </w:r>
    </w:p>
    <w:p w14:paraId="6DCF1561" w14:textId="77777777" w:rsidR="000C69C2" w:rsidRDefault="000C69C2">
      <w:pPr>
        <w:spacing w:after="0" w:line="360" w:lineRule="auto"/>
        <w:jc w:val="both"/>
        <w:rPr>
          <w:rFonts w:ascii="Times New Roman" w:eastAsia="Times New Roman" w:hAnsi="Times New Roman" w:cs="Times New Roman"/>
          <w:sz w:val="24"/>
          <w:szCs w:val="24"/>
        </w:rPr>
      </w:pPr>
    </w:p>
    <w:sectPr w:rsidR="000C69C2">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E0090"/>
    <w:multiLevelType w:val="hybridMultilevel"/>
    <w:tmpl w:val="B2B2E9E2"/>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C707C4C"/>
    <w:multiLevelType w:val="multilevel"/>
    <w:tmpl w:val="8180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6928977">
    <w:abstractNumId w:val="1"/>
  </w:num>
  <w:num w:numId="2" w16cid:durableId="364260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9C2"/>
    <w:rsid w:val="0003451B"/>
    <w:rsid w:val="00043359"/>
    <w:rsid w:val="00055176"/>
    <w:rsid w:val="000564FB"/>
    <w:rsid w:val="00060C7B"/>
    <w:rsid w:val="0006219B"/>
    <w:rsid w:val="00072487"/>
    <w:rsid w:val="00073D64"/>
    <w:rsid w:val="000964F9"/>
    <w:rsid w:val="000B792D"/>
    <w:rsid w:val="000C69C2"/>
    <w:rsid w:val="000F5F05"/>
    <w:rsid w:val="00111207"/>
    <w:rsid w:val="00112988"/>
    <w:rsid w:val="0012558B"/>
    <w:rsid w:val="00125E95"/>
    <w:rsid w:val="001277B7"/>
    <w:rsid w:val="00133DC3"/>
    <w:rsid w:val="001443DF"/>
    <w:rsid w:val="001478BA"/>
    <w:rsid w:val="00153E00"/>
    <w:rsid w:val="00174262"/>
    <w:rsid w:val="00176A90"/>
    <w:rsid w:val="00190142"/>
    <w:rsid w:val="00192BF8"/>
    <w:rsid w:val="001B3BBA"/>
    <w:rsid w:val="001B4F71"/>
    <w:rsid w:val="001D186C"/>
    <w:rsid w:val="001E0411"/>
    <w:rsid w:val="001E27DE"/>
    <w:rsid w:val="001F435D"/>
    <w:rsid w:val="00206C4A"/>
    <w:rsid w:val="0022275C"/>
    <w:rsid w:val="00270218"/>
    <w:rsid w:val="00296CF5"/>
    <w:rsid w:val="002A484B"/>
    <w:rsid w:val="002C4151"/>
    <w:rsid w:val="002C613B"/>
    <w:rsid w:val="002D257E"/>
    <w:rsid w:val="002D6670"/>
    <w:rsid w:val="002F042F"/>
    <w:rsid w:val="002F295A"/>
    <w:rsid w:val="00352405"/>
    <w:rsid w:val="00353FE0"/>
    <w:rsid w:val="00354C51"/>
    <w:rsid w:val="0037181A"/>
    <w:rsid w:val="003B1412"/>
    <w:rsid w:val="003E1EE2"/>
    <w:rsid w:val="004009F4"/>
    <w:rsid w:val="004036EE"/>
    <w:rsid w:val="004223C5"/>
    <w:rsid w:val="00440A2C"/>
    <w:rsid w:val="00441E26"/>
    <w:rsid w:val="00444E21"/>
    <w:rsid w:val="00492774"/>
    <w:rsid w:val="004B7E47"/>
    <w:rsid w:val="004C2020"/>
    <w:rsid w:val="004E7593"/>
    <w:rsid w:val="005038DD"/>
    <w:rsid w:val="005438B5"/>
    <w:rsid w:val="0054581C"/>
    <w:rsid w:val="0055358E"/>
    <w:rsid w:val="005712A4"/>
    <w:rsid w:val="00573AD5"/>
    <w:rsid w:val="005C1F2B"/>
    <w:rsid w:val="00624402"/>
    <w:rsid w:val="006912B2"/>
    <w:rsid w:val="006B2E22"/>
    <w:rsid w:val="006D1668"/>
    <w:rsid w:val="006E0F5C"/>
    <w:rsid w:val="006E56F1"/>
    <w:rsid w:val="00712FC1"/>
    <w:rsid w:val="007226F3"/>
    <w:rsid w:val="00751125"/>
    <w:rsid w:val="0075505F"/>
    <w:rsid w:val="00773C23"/>
    <w:rsid w:val="007A3969"/>
    <w:rsid w:val="00800783"/>
    <w:rsid w:val="00800DCE"/>
    <w:rsid w:val="00814B22"/>
    <w:rsid w:val="0082105F"/>
    <w:rsid w:val="00831B83"/>
    <w:rsid w:val="00833919"/>
    <w:rsid w:val="00867A9C"/>
    <w:rsid w:val="0087344C"/>
    <w:rsid w:val="00893876"/>
    <w:rsid w:val="008B2542"/>
    <w:rsid w:val="008B3E5E"/>
    <w:rsid w:val="008C38B2"/>
    <w:rsid w:val="008C67D6"/>
    <w:rsid w:val="008D3C3F"/>
    <w:rsid w:val="008E29FE"/>
    <w:rsid w:val="008E5F98"/>
    <w:rsid w:val="00903453"/>
    <w:rsid w:val="0090636C"/>
    <w:rsid w:val="00931F6A"/>
    <w:rsid w:val="00960E55"/>
    <w:rsid w:val="009672C1"/>
    <w:rsid w:val="00967AA4"/>
    <w:rsid w:val="009F1CAE"/>
    <w:rsid w:val="00A37369"/>
    <w:rsid w:val="00A37A1C"/>
    <w:rsid w:val="00A43D6A"/>
    <w:rsid w:val="00A51E12"/>
    <w:rsid w:val="00A93C98"/>
    <w:rsid w:val="00AC1C2D"/>
    <w:rsid w:val="00AC4760"/>
    <w:rsid w:val="00AC5C84"/>
    <w:rsid w:val="00AD6FA1"/>
    <w:rsid w:val="00AE65B2"/>
    <w:rsid w:val="00B5338F"/>
    <w:rsid w:val="00B57F8E"/>
    <w:rsid w:val="00B9210A"/>
    <w:rsid w:val="00B96A65"/>
    <w:rsid w:val="00BC5796"/>
    <w:rsid w:val="00BC5F00"/>
    <w:rsid w:val="00BD1020"/>
    <w:rsid w:val="00BF51AE"/>
    <w:rsid w:val="00C01FB5"/>
    <w:rsid w:val="00C14226"/>
    <w:rsid w:val="00C25341"/>
    <w:rsid w:val="00C379E0"/>
    <w:rsid w:val="00C43518"/>
    <w:rsid w:val="00C848D2"/>
    <w:rsid w:val="00C849A0"/>
    <w:rsid w:val="00C85A89"/>
    <w:rsid w:val="00C90A8F"/>
    <w:rsid w:val="00CF46C6"/>
    <w:rsid w:val="00D1152E"/>
    <w:rsid w:val="00D31C92"/>
    <w:rsid w:val="00D47750"/>
    <w:rsid w:val="00D54E9C"/>
    <w:rsid w:val="00D6228F"/>
    <w:rsid w:val="00D62B27"/>
    <w:rsid w:val="00D66403"/>
    <w:rsid w:val="00DB17CF"/>
    <w:rsid w:val="00DC2C24"/>
    <w:rsid w:val="00DD3ECA"/>
    <w:rsid w:val="00DE7783"/>
    <w:rsid w:val="00DF4C68"/>
    <w:rsid w:val="00DF6482"/>
    <w:rsid w:val="00E3020B"/>
    <w:rsid w:val="00E420EC"/>
    <w:rsid w:val="00E44F61"/>
    <w:rsid w:val="00E5171A"/>
    <w:rsid w:val="00E740A1"/>
    <w:rsid w:val="00E75D6C"/>
    <w:rsid w:val="00E802E1"/>
    <w:rsid w:val="00E8606F"/>
    <w:rsid w:val="00EA2785"/>
    <w:rsid w:val="00EA36E9"/>
    <w:rsid w:val="00EC42C6"/>
    <w:rsid w:val="00F03DE5"/>
    <w:rsid w:val="00F06814"/>
    <w:rsid w:val="00F52F09"/>
    <w:rsid w:val="00F56657"/>
    <w:rsid w:val="00F8797F"/>
    <w:rsid w:val="00FB215E"/>
    <w:rsid w:val="00FB2A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B92D"/>
  <w15:docId w15:val="{2D3CD5C2-942C-4E84-A1D1-6744102D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65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E5171A"/>
    <w:pPr>
      <w:ind w:left="720"/>
      <w:contextualSpacing/>
    </w:pPr>
  </w:style>
  <w:style w:type="character" w:styleId="Hyperlink">
    <w:name w:val="Hyperlink"/>
    <w:basedOn w:val="Fontepargpadro"/>
    <w:uiPriority w:val="99"/>
    <w:unhideWhenUsed/>
    <w:rsid w:val="0012558B"/>
    <w:rPr>
      <w:color w:val="0000FF" w:themeColor="hyperlink"/>
      <w:u w:val="single"/>
    </w:rPr>
  </w:style>
  <w:style w:type="character" w:customStyle="1" w:styleId="MenoPendente1">
    <w:name w:val="Menção Pendente1"/>
    <w:basedOn w:val="Fontepargpadro"/>
    <w:uiPriority w:val="99"/>
    <w:semiHidden/>
    <w:unhideWhenUsed/>
    <w:rsid w:val="0012558B"/>
    <w:rPr>
      <w:color w:val="605E5C"/>
      <w:shd w:val="clear" w:color="auto" w:fill="E1DFDD"/>
    </w:rPr>
  </w:style>
  <w:style w:type="table" w:styleId="Tabelacomgrade">
    <w:name w:val="Table Grid"/>
    <w:basedOn w:val="Tabelanormal"/>
    <w:uiPriority w:val="39"/>
    <w:rsid w:val="00931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76A90"/>
    <w:rPr>
      <w:sz w:val="16"/>
      <w:szCs w:val="16"/>
    </w:rPr>
  </w:style>
  <w:style w:type="paragraph" w:styleId="Textodecomentrio">
    <w:name w:val="annotation text"/>
    <w:basedOn w:val="Normal"/>
    <w:link w:val="TextodecomentrioChar"/>
    <w:uiPriority w:val="99"/>
    <w:semiHidden/>
    <w:unhideWhenUsed/>
    <w:rsid w:val="00176A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76A90"/>
    <w:rPr>
      <w:sz w:val="20"/>
      <w:szCs w:val="20"/>
    </w:rPr>
  </w:style>
  <w:style w:type="paragraph" w:styleId="Assuntodocomentrio">
    <w:name w:val="annotation subject"/>
    <w:basedOn w:val="Textodecomentrio"/>
    <w:next w:val="Textodecomentrio"/>
    <w:link w:val="AssuntodocomentrioChar"/>
    <w:uiPriority w:val="99"/>
    <w:semiHidden/>
    <w:unhideWhenUsed/>
    <w:rsid w:val="00176A90"/>
    <w:rPr>
      <w:b/>
      <w:bCs/>
    </w:rPr>
  </w:style>
  <w:style w:type="character" w:customStyle="1" w:styleId="AssuntodocomentrioChar">
    <w:name w:val="Assunto do comentário Char"/>
    <w:basedOn w:val="TextodecomentrioChar"/>
    <w:link w:val="Assuntodocomentrio"/>
    <w:uiPriority w:val="99"/>
    <w:semiHidden/>
    <w:rsid w:val="00176A90"/>
    <w:rPr>
      <w:b/>
      <w:bCs/>
      <w:sz w:val="20"/>
      <w:szCs w:val="20"/>
    </w:rPr>
  </w:style>
  <w:style w:type="paragraph" w:styleId="Textodebalo">
    <w:name w:val="Balloon Text"/>
    <w:basedOn w:val="Normal"/>
    <w:link w:val="TextodebaloChar"/>
    <w:uiPriority w:val="99"/>
    <w:semiHidden/>
    <w:unhideWhenUsed/>
    <w:rsid w:val="00176A9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76A90"/>
    <w:rPr>
      <w:rFonts w:ascii="Segoe UI" w:hAnsi="Segoe UI" w:cs="Segoe UI"/>
      <w:sz w:val="18"/>
      <w:szCs w:val="18"/>
    </w:rPr>
  </w:style>
  <w:style w:type="character" w:styleId="HiperlinkVisitado">
    <w:name w:val="FollowedHyperlink"/>
    <w:basedOn w:val="Fontepargpadro"/>
    <w:uiPriority w:val="99"/>
    <w:semiHidden/>
    <w:unhideWhenUsed/>
    <w:rsid w:val="008E5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1983">
      <w:bodyDiv w:val="1"/>
      <w:marLeft w:val="0"/>
      <w:marRight w:val="0"/>
      <w:marTop w:val="0"/>
      <w:marBottom w:val="0"/>
      <w:divBdr>
        <w:top w:val="none" w:sz="0" w:space="0" w:color="auto"/>
        <w:left w:val="none" w:sz="0" w:space="0" w:color="auto"/>
        <w:bottom w:val="none" w:sz="0" w:space="0" w:color="auto"/>
        <w:right w:val="none" w:sz="0" w:space="0" w:color="auto"/>
      </w:divBdr>
      <w:divsChild>
        <w:div w:id="1666933330">
          <w:marLeft w:val="-285"/>
          <w:marRight w:val="0"/>
          <w:marTop w:val="0"/>
          <w:marBottom w:val="0"/>
          <w:divBdr>
            <w:top w:val="none" w:sz="0" w:space="0" w:color="auto"/>
            <w:left w:val="none" w:sz="0" w:space="0" w:color="auto"/>
            <w:bottom w:val="none" w:sz="0" w:space="0" w:color="auto"/>
            <w:right w:val="none" w:sz="0" w:space="0" w:color="auto"/>
          </w:divBdr>
        </w:div>
      </w:divsChild>
    </w:div>
    <w:div w:id="115607970">
      <w:bodyDiv w:val="1"/>
      <w:marLeft w:val="0"/>
      <w:marRight w:val="0"/>
      <w:marTop w:val="0"/>
      <w:marBottom w:val="0"/>
      <w:divBdr>
        <w:top w:val="none" w:sz="0" w:space="0" w:color="auto"/>
        <w:left w:val="none" w:sz="0" w:space="0" w:color="auto"/>
        <w:bottom w:val="none" w:sz="0" w:space="0" w:color="auto"/>
        <w:right w:val="none" w:sz="0" w:space="0" w:color="auto"/>
      </w:divBdr>
    </w:div>
    <w:div w:id="228687019">
      <w:bodyDiv w:val="1"/>
      <w:marLeft w:val="0"/>
      <w:marRight w:val="0"/>
      <w:marTop w:val="0"/>
      <w:marBottom w:val="0"/>
      <w:divBdr>
        <w:top w:val="none" w:sz="0" w:space="0" w:color="auto"/>
        <w:left w:val="none" w:sz="0" w:space="0" w:color="auto"/>
        <w:bottom w:val="none" w:sz="0" w:space="0" w:color="auto"/>
        <w:right w:val="none" w:sz="0" w:space="0" w:color="auto"/>
      </w:divBdr>
      <w:divsChild>
        <w:div w:id="12339175">
          <w:marLeft w:val="0"/>
          <w:marRight w:val="0"/>
          <w:marTop w:val="0"/>
          <w:marBottom w:val="0"/>
          <w:divBdr>
            <w:top w:val="none" w:sz="0" w:space="0" w:color="auto"/>
            <w:left w:val="none" w:sz="0" w:space="0" w:color="auto"/>
            <w:bottom w:val="none" w:sz="0" w:space="0" w:color="auto"/>
            <w:right w:val="none" w:sz="0" w:space="0" w:color="auto"/>
          </w:divBdr>
        </w:div>
      </w:divsChild>
    </w:div>
    <w:div w:id="231161367">
      <w:bodyDiv w:val="1"/>
      <w:marLeft w:val="0"/>
      <w:marRight w:val="0"/>
      <w:marTop w:val="0"/>
      <w:marBottom w:val="0"/>
      <w:divBdr>
        <w:top w:val="none" w:sz="0" w:space="0" w:color="auto"/>
        <w:left w:val="none" w:sz="0" w:space="0" w:color="auto"/>
        <w:bottom w:val="none" w:sz="0" w:space="0" w:color="auto"/>
        <w:right w:val="none" w:sz="0" w:space="0" w:color="auto"/>
      </w:divBdr>
    </w:div>
    <w:div w:id="235895937">
      <w:bodyDiv w:val="1"/>
      <w:marLeft w:val="0"/>
      <w:marRight w:val="0"/>
      <w:marTop w:val="0"/>
      <w:marBottom w:val="0"/>
      <w:divBdr>
        <w:top w:val="none" w:sz="0" w:space="0" w:color="auto"/>
        <w:left w:val="none" w:sz="0" w:space="0" w:color="auto"/>
        <w:bottom w:val="none" w:sz="0" w:space="0" w:color="auto"/>
        <w:right w:val="none" w:sz="0" w:space="0" w:color="auto"/>
      </w:divBdr>
    </w:div>
    <w:div w:id="277300827">
      <w:bodyDiv w:val="1"/>
      <w:marLeft w:val="0"/>
      <w:marRight w:val="0"/>
      <w:marTop w:val="0"/>
      <w:marBottom w:val="0"/>
      <w:divBdr>
        <w:top w:val="none" w:sz="0" w:space="0" w:color="auto"/>
        <w:left w:val="none" w:sz="0" w:space="0" w:color="auto"/>
        <w:bottom w:val="none" w:sz="0" w:space="0" w:color="auto"/>
        <w:right w:val="none" w:sz="0" w:space="0" w:color="auto"/>
      </w:divBdr>
    </w:div>
    <w:div w:id="299307833">
      <w:bodyDiv w:val="1"/>
      <w:marLeft w:val="0"/>
      <w:marRight w:val="0"/>
      <w:marTop w:val="0"/>
      <w:marBottom w:val="0"/>
      <w:divBdr>
        <w:top w:val="none" w:sz="0" w:space="0" w:color="auto"/>
        <w:left w:val="none" w:sz="0" w:space="0" w:color="auto"/>
        <w:bottom w:val="none" w:sz="0" w:space="0" w:color="auto"/>
        <w:right w:val="none" w:sz="0" w:space="0" w:color="auto"/>
      </w:divBdr>
    </w:div>
    <w:div w:id="316425877">
      <w:bodyDiv w:val="1"/>
      <w:marLeft w:val="0"/>
      <w:marRight w:val="0"/>
      <w:marTop w:val="0"/>
      <w:marBottom w:val="0"/>
      <w:divBdr>
        <w:top w:val="none" w:sz="0" w:space="0" w:color="auto"/>
        <w:left w:val="none" w:sz="0" w:space="0" w:color="auto"/>
        <w:bottom w:val="none" w:sz="0" w:space="0" w:color="auto"/>
        <w:right w:val="none" w:sz="0" w:space="0" w:color="auto"/>
      </w:divBdr>
    </w:div>
    <w:div w:id="339819247">
      <w:bodyDiv w:val="1"/>
      <w:marLeft w:val="0"/>
      <w:marRight w:val="0"/>
      <w:marTop w:val="0"/>
      <w:marBottom w:val="0"/>
      <w:divBdr>
        <w:top w:val="none" w:sz="0" w:space="0" w:color="auto"/>
        <w:left w:val="none" w:sz="0" w:space="0" w:color="auto"/>
        <w:bottom w:val="none" w:sz="0" w:space="0" w:color="auto"/>
        <w:right w:val="none" w:sz="0" w:space="0" w:color="auto"/>
      </w:divBdr>
      <w:divsChild>
        <w:div w:id="1849060647">
          <w:marLeft w:val="0"/>
          <w:marRight w:val="0"/>
          <w:marTop w:val="0"/>
          <w:marBottom w:val="0"/>
          <w:divBdr>
            <w:top w:val="none" w:sz="0" w:space="0" w:color="auto"/>
            <w:left w:val="none" w:sz="0" w:space="0" w:color="auto"/>
            <w:bottom w:val="none" w:sz="0" w:space="0" w:color="auto"/>
            <w:right w:val="none" w:sz="0" w:space="0" w:color="auto"/>
          </w:divBdr>
        </w:div>
      </w:divsChild>
    </w:div>
    <w:div w:id="394477595">
      <w:bodyDiv w:val="1"/>
      <w:marLeft w:val="0"/>
      <w:marRight w:val="0"/>
      <w:marTop w:val="0"/>
      <w:marBottom w:val="0"/>
      <w:divBdr>
        <w:top w:val="none" w:sz="0" w:space="0" w:color="auto"/>
        <w:left w:val="none" w:sz="0" w:space="0" w:color="auto"/>
        <w:bottom w:val="none" w:sz="0" w:space="0" w:color="auto"/>
        <w:right w:val="none" w:sz="0" w:space="0" w:color="auto"/>
      </w:divBdr>
      <w:divsChild>
        <w:div w:id="1590121485">
          <w:marLeft w:val="0"/>
          <w:marRight w:val="0"/>
          <w:marTop w:val="0"/>
          <w:marBottom w:val="0"/>
          <w:divBdr>
            <w:top w:val="none" w:sz="0" w:space="0" w:color="auto"/>
            <w:left w:val="none" w:sz="0" w:space="0" w:color="auto"/>
            <w:bottom w:val="none" w:sz="0" w:space="0" w:color="auto"/>
            <w:right w:val="none" w:sz="0" w:space="0" w:color="auto"/>
          </w:divBdr>
        </w:div>
      </w:divsChild>
    </w:div>
    <w:div w:id="423259495">
      <w:bodyDiv w:val="1"/>
      <w:marLeft w:val="0"/>
      <w:marRight w:val="0"/>
      <w:marTop w:val="0"/>
      <w:marBottom w:val="0"/>
      <w:divBdr>
        <w:top w:val="none" w:sz="0" w:space="0" w:color="auto"/>
        <w:left w:val="none" w:sz="0" w:space="0" w:color="auto"/>
        <w:bottom w:val="none" w:sz="0" w:space="0" w:color="auto"/>
        <w:right w:val="none" w:sz="0" w:space="0" w:color="auto"/>
      </w:divBdr>
      <w:divsChild>
        <w:div w:id="1975673509">
          <w:marLeft w:val="2"/>
          <w:marRight w:val="0"/>
          <w:marTop w:val="0"/>
          <w:marBottom w:val="0"/>
          <w:divBdr>
            <w:top w:val="none" w:sz="0" w:space="0" w:color="auto"/>
            <w:left w:val="none" w:sz="0" w:space="0" w:color="auto"/>
            <w:bottom w:val="none" w:sz="0" w:space="0" w:color="auto"/>
            <w:right w:val="none" w:sz="0" w:space="0" w:color="auto"/>
          </w:divBdr>
        </w:div>
        <w:div w:id="577135150">
          <w:marLeft w:val="2"/>
          <w:marRight w:val="0"/>
          <w:marTop w:val="0"/>
          <w:marBottom w:val="0"/>
          <w:divBdr>
            <w:top w:val="none" w:sz="0" w:space="0" w:color="auto"/>
            <w:left w:val="none" w:sz="0" w:space="0" w:color="auto"/>
            <w:bottom w:val="none" w:sz="0" w:space="0" w:color="auto"/>
            <w:right w:val="none" w:sz="0" w:space="0" w:color="auto"/>
          </w:divBdr>
        </w:div>
      </w:divsChild>
    </w:div>
    <w:div w:id="460028853">
      <w:bodyDiv w:val="1"/>
      <w:marLeft w:val="0"/>
      <w:marRight w:val="0"/>
      <w:marTop w:val="0"/>
      <w:marBottom w:val="0"/>
      <w:divBdr>
        <w:top w:val="none" w:sz="0" w:space="0" w:color="auto"/>
        <w:left w:val="none" w:sz="0" w:space="0" w:color="auto"/>
        <w:bottom w:val="none" w:sz="0" w:space="0" w:color="auto"/>
        <w:right w:val="none" w:sz="0" w:space="0" w:color="auto"/>
      </w:divBdr>
    </w:div>
    <w:div w:id="578759271">
      <w:bodyDiv w:val="1"/>
      <w:marLeft w:val="0"/>
      <w:marRight w:val="0"/>
      <w:marTop w:val="0"/>
      <w:marBottom w:val="0"/>
      <w:divBdr>
        <w:top w:val="none" w:sz="0" w:space="0" w:color="auto"/>
        <w:left w:val="none" w:sz="0" w:space="0" w:color="auto"/>
        <w:bottom w:val="none" w:sz="0" w:space="0" w:color="auto"/>
        <w:right w:val="none" w:sz="0" w:space="0" w:color="auto"/>
      </w:divBdr>
      <w:divsChild>
        <w:div w:id="1318463859">
          <w:marLeft w:val="0"/>
          <w:marRight w:val="0"/>
          <w:marTop w:val="0"/>
          <w:marBottom w:val="0"/>
          <w:divBdr>
            <w:top w:val="none" w:sz="0" w:space="0" w:color="auto"/>
            <w:left w:val="none" w:sz="0" w:space="0" w:color="auto"/>
            <w:bottom w:val="none" w:sz="0" w:space="0" w:color="auto"/>
            <w:right w:val="none" w:sz="0" w:space="0" w:color="auto"/>
          </w:divBdr>
        </w:div>
      </w:divsChild>
    </w:div>
    <w:div w:id="595020401">
      <w:bodyDiv w:val="1"/>
      <w:marLeft w:val="0"/>
      <w:marRight w:val="0"/>
      <w:marTop w:val="0"/>
      <w:marBottom w:val="0"/>
      <w:divBdr>
        <w:top w:val="none" w:sz="0" w:space="0" w:color="auto"/>
        <w:left w:val="none" w:sz="0" w:space="0" w:color="auto"/>
        <w:bottom w:val="none" w:sz="0" w:space="0" w:color="auto"/>
        <w:right w:val="none" w:sz="0" w:space="0" w:color="auto"/>
      </w:divBdr>
    </w:div>
    <w:div w:id="617418631">
      <w:bodyDiv w:val="1"/>
      <w:marLeft w:val="0"/>
      <w:marRight w:val="0"/>
      <w:marTop w:val="0"/>
      <w:marBottom w:val="0"/>
      <w:divBdr>
        <w:top w:val="none" w:sz="0" w:space="0" w:color="auto"/>
        <w:left w:val="none" w:sz="0" w:space="0" w:color="auto"/>
        <w:bottom w:val="none" w:sz="0" w:space="0" w:color="auto"/>
        <w:right w:val="none" w:sz="0" w:space="0" w:color="auto"/>
      </w:divBdr>
    </w:div>
    <w:div w:id="620377963">
      <w:bodyDiv w:val="1"/>
      <w:marLeft w:val="0"/>
      <w:marRight w:val="0"/>
      <w:marTop w:val="0"/>
      <w:marBottom w:val="0"/>
      <w:divBdr>
        <w:top w:val="none" w:sz="0" w:space="0" w:color="auto"/>
        <w:left w:val="none" w:sz="0" w:space="0" w:color="auto"/>
        <w:bottom w:val="none" w:sz="0" w:space="0" w:color="auto"/>
        <w:right w:val="none" w:sz="0" w:space="0" w:color="auto"/>
      </w:divBdr>
      <w:divsChild>
        <w:div w:id="1053306607">
          <w:marLeft w:val="2"/>
          <w:marRight w:val="0"/>
          <w:marTop w:val="0"/>
          <w:marBottom w:val="0"/>
          <w:divBdr>
            <w:top w:val="none" w:sz="0" w:space="0" w:color="auto"/>
            <w:left w:val="none" w:sz="0" w:space="0" w:color="auto"/>
            <w:bottom w:val="none" w:sz="0" w:space="0" w:color="auto"/>
            <w:right w:val="none" w:sz="0" w:space="0" w:color="auto"/>
          </w:divBdr>
        </w:div>
        <w:div w:id="1741555253">
          <w:marLeft w:val="2"/>
          <w:marRight w:val="0"/>
          <w:marTop w:val="0"/>
          <w:marBottom w:val="0"/>
          <w:divBdr>
            <w:top w:val="none" w:sz="0" w:space="0" w:color="auto"/>
            <w:left w:val="none" w:sz="0" w:space="0" w:color="auto"/>
            <w:bottom w:val="none" w:sz="0" w:space="0" w:color="auto"/>
            <w:right w:val="none" w:sz="0" w:space="0" w:color="auto"/>
          </w:divBdr>
        </w:div>
      </w:divsChild>
    </w:div>
    <w:div w:id="664940162">
      <w:bodyDiv w:val="1"/>
      <w:marLeft w:val="0"/>
      <w:marRight w:val="0"/>
      <w:marTop w:val="0"/>
      <w:marBottom w:val="0"/>
      <w:divBdr>
        <w:top w:val="none" w:sz="0" w:space="0" w:color="auto"/>
        <w:left w:val="none" w:sz="0" w:space="0" w:color="auto"/>
        <w:bottom w:val="none" w:sz="0" w:space="0" w:color="auto"/>
        <w:right w:val="none" w:sz="0" w:space="0" w:color="auto"/>
      </w:divBdr>
    </w:div>
    <w:div w:id="666904632">
      <w:bodyDiv w:val="1"/>
      <w:marLeft w:val="0"/>
      <w:marRight w:val="0"/>
      <w:marTop w:val="0"/>
      <w:marBottom w:val="0"/>
      <w:divBdr>
        <w:top w:val="none" w:sz="0" w:space="0" w:color="auto"/>
        <w:left w:val="none" w:sz="0" w:space="0" w:color="auto"/>
        <w:bottom w:val="none" w:sz="0" w:space="0" w:color="auto"/>
        <w:right w:val="none" w:sz="0" w:space="0" w:color="auto"/>
      </w:divBdr>
      <w:divsChild>
        <w:div w:id="1047417991">
          <w:marLeft w:val="-15"/>
          <w:marRight w:val="0"/>
          <w:marTop w:val="0"/>
          <w:marBottom w:val="0"/>
          <w:divBdr>
            <w:top w:val="none" w:sz="0" w:space="0" w:color="auto"/>
            <w:left w:val="none" w:sz="0" w:space="0" w:color="auto"/>
            <w:bottom w:val="none" w:sz="0" w:space="0" w:color="auto"/>
            <w:right w:val="none" w:sz="0" w:space="0" w:color="auto"/>
          </w:divBdr>
        </w:div>
      </w:divsChild>
    </w:div>
    <w:div w:id="757562033">
      <w:bodyDiv w:val="1"/>
      <w:marLeft w:val="0"/>
      <w:marRight w:val="0"/>
      <w:marTop w:val="0"/>
      <w:marBottom w:val="0"/>
      <w:divBdr>
        <w:top w:val="none" w:sz="0" w:space="0" w:color="auto"/>
        <w:left w:val="none" w:sz="0" w:space="0" w:color="auto"/>
        <w:bottom w:val="none" w:sz="0" w:space="0" w:color="auto"/>
        <w:right w:val="none" w:sz="0" w:space="0" w:color="auto"/>
      </w:divBdr>
    </w:div>
    <w:div w:id="795945872">
      <w:bodyDiv w:val="1"/>
      <w:marLeft w:val="0"/>
      <w:marRight w:val="0"/>
      <w:marTop w:val="0"/>
      <w:marBottom w:val="0"/>
      <w:divBdr>
        <w:top w:val="none" w:sz="0" w:space="0" w:color="auto"/>
        <w:left w:val="none" w:sz="0" w:space="0" w:color="auto"/>
        <w:bottom w:val="none" w:sz="0" w:space="0" w:color="auto"/>
        <w:right w:val="none" w:sz="0" w:space="0" w:color="auto"/>
      </w:divBdr>
    </w:div>
    <w:div w:id="1021979981">
      <w:bodyDiv w:val="1"/>
      <w:marLeft w:val="0"/>
      <w:marRight w:val="0"/>
      <w:marTop w:val="0"/>
      <w:marBottom w:val="0"/>
      <w:divBdr>
        <w:top w:val="none" w:sz="0" w:space="0" w:color="auto"/>
        <w:left w:val="none" w:sz="0" w:space="0" w:color="auto"/>
        <w:bottom w:val="none" w:sz="0" w:space="0" w:color="auto"/>
        <w:right w:val="none" w:sz="0" w:space="0" w:color="auto"/>
      </w:divBdr>
      <w:divsChild>
        <w:div w:id="103770234">
          <w:marLeft w:val="0"/>
          <w:marRight w:val="0"/>
          <w:marTop w:val="0"/>
          <w:marBottom w:val="0"/>
          <w:divBdr>
            <w:top w:val="none" w:sz="0" w:space="0" w:color="auto"/>
            <w:left w:val="none" w:sz="0" w:space="0" w:color="auto"/>
            <w:bottom w:val="none" w:sz="0" w:space="0" w:color="auto"/>
            <w:right w:val="none" w:sz="0" w:space="0" w:color="auto"/>
          </w:divBdr>
        </w:div>
      </w:divsChild>
    </w:div>
    <w:div w:id="1122111951">
      <w:bodyDiv w:val="1"/>
      <w:marLeft w:val="0"/>
      <w:marRight w:val="0"/>
      <w:marTop w:val="0"/>
      <w:marBottom w:val="0"/>
      <w:divBdr>
        <w:top w:val="none" w:sz="0" w:space="0" w:color="auto"/>
        <w:left w:val="none" w:sz="0" w:space="0" w:color="auto"/>
        <w:bottom w:val="none" w:sz="0" w:space="0" w:color="auto"/>
        <w:right w:val="none" w:sz="0" w:space="0" w:color="auto"/>
      </w:divBdr>
      <w:divsChild>
        <w:div w:id="1464885368">
          <w:marLeft w:val="-285"/>
          <w:marRight w:val="0"/>
          <w:marTop w:val="0"/>
          <w:marBottom w:val="0"/>
          <w:divBdr>
            <w:top w:val="none" w:sz="0" w:space="0" w:color="auto"/>
            <w:left w:val="none" w:sz="0" w:space="0" w:color="auto"/>
            <w:bottom w:val="none" w:sz="0" w:space="0" w:color="auto"/>
            <w:right w:val="none" w:sz="0" w:space="0" w:color="auto"/>
          </w:divBdr>
        </w:div>
      </w:divsChild>
    </w:div>
    <w:div w:id="1277173394">
      <w:bodyDiv w:val="1"/>
      <w:marLeft w:val="0"/>
      <w:marRight w:val="0"/>
      <w:marTop w:val="0"/>
      <w:marBottom w:val="0"/>
      <w:divBdr>
        <w:top w:val="none" w:sz="0" w:space="0" w:color="auto"/>
        <w:left w:val="none" w:sz="0" w:space="0" w:color="auto"/>
        <w:bottom w:val="none" w:sz="0" w:space="0" w:color="auto"/>
        <w:right w:val="none" w:sz="0" w:space="0" w:color="auto"/>
      </w:divBdr>
    </w:div>
    <w:div w:id="1285963813">
      <w:bodyDiv w:val="1"/>
      <w:marLeft w:val="0"/>
      <w:marRight w:val="0"/>
      <w:marTop w:val="0"/>
      <w:marBottom w:val="0"/>
      <w:divBdr>
        <w:top w:val="none" w:sz="0" w:space="0" w:color="auto"/>
        <w:left w:val="none" w:sz="0" w:space="0" w:color="auto"/>
        <w:bottom w:val="none" w:sz="0" w:space="0" w:color="auto"/>
        <w:right w:val="none" w:sz="0" w:space="0" w:color="auto"/>
      </w:divBdr>
    </w:div>
    <w:div w:id="1477260454">
      <w:bodyDiv w:val="1"/>
      <w:marLeft w:val="0"/>
      <w:marRight w:val="0"/>
      <w:marTop w:val="0"/>
      <w:marBottom w:val="0"/>
      <w:divBdr>
        <w:top w:val="none" w:sz="0" w:space="0" w:color="auto"/>
        <w:left w:val="none" w:sz="0" w:space="0" w:color="auto"/>
        <w:bottom w:val="none" w:sz="0" w:space="0" w:color="auto"/>
        <w:right w:val="none" w:sz="0" w:space="0" w:color="auto"/>
      </w:divBdr>
    </w:div>
    <w:div w:id="1484741178">
      <w:bodyDiv w:val="1"/>
      <w:marLeft w:val="0"/>
      <w:marRight w:val="0"/>
      <w:marTop w:val="0"/>
      <w:marBottom w:val="0"/>
      <w:divBdr>
        <w:top w:val="none" w:sz="0" w:space="0" w:color="auto"/>
        <w:left w:val="none" w:sz="0" w:space="0" w:color="auto"/>
        <w:bottom w:val="none" w:sz="0" w:space="0" w:color="auto"/>
        <w:right w:val="none" w:sz="0" w:space="0" w:color="auto"/>
      </w:divBdr>
    </w:div>
    <w:div w:id="1501003264">
      <w:bodyDiv w:val="1"/>
      <w:marLeft w:val="0"/>
      <w:marRight w:val="0"/>
      <w:marTop w:val="0"/>
      <w:marBottom w:val="0"/>
      <w:divBdr>
        <w:top w:val="none" w:sz="0" w:space="0" w:color="auto"/>
        <w:left w:val="none" w:sz="0" w:space="0" w:color="auto"/>
        <w:bottom w:val="none" w:sz="0" w:space="0" w:color="auto"/>
        <w:right w:val="none" w:sz="0" w:space="0" w:color="auto"/>
      </w:divBdr>
    </w:div>
    <w:div w:id="1503744249">
      <w:bodyDiv w:val="1"/>
      <w:marLeft w:val="0"/>
      <w:marRight w:val="0"/>
      <w:marTop w:val="0"/>
      <w:marBottom w:val="0"/>
      <w:divBdr>
        <w:top w:val="none" w:sz="0" w:space="0" w:color="auto"/>
        <w:left w:val="none" w:sz="0" w:space="0" w:color="auto"/>
        <w:bottom w:val="none" w:sz="0" w:space="0" w:color="auto"/>
        <w:right w:val="none" w:sz="0" w:space="0" w:color="auto"/>
      </w:divBdr>
    </w:div>
    <w:div w:id="1507280767">
      <w:bodyDiv w:val="1"/>
      <w:marLeft w:val="0"/>
      <w:marRight w:val="0"/>
      <w:marTop w:val="0"/>
      <w:marBottom w:val="0"/>
      <w:divBdr>
        <w:top w:val="none" w:sz="0" w:space="0" w:color="auto"/>
        <w:left w:val="none" w:sz="0" w:space="0" w:color="auto"/>
        <w:bottom w:val="none" w:sz="0" w:space="0" w:color="auto"/>
        <w:right w:val="none" w:sz="0" w:space="0" w:color="auto"/>
      </w:divBdr>
      <w:divsChild>
        <w:div w:id="705644341">
          <w:marLeft w:val="0"/>
          <w:marRight w:val="0"/>
          <w:marTop w:val="0"/>
          <w:marBottom w:val="0"/>
          <w:divBdr>
            <w:top w:val="none" w:sz="0" w:space="0" w:color="auto"/>
            <w:left w:val="none" w:sz="0" w:space="0" w:color="auto"/>
            <w:bottom w:val="none" w:sz="0" w:space="0" w:color="auto"/>
            <w:right w:val="none" w:sz="0" w:space="0" w:color="auto"/>
          </w:divBdr>
        </w:div>
      </w:divsChild>
    </w:div>
    <w:div w:id="1607496138">
      <w:bodyDiv w:val="1"/>
      <w:marLeft w:val="0"/>
      <w:marRight w:val="0"/>
      <w:marTop w:val="0"/>
      <w:marBottom w:val="0"/>
      <w:divBdr>
        <w:top w:val="none" w:sz="0" w:space="0" w:color="auto"/>
        <w:left w:val="none" w:sz="0" w:space="0" w:color="auto"/>
        <w:bottom w:val="none" w:sz="0" w:space="0" w:color="auto"/>
        <w:right w:val="none" w:sz="0" w:space="0" w:color="auto"/>
      </w:divBdr>
    </w:div>
    <w:div w:id="1644577568">
      <w:bodyDiv w:val="1"/>
      <w:marLeft w:val="0"/>
      <w:marRight w:val="0"/>
      <w:marTop w:val="0"/>
      <w:marBottom w:val="0"/>
      <w:divBdr>
        <w:top w:val="none" w:sz="0" w:space="0" w:color="auto"/>
        <w:left w:val="none" w:sz="0" w:space="0" w:color="auto"/>
        <w:bottom w:val="none" w:sz="0" w:space="0" w:color="auto"/>
        <w:right w:val="none" w:sz="0" w:space="0" w:color="auto"/>
      </w:divBdr>
    </w:div>
    <w:div w:id="1691956484">
      <w:bodyDiv w:val="1"/>
      <w:marLeft w:val="0"/>
      <w:marRight w:val="0"/>
      <w:marTop w:val="0"/>
      <w:marBottom w:val="0"/>
      <w:divBdr>
        <w:top w:val="none" w:sz="0" w:space="0" w:color="auto"/>
        <w:left w:val="none" w:sz="0" w:space="0" w:color="auto"/>
        <w:bottom w:val="none" w:sz="0" w:space="0" w:color="auto"/>
        <w:right w:val="none" w:sz="0" w:space="0" w:color="auto"/>
      </w:divBdr>
    </w:div>
    <w:div w:id="1844971818">
      <w:bodyDiv w:val="1"/>
      <w:marLeft w:val="0"/>
      <w:marRight w:val="0"/>
      <w:marTop w:val="0"/>
      <w:marBottom w:val="0"/>
      <w:divBdr>
        <w:top w:val="none" w:sz="0" w:space="0" w:color="auto"/>
        <w:left w:val="none" w:sz="0" w:space="0" w:color="auto"/>
        <w:bottom w:val="none" w:sz="0" w:space="0" w:color="auto"/>
        <w:right w:val="none" w:sz="0" w:space="0" w:color="auto"/>
      </w:divBdr>
    </w:div>
    <w:div w:id="1846940554">
      <w:bodyDiv w:val="1"/>
      <w:marLeft w:val="0"/>
      <w:marRight w:val="0"/>
      <w:marTop w:val="0"/>
      <w:marBottom w:val="0"/>
      <w:divBdr>
        <w:top w:val="none" w:sz="0" w:space="0" w:color="auto"/>
        <w:left w:val="none" w:sz="0" w:space="0" w:color="auto"/>
        <w:bottom w:val="none" w:sz="0" w:space="0" w:color="auto"/>
        <w:right w:val="none" w:sz="0" w:space="0" w:color="auto"/>
      </w:divBdr>
    </w:div>
    <w:div w:id="1875188152">
      <w:bodyDiv w:val="1"/>
      <w:marLeft w:val="0"/>
      <w:marRight w:val="0"/>
      <w:marTop w:val="0"/>
      <w:marBottom w:val="0"/>
      <w:divBdr>
        <w:top w:val="none" w:sz="0" w:space="0" w:color="auto"/>
        <w:left w:val="none" w:sz="0" w:space="0" w:color="auto"/>
        <w:bottom w:val="none" w:sz="0" w:space="0" w:color="auto"/>
        <w:right w:val="none" w:sz="0" w:space="0" w:color="auto"/>
      </w:divBdr>
    </w:div>
    <w:div w:id="1983462571">
      <w:bodyDiv w:val="1"/>
      <w:marLeft w:val="0"/>
      <w:marRight w:val="0"/>
      <w:marTop w:val="0"/>
      <w:marBottom w:val="0"/>
      <w:divBdr>
        <w:top w:val="none" w:sz="0" w:space="0" w:color="auto"/>
        <w:left w:val="none" w:sz="0" w:space="0" w:color="auto"/>
        <w:bottom w:val="none" w:sz="0" w:space="0" w:color="auto"/>
        <w:right w:val="none" w:sz="0" w:space="0" w:color="auto"/>
      </w:divBdr>
      <w:divsChild>
        <w:div w:id="506141594">
          <w:marLeft w:val="15"/>
          <w:marRight w:val="0"/>
          <w:marTop w:val="0"/>
          <w:marBottom w:val="0"/>
          <w:divBdr>
            <w:top w:val="none" w:sz="0" w:space="0" w:color="auto"/>
            <w:left w:val="none" w:sz="0" w:space="0" w:color="auto"/>
            <w:bottom w:val="none" w:sz="0" w:space="0" w:color="auto"/>
            <w:right w:val="none" w:sz="0" w:space="0" w:color="auto"/>
          </w:divBdr>
        </w:div>
      </w:divsChild>
    </w:div>
    <w:div w:id="2004308970">
      <w:bodyDiv w:val="1"/>
      <w:marLeft w:val="0"/>
      <w:marRight w:val="0"/>
      <w:marTop w:val="0"/>
      <w:marBottom w:val="0"/>
      <w:divBdr>
        <w:top w:val="none" w:sz="0" w:space="0" w:color="auto"/>
        <w:left w:val="none" w:sz="0" w:space="0" w:color="auto"/>
        <w:bottom w:val="none" w:sz="0" w:space="0" w:color="auto"/>
        <w:right w:val="none" w:sz="0" w:space="0" w:color="auto"/>
      </w:divBdr>
      <w:divsChild>
        <w:div w:id="531768059">
          <w:marLeft w:val="15"/>
          <w:marRight w:val="0"/>
          <w:marTop w:val="0"/>
          <w:marBottom w:val="0"/>
          <w:divBdr>
            <w:top w:val="none" w:sz="0" w:space="0" w:color="auto"/>
            <w:left w:val="none" w:sz="0" w:space="0" w:color="auto"/>
            <w:bottom w:val="none" w:sz="0" w:space="0" w:color="auto"/>
            <w:right w:val="none" w:sz="0" w:space="0" w:color="auto"/>
          </w:divBdr>
        </w:div>
      </w:divsChild>
    </w:div>
    <w:div w:id="2011643396">
      <w:bodyDiv w:val="1"/>
      <w:marLeft w:val="0"/>
      <w:marRight w:val="0"/>
      <w:marTop w:val="0"/>
      <w:marBottom w:val="0"/>
      <w:divBdr>
        <w:top w:val="none" w:sz="0" w:space="0" w:color="auto"/>
        <w:left w:val="none" w:sz="0" w:space="0" w:color="auto"/>
        <w:bottom w:val="none" w:sz="0" w:space="0" w:color="auto"/>
        <w:right w:val="none" w:sz="0" w:space="0" w:color="auto"/>
      </w:divBdr>
    </w:div>
    <w:div w:id="2019893243">
      <w:bodyDiv w:val="1"/>
      <w:marLeft w:val="0"/>
      <w:marRight w:val="0"/>
      <w:marTop w:val="0"/>
      <w:marBottom w:val="0"/>
      <w:divBdr>
        <w:top w:val="none" w:sz="0" w:space="0" w:color="auto"/>
        <w:left w:val="none" w:sz="0" w:space="0" w:color="auto"/>
        <w:bottom w:val="none" w:sz="0" w:space="0" w:color="auto"/>
        <w:right w:val="none" w:sz="0" w:space="0" w:color="auto"/>
      </w:divBdr>
    </w:div>
    <w:div w:id="2097554547">
      <w:bodyDiv w:val="1"/>
      <w:marLeft w:val="0"/>
      <w:marRight w:val="0"/>
      <w:marTop w:val="0"/>
      <w:marBottom w:val="0"/>
      <w:divBdr>
        <w:top w:val="none" w:sz="0" w:space="0" w:color="auto"/>
        <w:left w:val="none" w:sz="0" w:space="0" w:color="auto"/>
        <w:bottom w:val="none" w:sz="0" w:space="0" w:color="auto"/>
        <w:right w:val="none" w:sz="0" w:space="0" w:color="auto"/>
      </w:divBdr>
      <w:divsChild>
        <w:div w:id="2109037540">
          <w:marLeft w:val="-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ublicacoes.epagri.sc.gov.br/rac/article/view/113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conab.gov.br/info-agro/hortigranjeiros-proho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lesc.sc.gov.br/expediente/2015/PL__0338_2_2015_Original.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fraiburgo.atende.net/cidadao/pagina/historico-da-maca"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cidades.ibge.gov.br/brasil/sc/sao-joaquim/panor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CD489-43BA-40C2-9751-9118CAEE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6238</Words>
  <Characters>33691</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Rogério Goulart Junior</dc:creator>
  <cp:lastModifiedBy>Júlia Oliveira</cp:lastModifiedBy>
  <cp:revision>3</cp:revision>
  <dcterms:created xsi:type="dcterms:W3CDTF">2025-03-12T20:41:00Z</dcterms:created>
  <dcterms:modified xsi:type="dcterms:W3CDTF">2025-03-12T20:41:00Z</dcterms:modified>
</cp:coreProperties>
</file>