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5499" w14:textId="0BCB200B" w:rsidR="00F900E9" w:rsidRDefault="001A6D70" w:rsidP="00D22A2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ECOLOGICAL </w:t>
      </w:r>
      <w:r w:rsidR="008E373E">
        <w:rPr>
          <w:rFonts w:ascii="Times New Roman" w:hAnsi="Times New Roman" w:cs="Times New Roman"/>
          <w:b/>
          <w:sz w:val="28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PECIFICITY</w:t>
      </w:r>
      <w:r w:rsidR="008E373E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POLAR</w:t>
      </w:r>
      <w:r w:rsidR="008E373E">
        <w:rPr>
          <w:rFonts w:ascii="Times New Roman" w:hAnsi="Times New Roman" w:cs="Times New Roman"/>
          <w:b/>
          <w:sz w:val="28"/>
          <w:szCs w:val="24"/>
          <w:lang w:val="en-US"/>
        </w:rPr>
        <w:t xml:space="preserve"> LICHEN </w:t>
      </w:r>
      <w:r w:rsidR="001D05B1">
        <w:rPr>
          <w:rFonts w:ascii="Times New Roman" w:hAnsi="Times New Roman" w:cs="Times New Roman"/>
          <w:b/>
          <w:sz w:val="28"/>
          <w:szCs w:val="24"/>
          <w:lang w:val="en-US"/>
        </w:rPr>
        <w:t>MICROBIOME</w:t>
      </w:r>
      <w:r w:rsidR="00CD48FA">
        <w:rPr>
          <w:rFonts w:ascii="Times New Roman" w:hAnsi="Times New Roman" w:cs="Times New Roman"/>
          <w:b/>
          <w:sz w:val="28"/>
          <w:szCs w:val="24"/>
          <w:lang w:val="en-US"/>
        </w:rPr>
        <w:t>S</w:t>
      </w:r>
    </w:p>
    <w:p w14:paraId="2EE6A3BD" w14:textId="2D5DFA04" w:rsidR="00D22A2A" w:rsidRPr="002E37F1" w:rsidRDefault="001A6D70" w:rsidP="00D22A2A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s-ES"/>
        </w:rPr>
      </w:pPr>
      <w:r w:rsidRPr="002E37F1">
        <w:rPr>
          <w:rFonts w:ascii="Times" w:hAnsi="Times"/>
          <w:sz w:val="24"/>
          <w:szCs w:val="24"/>
          <w:lang w:val="es-ES"/>
        </w:rPr>
        <w:t>Asunción</w:t>
      </w:r>
      <w:r w:rsidR="002D5381">
        <w:rPr>
          <w:rFonts w:ascii="Times" w:hAnsi="Times"/>
          <w:sz w:val="24"/>
          <w:szCs w:val="24"/>
          <w:lang w:val="es-ES"/>
        </w:rPr>
        <w:t xml:space="preserve"> de los Ríos</w:t>
      </w:r>
      <w:r w:rsidRPr="002E37F1">
        <w:rPr>
          <w:rFonts w:ascii="Times" w:hAnsi="Times"/>
          <w:sz w:val="24"/>
          <w:szCs w:val="24"/>
          <w:vertAlign w:val="superscript"/>
          <w:lang w:val="es-ES"/>
        </w:rPr>
        <w:t>1*</w:t>
      </w:r>
      <w:r>
        <w:rPr>
          <w:rFonts w:ascii="Times" w:hAnsi="Times"/>
          <w:sz w:val="24"/>
          <w:szCs w:val="24"/>
          <w:lang w:val="es-ES"/>
        </w:rPr>
        <w:t xml:space="preserve">; </w:t>
      </w:r>
      <w:r w:rsidR="002D5381">
        <w:rPr>
          <w:rFonts w:ascii="Times" w:hAnsi="Times"/>
          <w:sz w:val="24"/>
          <w:szCs w:val="24"/>
          <w:lang w:val="es-ES"/>
        </w:rPr>
        <w:t xml:space="preserve">Isaac </w:t>
      </w:r>
      <w:r w:rsidR="002E37F1" w:rsidRPr="002E37F1">
        <w:rPr>
          <w:rFonts w:ascii="Times" w:hAnsi="Times"/>
          <w:sz w:val="24"/>
          <w:szCs w:val="24"/>
          <w:lang w:val="es-ES"/>
        </w:rPr>
        <w:t>Garrido-Benavent</w:t>
      </w:r>
      <w:r w:rsidR="0062477E" w:rsidRPr="002E37F1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62477E" w:rsidRPr="002E37F1">
        <w:rPr>
          <w:rFonts w:ascii="Times" w:hAnsi="Times"/>
          <w:sz w:val="24"/>
          <w:szCs w:val="24"/>
          <w:lang w:val="es-ES"/>
        </w:rPr>
        <w:t xml:space="preserve">; </w:t>
      </w:r>
      <w:proofErr w:type="spellStart"/>
      <w:r w:rsidR="002D5381">
        <w:rPr>
          <w:rFonts w:ascii="Times" w:hAnsi="Times"/>
          <w:sz w:val="24"/>
          <w:szCs w:val="24"/>
          <w:lang w:val="es-ES"/>
        </w:rPr>
        <w:t>Noemi</w:t>
      </w:r>
      <w:proofErr w:type="spellEnd"/>
      <w:r w:rsidR="002D5381">
        <w:rPr>
          <w:rFonts w:ascii="Times" w:hAnsi="Times"/>
          <w:sz w:val="24"/>
          <w:szCs w:val="24"/>
          <w:lang w:val="es-ES"/>
        </w:rPr>
        <w:t xml:space="preserve"> </w:t>
      </w:r>
      <w:r>
        <w:rPr>
          <w:rFonts w:ascii="Times" w:hAnsi="Times"/>
          <w:sz w:val="24"/>
          <w:szCs w:val="24"/>
          <w:lang w:val="es-ES"/>
        </w:rPr>
        <w:t>de la Mata</w:t>
      </w:r>
      <w:r w:rsidRPr="002E37F1">
        <w:rPr>
          <w:rFonts w:ascii="Times" w:hAnsi="Times"/>
          <w:sz w:val="24"/>
          <w:szCs w:val="24"/>
          <w:vertAlign w:val="superscript"/>
          <w:lang w:val="es-ES"/>
        </w:rPr>
        <w:t>1</w:t>
      </w:r>
      <w:r w:rsidR="0041562C" w:rsidRPr="002E37F1">
        <w:rPr>
          <w:rFonts w:ascii="Times" w:hAnsi="Times"/>
          <w:sz w:val="24"/>
          <w:szCs w:val="24"/>
          <w:lang w:val="es-ES"/>
        </w:rPr>
        <w:t xml:space="preserve">; </w:t>
      </w:r>
      <w:proofErr w:type="spellStart"/>
      <w:r w:rsidR="002D5381">
        <w:rPr>
          <w:rFonts w:ascii="Times" w:hAnsi="Times"/>
          <w:sz w:val="24"/>
          <w:szCs w:val="24"/>
          <w:lang w:val="es-ES"/>
        </w:rPr>
        <w:t>Starri</w:t>
      </w:r>
      <w:proofErr w:type="spellEnd"/>
      <w:r w:rsidR="002D5381">
        <w:rPr>
          <w:rFonts w:ascii="Times" w:hAnsi="Times"/>
          <w:sz w:val="24"/>
          <w:szCs w:val="24"/>
          <w:lang w:val="es-ES"/>
        </w:rPr>
        <w:t xml:space="preserve"> </w:t>
      </w:r>
      <w:r w:rsidR="00711734" w:rsidRPr="00DB4A77">
        <w:rPr>
          <w:rFonts w:ascii="Times" w:hAnsi="Times"/>
          <w:sz w:val="24"/>
          <w:szCs w:val="24"/>
          <w:lang w:val="es-ES"/>
        </w:rPr>
        <w:t>Heiðmarsson</w:t>
      </w:r>
      <w:r>
        <w:rPr>
          <w:rFonts w:ascii="Times" w:hAnsi="Times"/>
          <w:sz w:val="24"/>
          <w:szCs w:val="24"/>
          <w:vertAlign w:val="superscript"/>
          <w:lang w:val="es-ES"/>
        </w:rPr>
        <w:t>2</w:t>
      </w:r>
      <w:r w:rsidR="00711734" w:rsidRPr="00DB4A77">
        <w:rPr>
          <w:rFonts w:ascii="Times" w:hAnsi="Times"/>
          <w:sz w:val="24"/>
          <w:szCs w:val="24"/>
          <w:lang w:val="es-ES"/>
        </w:rPr>
        <w:t xml:space="preserve">; </w:t>
      </w:r>
      <w:r>
        <w:rPr>
          <w:rFonts w:ascii="Times" w:hAnsi="Times"/>
          <w:sz w:val="24"/>
          <w:szCs w:val="24"/>
          <w:lang w:val="es-ES"/>
        </w:rPr>
        <w:t>Alexandra</w:t>
      </w:r>
      <w:r w:rsidR="002D5381" w:rsidRPr="002D5381">
        <w:rPr>
          <w:rFonts w:ascii="Times" w:hAnsi="Times"/>
          <w:sz w:val="24"/>
          <w:szCs w:val="24"/>
          <w:lang w:val="es-ES"/>
        </w:rPr>
        <w:t xml:space="preserve"> </w:t>
      </w:r>
      <w:r w:rsidR="002D5381">
        <w:rPr>
          <w:rFonts w:ascii="Times" w:hAnsi="Times"/>
          <w:sz w:val="24"/>
          <w:szCs w:val="24"/>
          <w:lang w:val="es-ES"/>
        </w:rPr>
        <w:t>Rodríguez</w:t>
      </w:r>
      <w:r w:rsidR="00E923B0" w:rsidRPr="00F56412">
        <w:rPr>
          <w:rFonts w:ascii="Times" w:hAnsi="Times"/>
          <w:sz w:val="24"/>
          <w:szCs w:val="24"/>
          <w:vertAlign w:val="superscript"/>
          <w:lang w:val="es-ES"/>
        </w:rPr>
        <w:t>3</w:t>
      </w:r>
      <w:r>
        <w:rPr>
          <w:rFonts w:ascii="Times" w:hAnsi="Times"/>
          <w:sz w:val="24"/>
          <w:szCs w:val="24"/>
          <w:lang w:val="es-ES"/>
        </w:rPr>
        <w:t>; Jorge</w:t>
      </w:r>
      <w:r w:rsidR="002D5381" w:rsidRPr="002D5381">
        <w:rPr>
          <w:rFonts w:ascii="Times" w:hAnsi="Times"/>
          <w:sz w:val="24"/>
          <w:szCs w:val="24"/>
          <w:lang w:val="es-ES"/>
        </w:rPr>
        <w:t xml:space="preserve"> </w:t>
      </w:r>
      <w:r w:rsidR="002D5381">
        <w:rPr>
          <w:rFonts w:ascii="Times" w:hAnsi="Times"/>
          <w:sz w:val="24"/>
          <w:szCs w:val="24"/>
          <w:lang w:val="es-ES"/>
        </w:rPr>
        <w:t>Durán</w:t>
      </w:r>
      <w:r w:rsidR="00E923B0" w:rsidRPr="00F56412">
        <w:rPr>
          <w:rFonts w:ascii="Times" w:hAnsi="Times"/>
          <w:sz w:val="24"/>
          <w:szCs w:val="24"/>
          <w:vertAlign w:val="superscript"/>
          <w:lang w:val="es-ES"/>
        </w:rPr>
        <w:t>3</w:t>
      </w:r>
      <w:r>
        <w:rPr>
          <w:rFonts w:ascii="Times" w:hAnsi="Times"/>
          <w:sz w:val="24"/>
          <w:szCs w:val="24"/>
          <w:lang w:val="es-ES"/>
        </w:rPr>
        <w:t>; C</w:t>
      </w:r>
      <w:r w:rsidR="002D5381">
        <w:rPr>
          <w:rFonts w:ascii="Times" w:hAnsi="Times"/>
          <w:sz w:val="24"/>
          <w:szCs w:val="24"/>
          <w:lang w:val="es-ES"/>
        </w:rPr>
        <w:t>armen Ascaso</w:t>
      </w:r>
      <w:r w:rsidR="002D5381" w:rsidRPr="002E37F1">
        <w:rPr>
          <w:rFonts w:ascii="Times" w:hAnsi="Times"/>
          <w:sz w:val="24"/>
          <w:szCs w:val="24"/>
          <w:vertAlign w:val="superscript"/>
          <w:lang w:val="es-ES"/>
        </w:rPr>
        <w:t>1</w:t>
      </w:r>
    </w:p>
    <w:p w14:paraId="612446E0" w14:textId="539A0D17" w:rsidR="00D22A2A" w:rsidRPr="002E37F1" w:rsidRDefault="00D22A2A" w:rsidP="00D22A2A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2E37F1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2E37F1" w:rsidRPr="005B4BB6">
        <w:rPr>
          <w:rFonts w:ascii="Times New Roman" w:hAnsi="Times New Roman" w:cs="Times New Roman"/>
          <w:lang w:val="en-US"/>
        </w:rPr>
        <w:t xml:space="preserve">Dept. </w:t>
      </w:r>
      <w:r w:rsidR="002E37F1" w:rsidRPr="002E37F1">
        <w:rPr>
          <w:rFonts w:ascii="Times New Roman" w:hAnsi="Times New Roman" w:cs="Times New Roman"/>
          <w:lang w:val="en-US"/>
        </w:rPr>
        <w:t xml:space="preserve">Biogeochemistry and Microbial Ecology, National Museum of Natural Sciences (CSIC), </w:t>
      </w:r>
      <w:r w:rsidR="002E37F1" w:rsidRPr="005B4BB6">
        <w:rPr>
          <w:rFonts w:ascii="Times New Roman" w:hAnsi="Times New Roman" w:cs="Times New Roman"/>
          <w:lang w:val="en-US"/>
        </w:rPr>
        <w:t>28002 Madrid,</w:t>
      </w:r>
      <w:r w:rsidR="002E37F1" w:rsidRPr="002E37F1">
        <w:rPr>
          <w:rFonts w:ascii="Times New Roman" w:hAnsi="Times New Roman" w:cs="Times New Roman"/>
          <w:lang w:val="en-US"/>
        </w:rPr>
        <w:t xml:space="preserve"> </w:t>
      </w:r>
      <w:r w:rsidR="002E37F1" w:rsidRPr="005B4BB6">
        <w:rPr>
          <w:rFonts w:ascii="Times New Roman" w:hAnsi="Times New Roman" w:cs="Times New Roman"/>
          <w:lang w:val="en-US"/>
        </w:rPr>
        <w:t>Spain</w:t>
      </w:r>
      <w:r w:rsidRPr="002E37F1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1A6D70">
        <w:rPr>
          <w:rFonts w:ascii="Times" w:hAnsi="Times"/>
          <w:sz w:val="24"/>
          <w:szCs w:val="24"/>
          <w:vertAlign w:val="superscript"/>
          <w:lang w:val="en-US"/>
        </w:rPr>
        <w:t>2</w:t>
      </w:r>
      <w:r w:rsidR="001A6D70" w:rsidRPr="00711734">
        <w:rPr>
          <w:rFonts w:ascii="Times New Roman" w:hAnsi="Times New Roman" w:cs="Times New Roman"/>
          <w:lang w:val="en-US"/>
        </w:rPr>
        <w:t xml:space="preserve">Icelandic </w:t>
      </w:r>
      <w:r w:rsidR="00711734" w:rsidRPr="00711734">
        <w:rPr>
          <w:rFonts w:ascii="Times New Roman" w:hAnsi="Times New Roman" w:cs="Times New Roman"/>
          <w:lang w:val="en-US"/>
        </w:rPr>
        <w:t xml:space="preserve">Institute of Natural History, </w:t>
      </w:r>
      <w:proofErr w:type="spellStart"/>
      <w:r w:rsidR="00711734" w:rsidRPr="00711734">
        <w:rPr>
          <w:rFonts w:ascii="Times New Roman" w:hAnsi="Times New Roman" w:cs="Times New Roman"/>
          <w:lang w:val="en-US"/>
        </w:rPr>
        <w:t>Borgir</w:t>
      </w:r>
      <w:proofErr w:type="spellEnd"/>
      <w:r w:rsidR="00711734" w:rsidRPr="0071173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11734" w:rsidRPr="00711734">
        <w:rPr>
          <w:rFonts w:ascii="Times New Roman" w:hAnsi="Times New Roman" w:cs="Times New Roman"/>
          <w:lang w:val="en-US"/>
        </w:rPr>
        <w:t>Norðurslóð</w:t>
      </w:r>
      <w:proofErr w:type="spellEnd"/>
      <w:r w:rsidR="00711734" w:rsidRPr="00711734">
        <w:rPr>
          <w:rFonts w:ascii="Times New Roman" w:hAnsi="Times New Roman" w:cs="Times New Roman"/>
          <w:lang w:val="en-US"/>
        </w:rPr>
        <w:t xml:space="preserve">, IS-600 </w:t>
      </w:r>
      <w:proofErr w:type="spellStart"/>
      <w:r w:rsidR="00711734" w:rsidRPr="00711734">
        <w:rPr>
          <w:rFonts w:ascii="Times New Roman" w:hAnsi="Times New Roman" w:cs="Times New Roman"/>
          <w:lang w:val="en-US"/>
        </w:rPr>
        <w:t>Akureyri</w:t>
      </w:r>
      <w:proofErr w:type="spellEnd"/>
      <w:r w:rsidR="00711734" w:rsidRPr="00711734">
        <w:rPr>
          <w:rFonts w:ascii="Times New Roman" w:hAnsi="Times New Roman" w:cs="Times New Roman"/>
          <w:lang w:val="en-US"/>
        </w:rPr>
        <w:t>, Iceland;</w:t>
      </w:r>
      <w:r w:rsidR="0041562C" w:rsidRPr="002E37F1">
        <w:rPr>
          <w:rFonts w:ascii="Times" w:hAnsi="Times"/>
          <w:color w:val="000000" w:themeColor="text1"/>
          <w:sz w:val="24"/>
          <w:szCs w:val="24"/>
          <w:lang w:val="en-US"/>
        </w:rPr>
        <w:t xml:space="preserve"> </w:t>
      </w:r>
      <w:r w:rsidR="001A6D70" w:rsidRPr="001E0D30">
        <w:rPr>
          <w:rFonts w:ascii="Times" w:hAnsi="Times"/>
          <w:sz w:val="24"/>
          <w:szCs w:val="24"/>
          <w:vertAlign w:val="superscript"/>
          <w:lang w:val="en-US"/>
        </w:rPr>
        <w:t>3</w:t>
      </w:r>
      <w:r w:rsidR="001A6D70" w:rsidRPr="001E0D30">
        <w:rPr>
          <w:rFonts w:ascii="Times" w:hAnsi="Times"/>
          <w:sz w:val="24"/>
          <w:szCs w:val="24"/>
          <w:lang w:val="en-US"/>
        </w:rPr>
        <w:t>Functional Ecology Center, Coimbra, Portugal</w:t>
      </w:r>
      <w:r w:rsidR="004D75F5">
        <w:rPr>
          <w:rFonts w:ascii="Times" w:hAnsi="Times"/>
          <w:sz w:val="24"/>
          <w:szCs w:val="24"/>
          <w:lang w:val="en-US"/>
        </w:rPr>
        <w:t>;</w:t>
      </w:r>
      <w:r w:rsidR="00BB3AB4">
        <w:rPr>
          <w:rFonts w:ascii="Times" w:hAnsi="Times"/>
          <w:sz w:val="24"/>
          <w:szCs w:val="24"/>
          <w:lang w:val="en-US"/>
        </w:rPr>
        <w:t xml:space="preserve"> </w:t>
      </w:r>
      <w:r w:rsidR="0041562C" w:rsidRPr="002E37F1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 w:rsidRPr="002E37F1">
        <w:rPr>
          <w:rFonts w:ascii="Times" w:hAnsi="Times"/>
          <w:color w:val="000000" w:themeColor="text1"/>
          <w:sz w:val="24"/>
          <w:szCs w:val="24"/>
          <w:lang w:val="en-US"/>
        </w:rPr>
        <w:t xml:space="preserve">E-mail: </w:t>
      </w:r>
      <w:r w:rsidR="001A6D70">
        <w:rPr>
          <w:rFonts w:ascii="Times" w:hAnsi="Times"/>
          <w:color w:val="000000" w:themeColor="text1"/>
          <w:sz w:val="24"/>
          <w:szCs w:val="24"/>
          <w:lang w:val="en-US"/>
        </w:rPr>
        <w:t>arios</w:t>
      </w:r>
      <w:r w:rsidR="002E37F1" w:rsidRPr="002E37F1">
        <w:rPr>
          <w:rFonts w:ascii="Times" w:hAnsi="Times"/>
          <w:color w:val="000000" w:themeColor="text1"/>
          <w:sz w:val="24"/>
          <w:szCs w:val="24"/>
          <w:lang w:val="en-US"/>
        </w:rPr>
        <w:t>@mncn.csic.es</w:t>
      </w:r>
    </w:p>
    <w:p w14:paraId="47BFE893" w14:textId="77777777" w:rsidR="00D22A2A" w:rsidRPr="004A6344" w:rsidRDefault="00D22A2A" w:rsidP="00D22A2A">
      <w:pPr>
        <w:rPr>
          <w:rStyle w:val="Hipervnculo"/>
          <w:rFonts w:ascii="Times" w:hAnsi="Times"/>
          <w:sz w:val="24"/>
          <w:szCs w:val="24"/>
          <w:lang w:val="en-US"/>
        </w:rPr>
      </w:pPr>
    </w:p>
    <w:p w14:paraId="114251CF" w14:textId="6DCA9F4B" w:rsidR="008221D0" w:rsidRPr="004933E0" w:rsidRDefault="00722B73" w:rsidP="00F73B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Polar regions are 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likely 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the areas of the world where 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>lichen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communities show their highe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degree of development leading 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the formation of dense 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>cryptogamic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covers on soils. 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areas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, lichens and bryophytes </w:t>
      </w:r>
      <w:r w:rsidR="00DE16FA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growing 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soil 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surface can be associated with </w:t>
      </w:r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microorganisms</w:t>
      </w:r>
      <w:r w:rsidR="00DE16FA" w:rsidRPr="004D75F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such as cyanobacteria and 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>heterotrophic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bacteria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nder </w:t>
      </w:r>
      <w:r w:rsidR="00DE16FA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surface, 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edaphic 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>prokaryotic (bacteria and archaea) and eukaryotic (algae and fungi) microorganisms coexist forming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specific microbial communities</w:t>
      </w:r>
      <w:r w:rsidR="004A634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60999" w:rsidRPr="004D75F5">
        <w:rPr>
          <w:rFonts w:ascii="Times New Roman" w:hAnsi="Times New Roman" w:cs="Times New Roman"/>
          <w:sz w:val="24"/>
          <w:szCs w:val="24"/>
          <w:lang w:val="en-GB"/>
        </w:rPr>
        <w:t>However, t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he diversity and roles of the </w:t>
      </w:r>
      <w:r w:rsidR="00D15A6B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microbiome 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in lichens from </w:t>
      </w:r>
      <w:r w:rsidR="00860999" w:rsidRPr="004D75F5">
        <w:rPr>
          <w:rFonts w:ascii="Times New Roman" w:hAnsi="Times New Roman" w:cs="Times New Roman"/>
          <w:sz w:val="24"/>
          <w:szCs w:val="24"/>
          <w:lang w:val="en-GB"/>
        </w:rPr>
        <w:t>Polar Regions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remains 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="006C32ED">
        <w:rPr>
          <w:rFonts w:ascii="Times New Roman" w:hAnsi="Times New Roman" w:cs="Times New Roman"/>
          <w:sz w:val="24"/>
          <w:szCs w:val="24"/>
          <w:lang w:val="en-GB"/>
        </w:rPr>
        <w:t>der</w:t>
      </w:r>
      <w:r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explored. Hence, we proposed 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to characterize the bacterial community structure of </w:t>
      </w:r>
      <w:r w:rsidR="00860999" w:rsidRPr="004D75F5">
        <w:rPr>
          <w:rFonts w:ascii="Times New Roman" w:hAnsi="Times New Roman" w:cs="Times New Roman"/>
          <w:sz w:val="24"/>
          <w:szCs w:val="24"/>
          <w:lang w:val="en-GB"/>
        </w:rPr>
        <w:t>different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lichen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and moss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species colonizing glacier </w:t>
      </w:r>
      <w:proofErr w:type="spellStart"/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>forefields</w:t>
      </w:r>
      <w:proofErr w:type="spellEnd"/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from both Polar Regions</w:t>
      </w:r>
      <w:r w:rsidR="00525A18" w:rsidRPr="004D75F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and the soils under them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, in order to 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assess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its specificity. 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To do so, we combined h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>igh-throughput amplicon sequencing with electron microscopy. Our results show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0A565C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bacterial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>communit</w:t>
      </w:r>
      <w:r w:rsidR="001311FE" w:rsidRPr="004D75F5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0999" w:rsidRPr="004D75F5">
        <w:rPr>
          <w:rFonts w:ascii="Times New Roman" w:hAnsi="Times New Roman" w:cs="Times New Roman"/>
          <w:sz w:val="24"/>
          <w:szCs w:val="24"/>
          <w:lang w:val="en-GB"/>
        </w:rPr>
        <w:t>differ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ed less among </w:t>
      </w:r>
      <w:r w:rsidR="00BB3AB4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microbiomes of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cryptogamic </w:t>
      </w:r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covers dominated by different </w:t>
      </w:r>
      <w:r w:rsidR="00DD5486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cryptogam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>species</w:t>
      </w:r>
      <w:r w:rsidR="00841E22" w:rsidRPr="004D75F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than between </w:t>
      </w:r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these </w:t>
      </w:r>
      <w:r w:rsidR="00841E22" w:rsidRPr="004D75F5">
        <w:rPr>
          <w:rFonts w:ascii="Times New Roman" w:hAnsi="Times New Roman" w:cs="Times New Roman"/>
          <w:sz w:val="24"/>
          <w:szCs w:val="24"/>
          <w:lang w:val="en-GB"/>
        </w:rPr>
        <w:t>microbiomes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and the </w:t>
      </w:r>
      <w:r w:rsidR="00841E22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bacterial communities from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>soil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D48FA" w:rsidRPr="004D75F5">
        <w:rPr>
          <w:rFonts w:ascii="Times New Roman" w:hAnsi="Times New Roman" w:cs="Times New Roman"/>
          <w:sz w:val="24"/>
          <w:szCs w:val="24"/>
          <w:lang w:val="en-GB"/>
        </w:rPr>
        <w:t>beneath</w:t>
      </w:r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60999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D48FA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edaphic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>bacteria</w:t>
      </w:r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community presented higher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diversity than the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cryptogamic cover </w:t>
      </w:r>
      <w:r w:rsidR="001B23A8" w:rsidRPr="004D75F5">
        <w:rPr>
          <w:rFonts w:ascii="Times New Roman" w:hAnsi="Times New Roman" w:cs="Times New Roman"/>
          <w:sz w:val="24"/>
          <w:szCs w:val="24"/>
          <w:lang w:val="en-GB"/>
        </w:rPr>
        <w:t>microbiome</w:t>
      </w:r>
      <w:r w:rsidR="008E0B25" w:rsidRPr="004D75F5">
        <w:rPr>
          <w:rFonts w:ascii="Times New Roman" w:hAnsi="Times New Roman" w:cs="Times New Roman"/>
          <w:sz w:val="24"/>
          <w:szCs w:val="24"/>
          <w:lang w:val="en-GB"/>
        </w:rPr>
        <w:t>, as shown by the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higher abundance of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specific 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edaphic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>OTUs. However,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certain species specificity was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found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CD48FA" w:rsidRPr="004D75F5">
        <w:rPr>
          <w:rFonts w:ascii="Times New Roman" w:hAnsi="Times New Roman" w:cs="Times New Roman"/>
          <w:sz w:val="24"/>
          <w:szCs w:val="24"/>
          <w:lang w:val="en-GB"/>
        </w:rPr>
        <w:t>the microbiomes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of different lichen</w:t>
      </w:r>
      <w:r w:rsidR="00865BE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and moss species</w:t>
      </w:r>
      <w:r w:rsidR="008221D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A14E8" w:rsidRPr="004D75F5">
        <w:rPr>
          <w:rFonts w:ascii="Times New Roman" w:hAnsi="Times New Roman" w:cs="Times New Roman"/>
          <w:sz w:val="24"/>
          <w:szCs w:val="24"/>
          <w:lang w:val="en-US"/>
        </w:rPr>
        <w:t xml:space="preserve">On the other hand, the microbial community structure </w:t>
      </w:r>
      <w:r w:rsidR="005B4BB6" w:rsidRPr="004D75F5">
        <w:rPr>
          <w:rFonts w:ascii="Times New Roman" w:hAnsi="Times New Roman" w:cs="Times New Roman"/>
          <w:sz w:val="24"/>
          <w:szCs w:val="24"/>
          <w:lang w:val="en-US"/>
        </w:rPr>
        <w:t>of soils with</w:t>
      </w:r>
      <w:r w:rsidR="007A14E8" w:rsidRPr="004D75F5">
        <w:rPr>
          <w:rFonts w:ascii="Times New Roman" w:hAnsi="Times New Roman" w:cs="Times New Roman"/>
          <w:sz w:val="24"/>
          <w:szCs w:val="24"/>
          <w:lang w:val="en-US"/>
        </w:rPr>
        <w:t xml:space="preserve"> cryptogamic cover was markedly different to that of the bare soils, suggesting a strong influence of the cryptogamic cover development on the edaphic </w:t>
      </w:r>
      <w:r w:rsidR="00841E22" w:rsidRPr="004D75F5">
        <w:rPr>
          <w:rFonts w:ascii="Times New Roman" w:hAnsi="Times New Roman" w:cs="Times New Roman"/>
          <w:sz w:val="24"/>
          <w:szCs w:val="24"/>
          <w:lang w:val="en-US"/>
        </w:rPr>
        <w:t>communities</w:t>
      </w:r>
      <w:r w:rsidR="007A14E8" w:rsidRPr="004D75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14E8" w:rsidRPr="004D75F5">
        <w:rPr>
          <w:rFonts w:ascii="Times New Roman" w:hAnsi="Times New Roman" w:cs="Times New Roman"/>
          <w:sz w:val="24"/>
          <w:szCs w:val="24"/>
          <w:lang w:val="en-GB"/>
        </w:rPr>
        <w:t>Finally, the electron microscopy revealed that b</w:t>
      </w:r>
      <w:r w:rsidR="008F6F01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acteria appear mainly 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>in non-healthy parts of the cryptogams</w:t>
      </w:r>
      <w:r w:rsidR="007A14E8" w:rsidRPr="004D75F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but also </w:t>
      </w:r>
      <w:r w:rsidR="008F6F01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associated to the cell walls of </w:t>
      </w:r>
      <w:r w:rsidR="00741C1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="008F6F01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healthy cells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C32E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bookmarkStart w:id="0" w:name="_GoBack"/>
      <w:bookmarkEnd w:id="0"/>
      <w:r w:rsidR="00406F12" w:rsidRPr="004D75F5">
        <w:rPr>
          <w:rFonts w:ascii="Times New Roman" w:hAnsi="Times New Roman" w:cs="Times New Roman"/>
          <w:sz w:val="24"/>
          <w:szCs w:val="24"/>
          <w:lang w:val="en-GB"/>
        </w:rPr>
        <w:t>soil particles integrated in the cover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All these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results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0D30" w:rsidRPr="004D75F5">
        <w:rPr>
          <w:rFonts w:ascii="Times New Roman" w:hAnsi="Times New Roman" w:cs="Times New Roman"/>
          <w:sz w:val="24"/>
          <w:szCs w:val="24"/>
          <w:lang w:val="en-GB"/>
        </w:rPr>
        <w:t>suggest that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30CE" w:rsidRPr="004D75F5">
        <w:rPr>
          <w:rFonts w:ascii="Times New Roman" w:hAnsi="Times New Roman" w:cs="Times New Roman"/>
          <w:sz w:val="24"/>
          <w:szCs w:val="24"/>
          <w:lang w:val="en-GB"/>
        </w:rPr>
        <w:t>bacteria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associated to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cryptogamic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covers </w:t>
      </w:r>
      <w:r w:rsidR="007A14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might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play an important role</w:t>
      </w:r>
      <w:r w:rsidR="008221D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>in the</w:t>
      </w:r>
      <w:r w:rsidR="00D15A6B" w:rsidRPr="004D75F5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4965E8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establishment and functioning</w:t>
      </w:r>
      <w:r w:rsidR="0092097A" w:rsidRPr="004D75F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F6F01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and consequently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8F6F01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the colonization of deglaciated </w:t>
      </w:r>
      <w:r w:rsidR="00F73BE6" w:rsidRPr="004D75F5">
        <w:rPr>
          <w:rFonts w:ascii="Times New Roman" w:hAnsi="Times New Roman" w:cs="Times New Roman"/>
          <w:sz w:val="24"/>
          <w:szCs w:val="24"/>
          <w:lang w:val="en-GB"/>
        </w:rPr>
        <w:t>areas</w:t>
      </w:r>
      <w:r w:rsidR="008F6F01" w:rsidRPr="004D75F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221D0" w:rsidRPr="004D75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75F5">
        <w:rPr>
          <w:rFonts w:ascii="Times New Roman" w:hAnsi="Times New Roman" w:cs="Times New Roman"/>
          <w:sz w:val="24"/>
          <w:szCs w:val="24"/>
          <w:lang w:val="en-GB"/>
        </w:rPr>
        <w:t xml:space="preserve">Funding: </w:t>
      </w:r>
      <w:r w:rsidR="002D5381">
        <w:rPr>
          <w:rFonts w:ascii="Times New Roman" w:hAnsi="Times New Roman" w:cs="Times New Roman"/>
          <w:sz w:val="24"/>
          <w:szCs w:val="24"/>
          <w:lang w:val="en-GB"/>
        </w:rPr>
        <w:t xml:space="preserve">(MINECO, </w:t>
      </w:r>
      <w:r w:rsidR="004D75F5" w:rsidRPr="004933E0">
        <w:rPr>
          <w:rFonts w:ascii="Times New Roman" w:hAnsi="Times New Roman" w:cs="Times New Roman"/>
          <w:sz w:val="24"/>
          <w:szCs w:val="24"/>
          <w:lang w:val="en-GB"/>
        </w:rPr>
        <w:t>CTM2015-64728-C2-2-R</w:t>
      </w:r>
      <w:r w:rsidR="002D5381" w:rsidRPr="004933E0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429573E" w14:textId="29311268" w:rsidR="004C5B03" w:rsidRDefault="004C5B03" w:rsidP="009867C3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sectPr w:rsidR="004C5B03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doNotDisplayPageBoundaries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2A"/>
    <w:rsid w:val="0002267B"/>
    <w:rsid w:val="00054153"/>
    <w:rsid w:val="000A565C"/>
    <w:rsid w:val="000B6C94"/>
    <w:rsid w:val="000C0216"/>
    <w:rsid w:val="000F146E"/>
    <w:rsid w:val="001311FE"/>
    <w:rsid w:val="001A6D70"/>
    <w:rsid w:val="001B23A8"/>
    <w:rsid w:val="001D05B1"/>
    <w:rsid w:val="001E0D30"/>
    <w:rsid w:val="00200EAE"/>
    <w:rsid w:val="00204369"/>
    <w:rsid w:val="00215F6C"/>
    <w:rsid w:val="00226CB5"/>
    <w:rsid w:val="002416A1"/>
    <w:rsid w:val="00260A60"/>
    <w:rsid w:val="002D5381"/>
    <w:rsid w:val="002E37F1"/>
    <w:rsid w:val="002F4395"/>
    <w:rsid w:val="00406F12"/>
    <w:rsid w:val="0041562C"/>
    <w:rsid w:val="004933E0"/>
    <w:rsid w:val="004965E8"/>
    <w:rsid w:val="004A6344"/>
    <w:rsid w:val="004B6A8B"/>
    <w:rsid w:val="004C5B03"/>
    <w:rsid w:val="004D75F5"/>
    <w:rsid w:val="00525A18"/>
    <w:rsid w:val="005B4BB6"/>
    <w:rsid w:val="0062477E"/>
    <w:rsid w:val="00641F0A"/>
    <w:rsid w:val="006640D9"/>
    <w:rsid w:val="006C32ED"/>
    <w:rsid w:val="006C6BAE"/>
    <w:rsid w:val="00711734"/>
    <w:rsid w:val="00722B73"/>
    <w:rsid w:val="00741C18"/>
    <w:rsid w:val="007A14E8"/>
    <w:rsid w:val="007B6A9A"/>
    <w:rsid w:val="008221D0"/>
    <w:rsid w:val="008319A6"/>
    <w:rsid w:val="00841E22"/>
    <w:rsid w:val="00860999"/>
    <w:rsid w:val="00865599"/>
    <w:rsid w:val="00865BE2"/>
    <w:rsid w:val="00894CF2"/>
    <w:rsid w:val="008A3B34"/>
    <w:rsid w:val="008E080A"/>
    <w:rsid w:val="008E0B25"/>
    <w:rsid w:val="008E373E"/>
    <w:rsid w:val="008F6F01"/>
    <w:rsid w:val="0092097A"/>
    <w:rsid w:val="00946197"/>
    <w:rsid w:val="00952F87"/>
    <w:rsid w:val="009867C3"/>
    <w:rsid w:val="00997E95"/>
    <w:rsid w:val="00A513F6"/>
    <w:rsid w:val="00A66A84"/>
    <w:rsid w:val="00A93638"/>
    <w:rsid w:val="00AA5FFF"/>
    <w:rsid w:val="00AF404B"/>
    <w:rsid w:val="00B072F8"/>
    <w:rsid w:val="00B63FA9"/>
    <w:rsid w:val="00B71756"/>
    <w:rsid w:val="00BB3AB4"/>
    <w:rsid w:val="00BD2764"/>
    <w:rsid w:val="00BF567D"/>
    <w:rsid w:val="00CD48FA"/>
    <w:rsid w:val="00D15A6B"/>
    <w:rsid w:val="00D16A58"/>
    <w:rsid w:val="00D22A2A"/>
    <w:rsid w:val="00D33B09"/>
    <w:rsid w:val="00DB4A77"/>
    <w:rsid w:val="00DB6069"/>
    <w:rsid w:val="00DD5486"/>
    <w:rsid w:val="00DD616D"/>
    <w:rsid w:val="00DE16FA"/>
    <w:rsid w:val="00DF1977"/>
    <w:rsid w:val="00E530CE"/>
    <w:rsid w:val="00E74D8F"/>
    <w:rsid w:val="00E7764D"/>
    <w:rsid w:val="00E82EFD"/>
    <w:rsid w:val="00E923B0"/>
    <w:rsid w:val="00EA57F8"/>
    <w:rsid w:val="00EE0295"/>
    <w:rsid w:val="00F44110"/>
    <w:rsid w:val="00F56412"/>
    <w:rsid w:val="00F73BE6"/>
    <w:rsid w:val="00F900E9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  <w15:docId w15:val="{CDE754B9-E867-5A41-9835-0ED2A075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E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EFD"/>
    <w:rPr>
      <w:rFonts w:ascii="Lucida Grande" w:eastAsiaTheme="minorHAnsi" w:hAnsi="Lucida Grande" w:cs="Lucida Grande"/>
      <w:sz w:val="18"/>
      <w:szCs w:val="18"/>
      <w:lang w:val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E82EF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EFD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2EFD"/>
    <w:rPr>
      <w:rFonts w:eastAsiaTheme="minorHAnsi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EF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EFD"/>
    <w:rPr>
      <w:rFonts w:eastAsiaTheme="minorHAnsi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8221D0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15A6B"/>
    <w:rPr>
      <w:rFonts w:eastAsiaTheme="minorHAns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Asunción de los Ríos</cp:lastModifiedBy>
  <cp:revision>3</cp:revision>
  <cp:lastPrinted>2019-12-23T11:08:00Z</cp:lastPrinted>
  <dcterms:created xsi:type="dcterms:W3CDTF">2019-12-20T11:31:00Z</dcterms:created>
  <dcterms:modified xsi:type="dcterms:W3CDTF">2019-12-23T11:23:00Z</dcterms:modified>
</cp:coreProperties>
</file>