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57FDB" w14:textId="4C37C2E2" w:rsidR="00216FD3" w:rsidRPr="006402FF" w:rsidRDefault="00A762B4" w:rsidP="41FF9D8D">
      <w:pPr>
        <w:pBdr>
          <w:bottom w:val="none" w:sz="0" w:space="8" w:color="000000"/>
        </w:pBdr>
        <w:shd w:val="clear" w:color="auto" w:fill="FFFFFF" w:themeFill="background1"/>
        <w:tabs>
          <w:tab w:val="left" w:pos="2500"/>
        </w:tabs>
        <w:jc w:val="center"/>
        <w:rPr>
          <w:color w:val="FF0000"/>
          <w:sz w:val="24"/>
          <w:szCs w:val="24"/>
        </w:rPr>
      </w:pPr>
      <w:r w:rsidRPr="006402FF">
        <w:rPr>
          <w:b/>
          <w:bCs/>
          <w:sz w:val="24"/>
          <w:szCs w:val="24"/>
        </w:rPr>
        <w:t xml:space="preserve">ISOLAMENTO E </w:t>
      </w:r>
      <w:r w:rsidR="00216FD3" w:rsidRPr="006402FF">
        <w:rPr>
          <w:b/>
          <w:bCs/>
          <w:sz w:val="24"/>
          <w:szCs w:val="24"/>
        </w:rPr>
        <w:t>ANÁLISE BIOQUÍMICA</w:t>
      </w:r>
      <w:r w:rsidR="00B86F9B" w:rsidRPr="006402FF">
        <w:rPr>
          <w:b/>
          <w:bCs/>
          <w:sz w:val="24"/>
          <w:szCs w:val="24"/>
        </w:rPr>
        <w:t xml:space="preserve"> QUALITATIVA </w:t>
      </w:r>
      <w:r w:rsidR="00216FD3" w:rsidRPr="006402FF">
        <w:rPr>
          <w:b/>
          <w:bCs/>
          <w:sz w:val="24"/>
          <w:szCs w:val="24"/>
        </w:rPr>
        <w:t xml:space="preserve"> </w:t>
      </w:r>
      <w:r w:rsidR="00216FD3" w:rsidRPr="006402FF">
        <w:rPr>
          <w:b/>
          <w:bCs/>
          <w:i/>
          <w:iCs/>
          <w:sz w:val="24"/>
          <w:szCs w:val="24"/>
        </w:rPr>
        <w:t>IN VITRO</w:t>
      </w:r>
      <w:r w:rsidR="00216FD3" w:rsidRPr="006402FF">
        <w:rPr>
          <w:b/>
          <w:bCs/>
          <w:sz w:val="24"/>
          <w:szCs w:val="24"/>
        </w:rPr>
        <w:t xml:space="preserve"> DE FUNGOS RIZOSFÉRICOS DA CULTURA DO </w:t>
      </w:r>
      <w:r w:rsidR="006402FF" w:rsidRPr="006402FF">
        <w:rPr>
          <w:b/>
          <w:bCs/>
          <w:i/>
          <w:iCs/>
          <w:sz w:val="24"/>
          <w:szCs w:val="24"/>
        </w:rPr>
        <w:t xml:space="preserve">EUCALIPTO </w:t>
      </w:r>
      <w:r w:rsidR="006402FF" w:rsidRPr="006402FF">
        <w:rPr>
          <w:b/>
          <w:bCs/>
          <w:sz w:val="24"/>
          <w:szCs w:val="24"/>
        </w:rPr>
        <w:t>SP</w:t>
      </w:r>
      <w:r w:rsidR="006402FF" w:rsidRPr="006402FF">
        <w:rPr>
          <w:b/>
          <w:bCs/>
          <w:i/>
          <w:iCs/>
          <w:sz w:val="24"/>
          <w:szCs w:val="24"/>
        </w:rPr>
        <w:t>.</w:t>
      </w:r>
    </w:p>
    <w:p w14:paraId="2F212F3E" w14:textId="63A4C570" w:rsidR="003949CE" w:rsidRDefault="00216FD3" w:rsidP="003949CE">
      <w:pPr>
        <w:shd w:val="clear" w:color="auto" w:fill="FFFFFF"/>
        <w:tabs>
          <w:tab w:val="left" w:pos="2500"/>
        </w:tabs>
        <w:jc w:val="center"/>
        <w:rPr>
          <w:color w:val="FF0000"/>
          <w:sz w:val="24"/>
          <w:szCs w:val="24"/>
        </w:rPr>
      </w:pPr>
      <w:r>
        <w:rPr>
          <w:sz w:val="24"/>
          <w:szCs w:val="24"/>
        </w:rPr>
        <w:t>Amanda Karollyne Moraes da Silva</w:t>
      </w:r>
      <w:r w:rsidR="003949CE">
        <w:rPr>
          <w:sz w:val="24"/>
          <w:szCs w:val="24"/>
          <w:vertAlign w:val="superscript"/>
        </w:rPr>
        <w:t>1</w:t>
      </w:r>
      <w:r w:rsidR="003949CE">
        <w:rPr>
          <w:sz w:val="24"/>
          <w:szCs w:val="24"/>
        </w:rPr>
        <w:t>;</w:t>
      </w:r>
      <w:r w:rsidR="00CA2DCC">
        <w:rPr>
          <w:sz w:val="24"/>
          <w:szCs w:val="24"/>
        </w:rPr>
        <w:t xml:space="preserve"> Iago Pinheiro Diniz</w:t>
      </w:r>
      <w:r w:rsidR="00CA2DCC">
        <w:rPr>
          <w:sz w:val="24"/>
          <w:szCs w:val="24"/>
          <w:vertAlign w:val="superscript"/>
        </w:rPr>
        <w:t>2</w:t>
      </w:r>
      <w:r w:rsidR="00CA2DCC">
        <w:rPr>
          <w:sz w:val="24"/>
          <w:szCs w:val="24"/>
        </w:rPr>
        <w:t xml:space="preserve">; </w:t>
      </w:r>
      <w:r w:rsidR="00142AA2" w:rsidRPr="00142AA2">
        <w:rPr>
          <w:sz w:val="24"/>
          <w:szCs w:val="24"/>
        </w:rPr>
        <w:t>Maria Isabele Tavares da Silva Araújo</w:t>
      </w:r>
      <w:r w:rsidR="00142AA2" w:rsidRPr="00142AA2">
        <w:rPr>
          <w:sz w:val="24"/>
          <w:szCs w:val="24"/>
          <w:vertAlign w:val="superscript"/>
        </w:rPr>
        <w:t>3</w:t>
      </w:r>
      <w:r w:rsidR="00142AA2">
        <w:rPr>
          <w:sz w:val="24"/>
          <w:szCs w:val="24"/>
        </w:rPr>
        <w:t xml:space="preserve">; </w:t>
      </w:r>
      <w:r w:rsidRPr="00216FD3">
        <w:rPr>
          <w:sz w:val="24"/>
          <w:szCs w:val="24"/>
          <w:u w:val="single"/>
        </w:rPr>
        <w:t>Alessandra Jackel</w:t>
      </w:r>
      <w:r>
        <w:rPr>
          <w:sz w:val="24"/>
          <w:szCs w:val="24"/>
          <w:u w:val="single"/>
        </w:rPr>
        <w:t>i</w:t>
      </w:r>
      <w:r w:rsidRPr="00216FD3">
        <w:rPr>
          <w:sz w:val="24"/>
          <w:szCs w:val="24"/>
          <w:u w:val="single"/>
        </w:rPr>
        <w:t>ne Guedes de Moraes</w:t>
      </w:r>
      <w:r w:rsidR="00142AA2">
        <w:rPr>
          <w:sz w:val="24"/>
          <w:szCs w:val="24"/>
          <w:vertAlign w:val="superscript"/>
        </w:rPr>
        <w:t>4</w:t>
      </w:r>
    </w:p>
    <w:p w14:paraId="488A52A5" w14:textId="77777777" w:rsidR="003949CE" w:rsidRDefault="003949CE" w:rsidP="003949CE">
      <w:pPr>
        <w:shd w:val="clear" w:color="auto" w:fill="FFFFFF"/>
        <w:tabs>
          <w:tab w:val="left" w:pos="2500"/>
        </w:tabs>
        <w:jc w:val="center"/>
        <w:rPr>
          <w:b/>
          <w:color w:val="FF0000"/>
          <w:sz w:val="24"/>
          <w:szCs w:val="24"/>
        </w:rPr>
      </w:pPr>
    </w:p>
    <w:p w14:paraId="74DF0646" w14:textId="0EC03C00" w:rsidR="00CA2DCC" w:rsidRPr="00CA2DCC" w:rsidRDefault="003949CE" w:rsidP="00CA2DCC">
      <w:pPr>
        <w:keepLines/>
        <w:shd w:val="clear" w:color="auto" w:fill="FFFFFF"/>
        <w:tabs>
          <w:tab w:val="left" w:pos="2500"/>
        </w:tabs>
        <w:jc w:val="center"/>
      </w:pPr>
      <w:r>
        <w:rPr>
          <w:sz w:val="24"/>
          <w:szCs w:val="24"/>
          <w:vertAlign w:val="superscript"/>
        </w:rPr>
        <w:t xml:space="preserve">1 </w:t>
      </w:r>
      <w:r w:rsidR="00216FD3">
        <w:rPr>
          <w:sz w:val="24"/>
          <w:szCs w:val="24"/>
        </w:rPr>
        <w:t>Mestranda no Programa de Pós Gradução em Tecnologia, Recursos Naturais e Sustentabilidade na Amazônia</w:t>
      </w:r>
      <w:r>
        <w:rPr>
          <w:sz w:val="24"/>
          <w:szCs w:val="24"/>
        </w:rPr>
        <w:t xml:space="preserve">. </w:t>
      </w:r>
      <w:r w:rsidR="00216FD3">
        <w:rPr>
          <w:sz w:val="24"/>
          <w:szCs w:val="24"/>
        </w:rPr>
        <w:t>Universidade do Estado do Pará.</w:t>
      </w:r>
      <w:r>
        <w:rPr>
          <w:sz w:val="24"/>
          <w:szCs w:val="24"/>
        </w:rPr>
        <w:t xml:space="preserve"> </w:t>
      </w:r>
      <w:hyperlink r:id="rId7" w:history="1">
        <w:r w:rsidR="00216FD3" w:rsidRPr="008C7A12">
          <w:rPr>
            <w:rStyle w:val="Hyperlink"/>
            <w:sz w:val="24"/>
            <w:szCs w:val="24"/>
          </w:rPr>
          <w:t>amanda.ksilva@aluno.uepa.br</w:t>
        </w:r>
      </w:hyperlink>
    </w:p>
    <w:p w14:paraId="0D78AA0A" w14:textId="375D3B7F" w:rsidR="00CA2DCC" w:rsidRDefault="003949CE" w:rsidP="41FF9D8D">
      <w:pPr>
        <w:keepLines/>
        <w:shd w:val="clear" w:color="auto" w:fill="FFFFFF" w:themeFill="background1"/>
        <w:tabs>
          <w:tab w:val="left" w:pos="2500"/>
        </w:tabs>
        <w:jc w:val="center"/>
        <w:rPr>
          <w:sz w:val="24"/>
          <w:szCs w:val="24"/>
        </w:rPr>
      </w:pPr>
      <w:r w:rsidRPr="41FF9D8D">
        <w:rPr>
          <w:sz w:val="24"/>
          <w:szCs w:val="24"/>
          <w:vertAlign w:val="superscript"/>
        </w:rPr>
        <w:t>2</w:t>
      </w:r>
      <w:r w:rsidR="00CA2DCC" w:rsidRPr="00CA2DCC">
        <w:rPr>
          <w:sz w:val="24"/>
          <w:szCs w:val="24"/>
        </w:rPr>
        <w:t xml:space="preserve"> </w:t>
      </w:r>
      <w:r w:rsidR="00CA2DCC">
        <w:rPr>
          <w:sz w:val="24"/>
          <w:szCs w:val="24"/>
        </w:rPr>
        <w:t>Mestrando no Programa de Pós Gradução em Tecnologia, Recursos Naturais e Sustentabilidade na Amazônia. Universidade do Estado do Pará.</w:t>
      </w:r>
    </w:p>
    <w:p w14:paraId="3437D683" w14:textId="43EA25F6" w:rsidR="00142AA2" w:rsidRDefault="00142AA2" w:rsidP="41FF9D8D">
      <w:pPr>
        <w:keepLines/>
        <w:shd w:val="clear" w:color="auto" w:fill="FFFFFF" w:themeFill="background1"/>
        <w:tabs>
          <w:tab w:val="left" w:pos="2500"/>
        </w:tabs>
        <w:jc w:val="center"/>
        <w:rPr>
          <w:sz w:val="24"/>
          <w:szCs w:val="24"/>
          <w:vertAlign w:val="superscript"/>
        </w:rPr>
      </w:pPr>
      <w:r>
        <w:rPr>
          <w:sz w:val="24"/>
          <w:szCs w:val="24"/>
          <w:vertAlign w:val="superscript"/>
        </w:rPr>
        <w:t>3</w:t>
      </w:r>
      <w:r>
        <w:rPr>
          <w:sz w:val="24"/>
          <w:szCs w:val="24"/>
          <w:vertAlign w:val="superscript"/>
        </w:rPr>
        <w:t xml:space="preserve"> </w:t>
      </w:r>
      <w:r>
        <w:rPr>
          <w:sz w:val="24"/>
          <w:szCs w:val="24"/>
        </w:rPr>
        <w:t>Mestranda no Programa de Pós Gradução em Tecnologia, Recursos Naturais e Sustentabilidade na Amazônia. Universidade do Estado do Pará.</w:t>
      </w:r>
    </w:p>
    <w:p w14:paraId="00007A78" w14:textId="2A593533" w:rsidR="003949CE" w:rsidRDefault="00142AA2" w:rsidP="41FF9D8D">
      <w:pPr>
        <w:keepLines/>
        <w:shd w:val="clear" w:color="auto" w:fill="FFFFFF" w:themeFill="background1"/>
        <w:tabs>
          <w:tab w:val="left" w:pos="2500"/>
        </w:tabs>
        <w:jc w:val="center"/>
        <w:rPr>
          <w:sz w:val="24"/>
          <w:szCs w:val="24"/>
        </w:rPr>
      </w:pPr>
      <w:r>
        <w:rPr>
          <w:sz w:val="24"/>
          <w:szCs w:val="24"/>
          <w:vertAlign w:val="superscript"/>
        </w:rPr>
        <w:t>4</w:t>
      </w:r>
      <w:r w:rsidR="003949CE" w:rsidRPr="41FF9D8D">
        <w:rPr>
          <w:sz w:val="24"/>
          <w:szCs w:val="24"/>
          <w:vertAlign w:val="superscript"/>
        </w:rPr>
        <w:t xml:space="preserve"> </w:t>
      </w:r>
      <w:r w:rsidR="00E64DD6" w:rsidRPr="41FF9D8D">
        <w:rPr>
          <w:sz w:val="24"/>
          <w:szCs w:val="24"/>
        </w:rPr>
        <w:t>Agrônoma. Dra em Fitopatologia. Universidade do Estado do Pará.</w:t>
      </w:r>
    </w:p>
    <w:p w14:paraId="2231C1A9" w14:textId="77777777" w:rsidR="00E64DD6" w:rsidRDefault="00E64DD6" w:rsidP="00CA6113">
      <w:pPr>
        <w:keepLines/>
        <w:shd w:val="clear" w:color="auto" w:fill="FFFFFF"/>
        <w:tabs>
          <w:tab w:val="left" w:pos="2500"/>
        </w:tabs>
        <w:rPr>
          <w:sz w:val="24"/>
          <w:szCs w:val="24"/>
        </w:rPr>
      </w:pPr>
    </w:p>
    <w:p w14:paraId="1EA4B476" w14:textId="77777777" w:rsidR="003949CE" w:rsidRDefault="003949CE" w:rsidP="003949CE">
      <w:pPr>
        <w:pBdr>
          <w:bottom w:val="none" w:sz="0" w:space="8" w:color="000000"/>
        </w:pBdr>
        <w:shd w:val="clear" w:color="auto" w:fill="FFFFFF"/>
        <w:tabs>
          <w:tab w:val="left" w:pos="2500"/>
        </w:tabs>
        <w:jc w:val="center"/>
        <w:rPr>
          <w:b/>
          <w:sz w:val="24"/>
          <w:szCs w:val="24"/>
          <w:u w:val="single"/>
        </w:rPr>
      </w:pPr>
      <w:r>
        <w:rPr>
          <w:b/>
          <w:sz w:val="24"/>
          <w:szCs w:val="24"/>
          <w:u w:val="single"/>
        </w:rPr>
        <w:t>RESUMO</w:t>
      </w:r>
    </w:p>
    <w:p w14:paraId="2FABC7FE" w14:textId="2E15A827" w:rsidR="003949CE" w:rsidRDefault="003949CE" w:rsidP="003949CE">
      <w:pPr>
        <w:pBdr>
          <w:bottom w:val="none" w:sz="0" w:space="8" w:color="000000"/>
        </w:pBdr>
        <w:shd w:val="clear" w:color="auto" w:fill="FFFFFF"/>
        <w:tabs>
          <w:tab w:val="left" w:pos="2500"/>
        </w:tabs>
        <w:jc w:val="center"/>
        <w:rPr>
          <w:color w:val="FF0000"/>
          <w:sz w:val="24"/>
          <w:szCs w:val="24"/>
          <w:u w:val="single"/>
        </w:rPr>
      </w:pPr>
    </w:p>
    <w:p w14:paraId="42D75990" w14:textId="6BA4BAB3" w:rsidR="003949CE" w:rsidRPr="00AD1D00" w:rsidRDefault="00AD1D00" w:rsidP="41FF9D8D">
      <w:pPr>
        <w:pBdr>
          <w:bottom w:val="none" w:sz="0" w:space="8" w:color="000000"/>
        </w:pBdr>
        <w:shd w:val="clear" w:color="auto" w:fill="FFFFFF" w:themeFill="background1"/>
        <w:tabs>
          <w:tab w:val="left" w:pos="2500"/>
        </w:tabs>
        <w:jc w:val="both"/>
        <w:rPr>
          <w:sz w:val="24"/>
          <w:szCs w:val="24"/>
          <w:lang w:val="pt-BR"/>
        </w:rPr>
      </w:pPr>
      <w:r w:rsidRPr="41FF9D8D">
        <w:rPr>
          <w:sz w:val="24"/>
          <w:szCs w:val="24"/>
          <w:lang w:val="pt-BR"/>
        </w:rPr>
        <w:t xml:space="preserve">O presente estudo teve como objetivo isolar e caracterizar bioquimicamente fungos rizosféricos associados à cultura do </w:t>
      </w:r>
      <w:r w:rsidRPr="41FF9D8D">
        <w:rPr>
          <w:i/>
          <w:iCs/>
          <w:sz w:val="24"/>
          <w:szCs w:val="24"/>
          <w:lang w:val="pt-BR"/>
        </w:rPr>
        <w:t>Eucalyptus</w:t>
      </w:r>
      <w:r w:rsidRPr="41FF9D8D">
        <w:rPr>
          <w:sz w:val="24"/>
          <w:szCs w:val="24"/>
          <w:lang w:val="pt-BR"/>
        </w:rPr>
        <w:t xml:space="preserve"> sp., visando identificar microrganismos com potencial de promoção do crescimento vegetal. As amostras de solo foram coletadas em diferentes profundidades na rizosfera de plantas de eucalipto, no município de Castanhal-PA. Os isolados fúngicos foram obtidos p</w:t>
      </w:r>
      <w:r w:rsidR="748AC495" w:rsidRPr="41FF9D8D">
        <w:rPr>
          <w:sz w:val="24"/>
          <w:szCs w:val="24"/>
          <w:lang w:val="pt-BR"/>
        </w:rPr>
        <w:t>elo método da</w:t>
      </w:r>
      <w:r w:rsidRPr="41FF9D8D">
        <w:rPr>
          <w:sz w:val="24"/>
          <w:szCs w:val="24"/>
          <w:lang w:val="pt-BR"/>
        </w:rPr>
        <w:t xml:space="preserve"> diluição seriada e cultivados em meio Batata-Dextrose-Ágar (BDA). A capacidade de produção de ácido indolacético (AIA) foi avaliada em meio líquido Luria Bertani, utilizando o reagente de Salkowski para detecção colorimétrica. A solubilização de fosfato foi analisada em meio NBRIP, contendo fosfato de cálcio como fonte insolúvel, com base na formação de halo transparente ao redor das colônias e cálculo do índice de solubilização. Foram isolados 1</w:t>
      </w:r>
      <w:r w:rsidR="00D3494C" w:rsidRPr="41FF9D8D">
        <w:rPr>
          <w:sz w:val="24"/>
          <w:szCs w:val="24"/>
          <w:lang w:val="pt-BR"/>
        </w:rPr>
        <w:t>5</w:t>
      </w:r>
      <w:r w:rsidRPr="41FF9D8D">
        <w:rPr>
          <w:sz w:val="24"/>
          <w:szCs w:val="24"/>
          <w:lang w:val="pt-BR"/>
        </w:rPr>
        <w:t xml:space="preserve"> fungos, denominados F1 a F1</w:t>
      </w:r>
      <w:r w:rsidR="00314A1D" w:rsidRPr="41FF9D8D">
        <w:rPr>
          <w:sz w:val="24"/>
          <w:szCs w:val="24"/>
          <w:lang w:val="pt-BR"/>
        </w:rPr>
        <w:t>5</w:t>
      </w:r>
      <w:r w:rsidRPr="41FF9D8D">
        <w:rPr>
          <w:sz w:val="24"/>
          <w:szCs w:val="24"/>
          <w:lang w:val="pt-BR"/>
        </w:rPr>
        <w:t>. Dentre eles, cinco (F2, F8, F13, F14 e F15) apresentaram coloração rosa intensa após reação com o reagente de Salkowski, indicando produção significativa de AIA. Os demais isolados apresentaram coloração mínima ou ausente, demonstrando variação entre as cepas quanto à capacidade biossintética. Na avaliação da solubilização de fosfato, nove isolados (F1, F2, F3, F7, F8, F11, F12, F14 e F15) apresentaram halos de solubilização, sendo os isolados F1 e F11 classificados como de solubilização média. Esses resultados indicam que parte dos fungos isolados possui atividade metabólica capaz de aumentar a disponibilidade de fósforo no solo e estimular o crescimento vegetal. Conclui-se que os fungos rizosféricos isolados da cultura do eucalipto apresentam potencial promissor como agentes promotores de crescimento vegetal, por meio da produção de AIA e da solubilização de fosfatos. Recomenda-se a realização d</w:t>
      </w:r>
      <w:r w:rsidR="6F2417E8" w:rsidRPr="41FF9D8D">
        <w:rPr>
          <w:sz w:val="24"/>
          <w:szCs w:val="24"/>
          <w:lang w:val="pt-BR"/>
        </w:rPr>
        <w:t xml:space="preserve">a identificação molecular dos isolados promissores, realizar </w:t>
      </w:r>
      <w:r w:rsidRPr="41FF9D8D">
        <w:rPr>
          <w:sz w:val="24"/>
          <w:szCs w:val="24"/>
          <w:lang w:val="pt-BR"/>
        </w:rPr>
        <w:t>análises quantitativas e ensaios em condições de campo para avaliar o desempenho desses isolados em diferentes sistemas agrícolas.</w:t>
      </w:r>
    </w:p>
    <w:p w14:paraId="5A93BFDA" w14:textId="4AE572A9" w:rsidR="003949CE" w:rsidRDefault="003949CE" w:rsidP="003949CE">
      <w:pPr>
        <w:shd w:val="clear" w:color="auto" w:fill="FFFFFF"/>
        <w:tabs>
          <w:tab w:val="left" w:pos="2500"/>
        </w:tabs>
        <w:rPr>
          <w:color w:val="FF0000"/>
          <w:sz w:val="24"/>
          <w:szCs w:val="24"/>
        </w:rPr>
      </w:pPr>
      <w:r>
        <w:rPr>
          <w:b/>
          <w:sz w:val="24"/>
          <w:szCs w:val="24"/>
        </w:rPr>
        <w:t xml:space="preserve">Palavras-chave: </w:t>
      </w:r>
      <w:r w:rsidR="00AD1D00" w:rsidRPr="00F35AB6">
        <w:rPr>
          <w:bCs/>
          <w:sz w:val="24"/>
          <w:szCs w:val="24"/>
        </w:rPr>
        <w:t xml:space="preserve">Crescimento vegetal; </w:t>
      </w:r>
      <w:r w:rsidR="00F35AB6" w:rsidRPr="00F35AB6">
        <w:rPr>
          <w:bCs/>
          <w:sz w:val="24"/>
          <w:szCs w:val="24"/>
        </w:rPr>
        <w:t xml:space="preserve">AIA; </w:t>
      </w:r>
      <w:r w:rsidR="00F35AB6">
        <w:rPr>
          <w:bCs/>
          <w:sz w:val="24"/>
          <w:szCs w:val="24"/>
        </w:rPr>
        <w:t>S</w:t>
      </w:r>
      <w:r w:rsidR="00F35AB6" w:rsidRPr="00F35AB6">
        <w:rPr>
          <w:bCs/>
          <w:sz w:val="24"/>
          <w:szCs w:val="24"/>
        </w:rPr>
        <w:t>olubilização de fosfato</w:t>
      </w:r>
    </w:p>
    <w:p w14:paraId="71340687" w14:textId="77777777" w:rsidR="003949CE" w:rsidRDefault="003949CE" w:rsidP="003949CE">
      <w:pPr>
        <w:shd w:val="clear" w:color="auto" w:fill="FFFFFF"/>
        <w:tabs>
          <w:tab w:val="left" w:pos="2500"/>
        </w:tabs>
        <w:jc w:val="center"/>
        <w:rPr>
          <w:sz w:val="24"/>
          <w:szCs w:val="24"/>
        </w:rPr>
      </w:pPr>
    </w:p>
    <w:p w14:paraId="73EB5E4E" w14:textId="36AC7344" w:rsidR="003949CE" w:rsidRDefault="003949CE" w:rsidP="003949CE">
      <w:pPr>
        <w:shd w:val="clear" w:color="auto" w:fill="FFFFFF"/>
        <w:tabs>
          <w:tab w:val="left" w:pos="2500"/>
        </w:tabs>
        <w:rPr>
          <w:b/>
          <w:color w:val="0000FF"/>
          <w:sz w:val="24"/>
          <w:szCs w:val="24"/>
          <w:u w:val="single"/>
        </w:rPr>
      </w:pPr>
      <w:r>
        <w:rPr>
          <w:b/>
          <w:sz w:val="24"/>
          <w:szCs w:val="24"/>
        </w:rPr>
        <w:t>Área de Interesse do Simpósio</w:t>
      </w:r>
      <w:r>
        <w:rPr>
          <w:sz w:val="24"/>
          <w:szCs w:val="24"/>
        </w:rPr>
        <w:t xml:space="preserve">: </w:t>
      </w:r>
      <w:r w:rsidR="000A1B4B">
        <w:rPr>
          <w:sz w:val="24"/>
          <w:szCs w:val="24"/>
        </w:rPr>
        <w:t>Ciências Agr</w:t>
      </w:r>
      <w:r w:rsidR="000436E8">
        <w:rPr>
          <w:sz w:val="24"/>
          <w:szCs w:val="24"/>
        </w:rPr>
        <w:t>á</w:t>
      </w:r>
      <w:r w:rsidR="000A1B4B">
        <w:rPr>
          <w:sz w:val="24"/>
          <w:szCs w:val="24"/>
        </w:rPr>
        <w:t>rias</w:t>
      </w:r>
    </w:p>
    <w:p w14:paraId="278DBA84" w14:textId="77777777" w:rsidR="003949CE" w:rsidRDefault="003949CE" w:rsidP="003949CE">
      <w:pPr>
        <w:pBdr>
          <w:bottom w:val="none" w:sz="0" w:space="8" w:color="000000"/>
        </w:pBdr>
        <w:shd w:val="clear" w:color="auto" w:fill="FFFFFF"/>
        <w:tabs>
          <w:tab w:val="left" w:pos="2500"/>
        </w:tabs>
        <w:rPr>
          <w:b/>
          <w:sz w:val="24"/>
          <w:szCs w:val="24"/>
        </w:rPr>
      </w:pPr>
    </w:p>
    <w:p w14:paraId="03392E40" w14:textId="10CEB659" w:rsidR="003949CE" w:rsidRDefault="003949CE" w:rsidP="003949CE">
      <w:pPr>
        <w:pBdr>
          <w:bottom w:val="none" w:sz="0" w:space="8" w:color="000000"/>
        </w:pBdr>
        <w:shd w:val="clear" w:color="auto" w:fill="FFFFFF"/>
        <w:tabs>
          <w:tab w:val="left" w:pos="2500"/>
        </w:tabs>
        <w:rPr>
          <w:sz w:val="24"/>
          <w:szCs w:val="24"/>
        </w:rPr>
      </w:pPr>
      <w:r>
        <w:br w:type="page"/>
      </w:r>
    </w:p>
    <w:p w14:paraId="45B27B6B" w14:textId="77777777" w:rsidR="003949CE" w:rsidRDefault="003949CE" w:rsidP="003949CE">
      <w:pPr>
        <w:pBdr>
          <w:bottom w:val="none" w:sz="0" w:space="8" w:color="000000"/>
        </w:pBdr>
        <w:shd w:val="clear" w:color="auto" w:fill="FFFFFF"/>
        <w:tabs>
          <w:tab w:val="left" w:pos="2500"/>
        </w:tabs>
        <w:rPr>
          <w:sz w:val="24"/>
          <w:szCs w:val="24"/>
        </w:rPr>
      </w:pPr>
    </w:p>
    <w:p w14:paraId="347F2240" w14:textId="73A16857" w:rsidR="00733F07" w:rsidRDefault="003949CE" w:rsidP="005D4CE3">
      <w:pPr>
        <w:pStyle w:val="PargrafodaLista"/>
        <w:numPr>
          <w:ilvl w:val="0"/>
          <w:numId w:val="4"/>
        </w:numPr>
        <w:pBdr>
          <w:bottom w:val="none" w:sz="0" w:space="18" w:color="000000"/>
        </w:pBdr>
        <w:shd w:val="clear" w:color="auto" w:fill="FFFFFF"/>
        <w:tabs>
          <w:tab w:val="left" w:pos="2500"/>
        </w:tabs>
        <w:rPr>
          <w:b/>
          <w:sz w:val="24"/>
          <w:szCs w:val="24"/>
        </w:rPr>
      </w:pPr>
      <w:r w:rsidRPr="00733F07">
        <w:rPr>
          <w:b/>
          <w:sz w:val="24"/>
          <w:szCs w:val="24"/>
        </w:rPr>
        <w:t xml:space="preserve">INTRODUÇÃO </w:t>
      </w:r>
    </w:p>
    <w:p w14:paraId="6016CA48" w14:textId="48753DAA" w:rsidR="00F87762" w:rsidRDefault="00663972" w:rsidP="00AB3D2C">
      <w:pPr>
        <w:spacing w:line="360" w:lineRule="auto"/>
        <w:ind w:firstLine="360"/>
        <w:jc w:val="both"/>
        <w:rPr>
          <w:sz w:val="24"/>
          <w:szCs w:val="24"/>
        </w:rPr>
      </w:pPr>
      <w:r w:rsidRPr="00663972">
        <w:rPr>
          <w:sz w:val="24"/>
          <w:szCs w:val="24"/>
        </w:rPr>
        <w:t>A rizosfera é a região do solo influenciada pelas raízes das plantas, onde a liberação de exsudatos, como açúcares e ácidos orgânicos, fornece</w:t>
      </w:r>
      <w:r w:rsidR="008A6FCC">
        <w:rPr>
          <w:sz w:val="24"/>
          <w:szCs w:val="24"/>
        </w:rPr>
        <w:t>ndo</w:t>
      </w:r>
      <w:r w:rsidRPr="00663972">
        <w:rPr>
          <w:sz w:val="24"/>
          <w:szCs w:val="24"/>
        </w:rPr>
        <w:t xml:space="preserve"> nutrientes que favorecem o crescimento de comunidades microbianas. A microbiota dessa região é composta por diversos microrganismos que vivem livremente no solo ou aderidos às raízes</w:t>
      </w:r>
      <w:r>
        <w:rPr>
          <w:sz w:val="24"/>
          <w:szCs w:val="24"/>
        </w:rPr>
        <w:t xml:space="preserve"> (</w:t>
      </w:r>
      <w:r w:rsidRPr="00663972">
        <w:rPr>
          <w:sz w:val="24"/>
          <w:szCs w:val="24"/>
        </w:rPr>
        <w:t>C</w:t>
      </w:r>
      <w:r>
        <w:rPr>
          <w:sz w:val="24"/>
          <w:szCs w:val="24"/>
        </w:rPr>
        <w:t xml:space="preserve">ompant </w:t>
      </w:r>
      <w:r w:rsidRPr="00663972">
        <w:rPr>
          <w:i/>
          <w:iCs/>
          <w:sz w:val="24"/>
          <w:szCs w:val="24"/>
        </w:rPr>
        <w:t>et al.</w:t>
      </w:r>
      <w:r w:rsidRPr="00663972">
        <w:rPr>
          <w:sz w:val="24"/>
          <w:szCs w:val="24"/>
        </w:rPr>
        <w:t>, 2010).</w:t>
      </w:r>
    </w:p>
    <w:p w14:paraId="7D6F757C" w14:textId="45022C80" w:rsidR="00D2753D" w:rsidRPr="00D2753D" w:rsidRDefault="008A6FCC" w:rsidP="00AB3D2C">
      <w:pPr>
        <w:spacing w:line="360" w:lineRule="auto"/>
        <w:ind w:firstLine="720"/>
        <w:jc w:val="both"/>
        <w:rPr>
          <w:sz w:val="24"/>
          <w:szCs w:val="24"/>
        </w:rPr>
      </w:pPr>
      <w:r w:rsidRPr="008A6FCC">
        <w:rPr>
          <w:color w:val="000000" w:themeColor="text1"/>
          <w:sz w:val="24"/>
          <w:szCs w:val="24"/>
        </w:rPr>
        <w:t>Nesse contexto, a rizosfera apresenta uma ampla diversidade microbiana composta por bactérias e fungos que desempenham papéis fundamentais no desenvolvimento vegetal.</w:t>
      </w:r>
      <w:r>
        <w:rPr>
          <w:color w:val="000000" w:themeColor="text1"/>
          <w:sz w:val="24"/>
          <w:szCs w:val="24"/>
        </w:rPr>
        <w:t xml:space="preserve"> Entre as </w:t>
      </w:r>
      <w:r w:rsidR="00D2753D" w:rsidRPr="00D2753D">
        <w:rPr>
          <w:color w:val="000000" w:themeColor="text1"/>
          <w:sz w:val="24"/>
          <w:szCs w:val="24"/>
        </w:rPr>
        <w:t xml:space="preserve">Bactérias Promotoras de Crescimento Vegetal (BPCV) </w:t>
      </w:r>
      <w:r>
        <w:rPr>
          <w:color w:val="000000" w:themeColor="text1"/>
          <w:sz w:val="24"/>
          <w:szCs w:val="24"/>
        </w:rPr>
        <w:t>estão presente os</w:t>
      </w:r>
      <w:r w:rsidR="00D2753D" w:rsidRPr="00D2753D">
        <w:rPr>
          <w:color w:val="000000" w:themeColor="text1"/>
          <w:sz w:val="24"/>
          <w:szCs w:val="24"/>
        </w:rPr>
        <w:t xml:space="preserve"> gênero</w:t>
      </w:r>
      <w:r>
        <w:rPr>
          <w:color w:val="000000" w:themeColor="text1"/>
          <w:sz w:val="24"/>
          <w:szCs w:val="24"/>
        </w:rPr>
        <w:t>s</w:t>
      </w:r>
      <w:r w:rsidR="00D2753D" w:rsidRPr="00D2753D">
        <w:rPr>
          <w:color w:val="000000" w:themeColor="text1"/>
          <w:sz w:val="24"/>
          <w:szCs w:val="24"/>
        </w:rPr>
        <w:t xml:space="preserve"> </w:t>
      </w:r>
      <w:r w:rsidR="00D2753D" w:rsidRPr="00D2753D">
        <w:rPr>
          <w:i/>
          <w:iCs/>
          <w:color w:val="000000" w:themeColor="text1"/>
          <w:sz w:val="24"/>
          <w:szCs w:val="24"/>
        </w:rPr>
        <w:t xml:space="preserve">Azobacter, Azospirillium, Acetobacter, Pseudomonas </w:t>
      </w:r>
      <w:r w:rsidR="00D2753D" w:rsidRPr="00D2753D">
        <w:rPr>
          <w:color w:val="000000" w:themeColor="text1"/>
          <w:sz w:val="24"/>
          <w:szCs w:val="24"/>
        </w:rPr>
        <w:t xml:space="preserve">e </w:t>
      </w:r>
      <w:r w:rsidR="00D2753D" w:rsidRPr="00D2753D">
        <w:rPr>
          <w:i/>
          <w:iCs/>
          <w:color w:val="000000" w:themeColor="text1"/>
          <w:sz w:val="24"/>
          <w:szCs w:val="24"/>
        </w:rPr>
        <w:t xml:space="preserve">Bacillus </w:t>
      </w:r>
      <w:r w:rsidR="00D2753D" w:rsidRPr="00D2753D">
        <w:rPr>
          <w:color w:val="000000" w:themeColor="text1"/>
          <w:sz w:val="24"/>
          <w:szCs w:val="24"/>
        </w:rPr>
        <w:t>(Tang, 1994; Ahmad, 2006)</w:t>
      </w:r>
      <w:r w:rsidR="00D2753D">
        <w:rPr>
          <w:color w:val="000000" w:themeColor="text1"/>
          <w:sz w:val="24"/>
          <w:szCs w:val="24"/>
        </w:rPr>
        <w:t>.</w:t>
      </w:r>
      <w:r w:rsidR="00D2753D" w:rsidRPr="00D2753D">
        <w:rPr>
          <w:color w:val="000000" w:themeColor="text1"/>
          <w:sz w:val="24"/>
          <w:szCs w:val="24"/>
        </w:rPr>
        <w:t xml:space="preserve"> </w:t>
      </w:r>
      <w:r>
        <w:rPr>
          <w:color w:val="000000" w:themeColor="text1"/>
          <w:sz w:val="24"/>
          <w:szCs w:val="24"/>
        </w:rPr>
        <w:t xml:space="preserve">Já </w:t>
      </w:r>
      <w:r w:rsidR="00D2753D" w:rsidRPr="00D2753D">
        <w:rPr>
          <w:sz w:val="24"/>
          <w:szCs w:val="24"/>
        </w:rPr>
        <w:t>entre os fungos</w:t>
      </w:r>
      <w:r>
        <w:rPr>
          <w:sz w:val="24"/>
          <w:szCs w:val="24"/>
        </w:rPr>
        <w:t xml:space="preserve">, </w:t>
      </w:r>
      <w:r w:rsidR="00D2753D" w:rsidRPr="00D2753D">
        <w:rPr>
          <w:sz w:val="24"/>
          <w:szCs w:val="24"/>
        </w:rPr>
        <w:t xml:space="preserve">destacam-se os gêneros </w:t>
      </w:r>
      <w:r w:rsidR="00D2753D" w:rsidRPr="00D2753D">
        <w:rPr>
          <w:i/>
          <w:iCs/>
          <w:sz w:val="24"/>
          <w:szCs w:val="24"/>
        </w:rPr>
        <w:t>Penicillium</w:t>
      </w:r>
      <w:r w:rsidR="00D2753D" w:rsidRPr="00D2753D">
        <w:rPr>
          <w:sz w:val="24"/>
          <w:szCs w:val="24"/>
        </w:rPr>
        <w:t xml:space="preserve">, </w:t>
      </w:r>
      <w:r w:rsidR="00D2753D" w:rsidRPr="00D2753D">
        <w:rPr>
          <w:i/>
          <w:iCs/>
          <w:sz w:val="24"/>
          <w:szCs w:val="24"/>
        </w:rPr>
        <w:t>Trichoderma</w:t>
      </w:r>
      <w:r w:rsidR="00D2753D">
        <w:rPr>
          <w:i/>
          <w:iCs/>
          <w:sz w:val="24"/>
          <w:szCs w:val="24"/>
        </w:rPr>
        <w:t xml:space="preserve"> </w:t>
      </w:r>
      <w:r w:rsidR="00D2753D" w:rsidRPr="00D2753D">
        <w:rPr>
          <w:sz w:val="24"/>
          <w:szCs w:val="24"/>
        </w:rPr>
        <w:t>e</w:t>
      </w:r>
      <w:r w:rsidR="00D2753D">
        <w:rPr>
          <w:sz w:val="24"/>
          <w:szCs w:val="24"/>
        </w:rPr>
        <w:t xml:space="preserve"> </w:t>
      </w:r>
      <w:r w:rsidR="00D2753D" w:rsidRPr="00D2753D">
        <w:rPr>
          <w:i/>
          <w:iCs/>
          <w:sz w:val="24"/>
          <w:szCs w:val="24"/>
        </w:rPr>
        <w:t>Aspergillus,</w:t>
      </w:r>
      <w:r w:rsidR="00D2753D" w:rsidRPr="00D2753D">
        <w:rPr>
          <w:sz w:val="24"/>
          <w:szCs w:val="24"/>
        </w:rPr>
        <w:t xml:space="preserve"> amplamente explorados por suas funções promotoras de crescimento e</w:t>
      </w:r>
      <w:r w:rsidR="00D2753D">
        <w:rPr>
          <w:sz w:val="24"/>
          <w:szCs w:val="24"/>
        </w:rPr>
        <w:t xml:space="preserve"> </w:t>
      </w:r>
      <w:r w:rsidR="00D2753D" w:rsidRPr="00D2753D">
        <w:rPr>
          <w:sz w:val="24"/>
          <w:szCs w:val="24"/>
        </w:rPr>
        <w:t xml:space="preserve">propriedades antagônicas (Auer </w:t>
      </w:r>
      <w:r w:rsidR="00D2753D" w:rsidRPr="00D2753D">
        <w:rPr>
          <w:i/>
          <w:iCs/>
          <w:sz w:val="24"/>
          <w:szCs w:val="24"/>
        </w:rPr>
        <w:t>et al</w:t>
      </w:r>
      <w:r w:rsidR="00D2753D" w:rsidRPr="00D2753D">
        <w:rPr>
          <w:sz w:val="24"/>
          <w:szCs w:val="24"/>
        </w:rPr>
        <w:t>., 2006).</w:t>
      </w:r>
    </w:p>
    <w:p w14:paraId="13F9B236" w14:textId="48FB6F9B" w:rsidR="00F87762" w:rsidRDefault="00D2753D" w:rsidP="00AB3D2C">
      <w:pPr>
        <w:spacing w:line="360" w:lineRule="auto"/>
        <w:ind w:firstLine="720"/>
        <w:jc w:val="both"/>
        <w:rPr>
          <w:sz w:val="24"/>
          <w:szCs w:val="24"/>
          <w:lang w:val="pt-BR"/>
        </w:rPr>
      </w:pPr>
      <w:r w:rsidRPr="00D2753D">
        <w:rPr>
          <w:sz w:val="24"/>
          <w:szCs w:val="24"/>
          <w:lang w:val="pt-BR"/>
        </w:rPr>
        <w:t>O papel benéfico desses microrganismos no desenvolvimento vegetal inclui a mobilização de nutrientes, como nitrogênio e fósforo, o aumento da absorção pelas raízes, e a produção de hormônios e compostos orgânicos voláteis que estimulam o crescimento e protegem as plantas contra patógenos (C</w:t>
      </w:r>
      <w:r>
        <w:rPr>
          <w:sz w:val="24"/>
          <w:szCs w:val="24"/>
          <w:lang w:val="pt-BR"/>
        </w:rPr>
        <w:t>astiglioni</w:t>
      </w:r>
      <w:r w:rsidRPr="00D2753D">
        <w:rPr>
          <w:sz w:val="24"/>
          <w:szCs w:val="24"/>
          <w:lang w:val="pt-BR"/>
        </w:rPr>
        <w:t xml:space="preserve"> </w:t>
      </w:r>
      <w:r w:rsidRPr="00D2753D">
        <w:rPr>
          <w:i/>
          <w:iCs/>
          <w:sz w:val="24"/>
          <w:szCs w:val="24"/>
          <w:lang w:val="pt-BR"/>
        </w:rPr>
        <w:t>et al.</w:t>
      </w:r>
      <w:r w:rsidRPr="00D2753D">
        <w:rPr>
          <w:sz w:val="24"/>
          <w:szCs w:val="24"/>
          <w:lang w:val="pt-BR"/>
        </w:rPr>
        <w:t>, 2008).</w:t>
      </w:r>
    </w:p>
    <w:p w14:paraId="1C0FBC8C" w14:textId="77777777" w:rsidR="007631A4" w:rsidRPr="007631A4" w:rsidRDefault="007631A4" w:rsidP="00AB3D2C">
      <w:pPr>
        <w:spacing w:line="360" w:lineRule="auto"/>
        <w:ind w:firstLine="720"/>
        <w:jc w:val="both"/>
        <w:rPr>
          <w:sz w:val="24"/>
          <w:szCs w:val="24"/>
          <w:lang w:val="pt-BR"/>
        </w:rPr>
      </w:pPr>
      <w:r w:rsidRPr="007631A4">
        <w:rPr>
          <w:sz w:val="24"/>
          <w:szCs w:val="24"/>
          <w:lang w:val="pt-BR"/>
        </w:rPr>
        <w:t>O eucalipto, uma das culturas comerciais mais relevantes para a silvicultura brasileira, tem demonstrado crescimento expressivo. Segundo o Relatório Anual da Indústria Brasileira de Árvores (IBÁ, 2024), essa espécie ocupa 7,8 milhões de hectares, correspondendo a 76% da área total plantada no país, o que representa um aumento de 41% na última década. Tal expansão evidencia a importância econômica e ambiental dessa cultura.</w:t>
      </w:r>
    </w:p>
    <w:p w14:paraId="03F387BF" w14:textId="41ECDE15" w:rsidR="007631A4" w:rsidRDefault="007631A4" w:rsidP="00AB3D2C">
      <w:pPr>
        <w:spacing w:line="360" w:lineRule="auto"/>
        <w:ind w:firstLine="720"/>
        <w:jc w:val="both"/>
        <w:rPr>
          <w:sz w:val="24"/>
          <w:szCs w:val="24"/>
          <w:lang w:val="pt-BR"/>
        </w:rPr>
      </w:pPr>
      <w:r w:rsidRPr="007631A4">
        <w:rPr>
          <w:sz w:val="24"/>
          <w:szCs w:val="24"/>
          <w:lang w:val="pt-BR"/>
        </w:rPr>
        <w:t xml:space="preserve">Apesar da ampla exploração do eucalipto, o conhecimento sobre a diversidade e o potencial funcional dos fungos rizosféricos associados a essa espécie ainda é limitado. Nesse contexto, a prospecção de microrganismos rizosféricos, aliada à análise bioquímica dessas cepas, </w:t>
      </w:r>
      <w:r>
        <w:rPr>
          <w:sz w:val="24"/>
          <w:szCs w:val="24"/>
          <w:lang w:val="pt-BR"/>
        </w:rPr>
        <w:t>apresenta-se como</w:t>
      </w:r>
      <w:r w:rsidRPr="007631A4">
        <w:rPr>
          <w:sz w:val="24"/>
          <w:szCs w:val="24"/>
          <w:lang w:val="pt-BR"/>
        </w:rPr>
        <w:t xml:space="preserve"> uma estratégia promissora para o desenvolvimento de tecnologias sustentáveis, como bioinoculantes capazes de promover o crescimento vegetal. Tais abordagens podem reduzir a dependência de insumos químicos, otimizar a produção e minimizar impactos ambientais, contribuindo para a saúde do solo.</w:t>
      </w:r>
    </w:p>
    <w:p w14:paraId="541E9F7D" w14:textId="0246D59C" w:rsidR="00733F07" w:rsidRPr="003646DB" w:rsidRDefault="00733F07" w:rsidP="005D4CE3">
      <w:pPr>
        <w:pStyle w:val="PargrafodaLista"/>
        <w:numPr>
          <w:ilvl w:val="0"/>
          <w:numId w:val="4"/>
        </w:numPr>
        <w:pBdr>
          <w:bottom w:val="none" w:sz="0" w:space="18" w:color="000000"/>
        </w:pBdr>
        <w:shd w:val="clear" w:color="auto" w:fill="FFFFFF"/>
        <w:tabs>
          <w:tab w:val="left" w:pos="2500"/>
        </w:tabs>
        <w:rPr>
          <w:color w:val="FF0000"/>
          <w:sz w:val="24"/>
          <w:szCs w:val="24"/>
        </w:rPr>
      </w:pPr>
      <w:r w:rsidRPr="003646DB">
        <w:rPr>
          <w:b/>
          <w:sz w:val="24"/>
          <w:szCs w:val="24"/>
        </w:rPr>
        <w:lastRenderedPageBreak/>
        <w:t xml:space="preserve">MATERIAL E MÉTODOS </w:t>
      </w:r>
    </w:p>
    <w:p w14:paraId="35D9522E" w14:textId="32D4AADF" w:rsidR="00733F07" w:rsidRPr="00CA2DCC" w:rsidRDefault="00CA2DCC" w:rsidP="00EB6B05">
      <w:pPr>
        <w:pStyle w:val="PargrafodaLista"/>
        <w:numPr>
          <w:ilvl w:val="1"/>
          <w:numId w:val="4"/>
        </w:numPr>
        <w:pBdr>
          <w:bottom w:val="none" w:sz="0" w:space="18" w:color="000000"/>
        </w:pBdr>
        <w:shd w:val="clear" w:color="auto" w:fill="FFFFFF"/>
        <w:tabs>
          <w:tab w:val="left" w:pos="2500"/>
        </w:tabs>
        <w:rPr>
          <w:bCs/>
          <w:sz w:val="24"/>
          <w:szCs w:val="24"/>
        </w:rPr>
      </w:pPr>
      <w:r>
        <w:rPr>
          <w:bCs/>
          <w:sz w:val="24"/>
          <w:szCs w:val="24"/>
        </w:rPr>
        <w:t>Á</w:t>
      </w:r>
      <w:r w:rsidRPr="00CA2DCC">
        <w:rPr>
          <w:bCs/>
          <w:sz w:val="24"/>
          <w:szCs w:val="24"/>
        </w:rPr>
        <w:t xml:space="preserve">REA DE ESTUDO </w:t>
      </w:r>
    </w:p>
    <w:p w14:paraId="6D328B65" w14:textId="77777777" w:rsidR="00733F07" w:rsidRDefault="00733F07" w:rsidP="00AB3D2C">
      <w:pPr>
        <w:spacing w:line="360" w:lineRule="auto"/>
        <w:ind w:firstLine="720"/>
        <w:jc w:val="both"/>
        <w:rPr>
          <w:sz w:val="24"/>
          <w:szCs w:val="24"/>
        </w:rPr>
      </w:pPr>
      <w:r w:rsidRPr="000713BA">
        <w:rPr>
          <w:sz w:val="24"/>
          <w:szCs w:val="24"/>
        </w:rPr>
        <w:t>Os experimentos foram realizados e processados no Laboratório Multiusuário de Biomateriais (LMB) que pertence a Universidade do Estado do Pará (UEPA) localizado na cidade de Castanhal-PA. O município encontra-se localizado nas coordenadas de referência 01°17’49” S e 47°55’19” W.</w:t>
      </w:r>
    </w:p>
    <w:p w14:paraId="471A95FB" w14:textId="77777777" w:rsidR="00733F07" w:rsidRDefault="00733F07" w:rsidP="00142AA2">
      <w:pPr>
        <w:pBdr>
          <w:bottom w:val="none" w:sz="0" w:space="18" w:color="000000"/>
        </w:pBdr>
        <w:shd w:val="clear" w:color="auto" w:fill="FFFFFF"/>
        <w:tabs>
          <w:tab w:val="left" w:pos="2500"/>
        </w:tabs>
        <w:jc w:val="both"/>
        <w:rPr>
          <w:color w:val="FF0000"/>
          <w:sz w:val="24"/>
          <w:szCs w:val="24"/>
        </w:rPr>
      </w:pPr>
    </w:p>
    <w:p w14:paraId="61F8946D" w14:textId="484DB929" w:rsidR="00733F07" w:rsidRDefault="00733F07" w:rsidP="00142AA2">
      <w:pPr>
        <w:pBdr>
          <w:bottom w:val="none" w:sz="0" w:space="18" w:color="000000"/>
        </w:pBdr>
        <w:shd w:val="clear" w:color="auto" w:fill="FFFFFF"/>
        <w:tabs>
          <w:tab w:val="left" w:pos="2500"/>
        </w:tabs>
        <w:jc w:val="both"/>
        <w:rPr>
          <w:color w:val="FF0000"/>
          <w:sz w:val="24"/>
          <w:szCs w:val="24"/>
        </w:rPr>
      </w:pPr>
      <w:r>
        <w:rPr>
          <w:b/>
          <w:sz w:val="24"/>
          <w:szCs w:val="24"/>
        </w:rPr>
        <w:t>2</w:t>
      </w:r>
      <w:r w:rsidRPr="000713BA">
        <w:rPr>
          <w:b/>
          <w:sz w:val="24"/>
          <w:szCs w:val="24"/>
        </w:rPr>
        <w:t xml:space="preserve">.2 </w:t>
      </w:r>
      <w:r w:rsidR="00CA2DCC" w:rsidRPr="00CA2DCC">
        <w:rPr>
          <w:bCs/>
          <w:sz w:val="24"/>
          <w:szCs w:val="24"/>
        </w:rPr>
        <w:t>ISOLAMENTO DE MICRORGANISMOS</w:t>
      </w:r>
    </w:p>
    <w:p w14:paraId="1862F610" w14:textId="77777777" w:rsidR="00733F07" w:rsidRDefault="00733F07" w:rsidP="00142AA2">
      <w:pPr>
        <w:pBdr>
          <w:bottom w:val="none" w:sz="0" w:space="18" w:color="000000"/>
        </w:pBdr>
        <w:shd w:val="clear" w:color="auto" w:fill="FFFFFF"/>
        <w:tabs>
          <w:tab w:val="left" w:pos="2500"/>
        </w:tabs>
        <w:jc w:val="both"/>
        <w:rPr>
          <w:color w:val="FF0000"/>
          <w:sz w:val="24"/>
          <w:szCs w:val="24"/>
        </w:rPr>
      </w:pPr>
      <w:r>
        <w:rPr>
          <w:b/>
          <w:sz w:val="24"/>
          <w:szCs w:val="24"/>
        </w:rPr>
        <w:t>2</w:t>
      </w:r>
      <w:r w:rsidRPr="000713BA">
        <w:rPr>
          <w:b/>
          <w:sz w:val="24"/>
          <w:szCs w:val="24"/>
        </w:rPr>
        <w:t>.2.1 Coleta de solo</w:t>
      </w:r>
    </w:p>
    <w:p w14:paraId="27867CD6" w14:textId="77777777" w:rsidR="00733F07" w:rsidRPr="00C65CA4" w:rsidRDefault="00733F07" w:rsidP="00AB3D2C">
      <w:pPr>
        <w:spacing w:line="360" w:lineRule="auto"/>
        <w:ind w:firstLine="720"/>
        <w:jc w:val="both"/>
        <w:rPr>
          <w:sz w:val="24"/>
          <w:szCs w:val="24"/>
        </w:rPr>
      </w:pPr>
      <w:r w:rsidRPr="000713BA">
        <w:rPr>
          <w:sz w:val="24"/>
          <w:szCs w:val="24"/>
        </w:rPr>
        <w:t>As amostras de solo foram coletadas no Instituto Federal do Pará (IFPA), localizado no município de Castanhal-PA. O local foi escolhido por apresentar um plantio de eucalipto. Dessa forma, uma árvore foi selecionada como matriz de coleta, na seguinte coordenada de referência: latitude -1,303213 e longitude –47, 947973.</w:t>
      </w:r>
    </w:p>
    <w:p w14:paraId="6D6FD9FB" w14:textId="373D14F1" w:rsidR="00733F07" w:rsidRDefault="00733F07" w:rsidP="00AB3D2C">
      <w:pPr>
        <w:spacing w:line="360" w:lineRule="auto"/>
        <w:ind w:firstLine="720"/>
        <w:jc w:val="both"/>
        <w:rPr>
          <w:sz w:val="24"/>
          <w:szCs w:val="24"/>
        </w:rPr>
      </w:pPr>
      <w:r w:rsidRPr="000713BA">
        <w:rPr>
          <w:sz w:val="24"/>
          <w:szCs w:val="24"/>
        </w:rPr>
        <w:t xml:space="preserve">Foram coletadas três amostras com auxílio de uma pá, em diferentes profundidades nas proximidades das raízes, sendo elas: superficial (S) - 0 cm; intermediária (I) - 30 cm; e profunda (P) - 40 cm. As amostras foram devidamente armazenadas e identificadas em sacos plásticos para posterior realização de análises. </w:t>
      </w:r>
    </w:p>
    <w:p w14:paraId="22EC4124" w14:textId="77777777" w:rsidR="00F87762" w:rsidRDefault="00F87762" w:rsidP="005D4CE3">
      <w:pPr>
        <w:pBdr>
          <w:bottom w:val="none" w:sz="0" w:space="18" w:color="000000"/>
        </w:pBdr>
        <w:shd w:val="clear" w:color="auto" w:fill="FFFFFF"/>
        <w:tabs>
          <w:tab w:val="left" w:pos="2500"/>
        </w:tabs>
        <w:jc w:val="both"/>
        <w:rPr>
          <w:color w:val="FF0000"/>
          <w:sz w:val="24"/>
          <w:szCs w:val="24"/>
        </w:rPr>
      </w:pPr>
    </w:p>
    <w:p w14:paraId="770A73E2" w14:textId="77777777" w:rsidR="00733F07" w:rsidRDefault="00733F07" w:rsidP="005D4CE3">
      <w:pPr>
        <w:pBdr>
          <w:bottom w:val="none" w:sz="0" w:space="18" w:color="000000"/>
        </w:pBdr>
        <w:shd w:val="clear" w:color="auto" w:fill="FFFFFF"/>
        <w:tabs>
          <w:tab w:val="left" w:pos="2500"/>
        </w:tabs>
        <w:jc w:val="both"/>
        <w:rPr>
          <w:color w:val="FF0000"/>
          <w:sz w:val="24"/>
          <w:szCs w:val="24"/>
        </w:rPr>
      </w:pPr>
      <w:r>
        <w:rPr>
          <w:b/>
          <w:sz w:val="24"/>
          <w:szCs w:val="24"/>
        </w:rPr>
        <w:t>2</w:t>
      </w:r>
      <w:r w:rsidRPr="000713BA">
        <w:rPr>
          <w:b/>
          <w:sz w:val="24"/>
          <w:szCs w:val="24"/>
        </w:rPr>
        <w:t xml:space="preserve">.2.2 Prospecção de microrganismos: Diluição seriada </w:t>
      </w:r>
    </w:p>
    <w:p w14:paraId="3FE513FF" w14:textId="127274A7" w:rsidR="00733F07" w:rsidRPr="00A13F07" w:rsidRDefault="5367AD17" w:rsidP="00AB3D2C">
      <w:pPr>
        <w:spacing w:line="360" w:lineRule="auto"/>
        <w:ind w:firstLine="720"/>
        <w:jc w:val="both"/>
        <w:rPr>
          <w:sz w:val="24"/>
          <w:szCs w:val="24"/>
        </w:rPr>
      </w:pPr>
      <w:r w:rsidRPr="4E0D7040">
        <w:rPr>
          <w:sz w:val="24"/>
          <w:szCs w:val="24"/>
        </w:rPr>
        <w:t>Foi realizada a pesagem de 9g de solo de cada amostra coletada em balança analítica e transferidas para Elernmeyer 200 mL devidamente identificados, contendo 90 mL de água destilada esterilizada (figura x). As três amostras foram agitadas as 150 rpm por 30 minutos em mesa orbital, para homogeneizar as amostras. Após a agitação foi realizada as seguintes diluições seriadas: 10</w:t>
      </w:r>
      <w:r w:rsidRPr="4E0D7040">
        <w:rPr>
          <w:sz w:val="24"/>
          <w:szCs w:val="24"/>
          <w:vertAlign w:val="superscript"/>
        </w:rPr>
        <w:t>-1</w:t>
      </w:r>
      <w:r w:rsidRPr="4E0D7040">
        <w:rPr>
          <w:sz w:val="24"/>
          <w:szCs w:val="24"/>
        </w:rPr>
        <w:t>, 10-</w:t>
      </w:r>
      <w:r w:rsidRPr="4E0D7040">
        <w:rPr>
          <w:sz w:val="24"/>
          <w:szCs w:val="24"/>
          <w:vertAlign w:val="superscript"/>
        </w:rPr>
        <w:t>2</w:t>
      </w:r>
      <w:r w:rsidRPr="4E0D7040">
        <w:rPr>
          <w:sz w:val="24"/>
          <w:szCs w:val="24"/>
        </w:rPr>
        <w:t>, 10</w:t>
      </w:r>
      <w:r w:rsidRPr="4E0D7040">
        <w:rPr>
          <w:sz w:val="24"/>
          <w:szCs w:val="24"/>
          <w:vertAlign w:val="superscript"/>
        </w:rPr>
        <w:t>-3</w:t>
      </w:r>
      <w:r w:rsidRPr="4E0D7040">
        <w:rPr>
          <w:sz w:val="24"/>
          <w:szCs w:val="24"/>
        </w:rPr>
        <w:t>, 10</w:t>
      </w:r>
      <w:r w:rsidRPr="4E0D7040">
        <w:rPr>
          <w:sz w:val="24"/>
          <w:szCs w:val="24"/>
          <w:vertAlign w:val="superscript"/>
        </w:rPr>
        <w:t>-4</w:t>
      </w:r>
      <w:r w:rsidRPr="4E0D7040">
        <w:rPr>
          <w:sz w:val="24"/>
          <w:szCs w:val="24"/>
        </w:rPr>
        <w:t xml:space="preserve"> e 10</w:t>
      </w:r>
      <w:r w:rsidRPr="4E0D7040">
        <w:rPr>
          <w:sz w:val="24"/>
          <w:szCs w:val="24"/>
          <w:vertAlign w:val="superscript"/>
        </w:rPr>
        <w:t>-5</w:t>
      </w:r>
      <w:r w:rsidRPr="4E0D7040">
        <w:rPr>
          <w:sz w:val="24"/>
          <w:szCs w:val="24"/>
        </w:rPr>
        <w:t xml:space="preserve"> Em seguida, com auxílio de uma pipeta, foi retirada uma alíquota de 100 ul de cada diluição, a qual foi semeada em placa de Petri contendo meio de cultura BDA (batata-dextrose-ágar)</w:t>
      </w:r>
      <w:r w:rsidR="38B9360A" w:rsidRPr="4E0D7040">
        <w:rPr>
          <w:sz w:val="24"/>
          <w:szCs w:val="24"/>
        </w:rPr>
        <w:t xml:space="preserve">. </w:t>
      </w:r>
      <w:r w:rsidRPr="4E0D7040">
        <w:rPr>
          <w:sz w:val="24"/>
          <w:szCs w:val="24"/>
        </w:rPr>
        <w:t>Todas as diluições foram realizadas em triplicata. Após a semeadura, as placas foram acondicionadas em incubadora do tipo BOD (Biochemical Oxygen Deamand) mantida em temperatura controlada a 28° C por 7 dias.</w:t>
      </w:r>
    </w:p>
    <w:p w14:paraId="2BD50FF0" w14:textId="77777777" w:rsidR="000D7451" w:rsidRPr="00C65CA4" w:rsidRDefault="000D7451" w:rsidP="005D4CE3">
      <w:pPr>
        <w:ind w:firstLine="720"/>
        <w:jc w:val="both"/>
        <w:rPr>
          <w:sz w:val="24"/>
          <w:szCs w:val="24"/>
        </w:rPr>
      </w:pPr>
    </w:p>
    <w:p w14:paraId="523CF06F" w14:textId="77777777" w:rsidR="00733F07" w:rsidRPr="000713BA" w:rsidRDefault="00733F07" w:rsidP="005D4CE3">
      <w:pPr>
        <w:rPr>
          <w:bCs/>
          <w:sz w:val="24"/>
          <w:szCs w:val="24"/>
        </w:rPr>
      </w:pPr>
      <w:r w:rsidRPr="000713BA">
        <w:rPr>
          <w:bCs/>
          <w:sz w:val="24"/>
          <w:szCs w:val="24"/>
        </w:rPr>
        <w:t xml:space="preserve">2.3 ANÁLISES BIOQUÍMICAS </w:t>
      </w:r>
      <w:r w:rsidRPr="000713BA">
        <w:rPr>
          <w:bCs/>
          <w:i/>
          <w:sz w:val="24"/>
          <w:szCs w:val="24"/>
        </w:rPr>
        <w:t xml:space="preserve">IN VITRO </w:t>
      </w:r>
    </w:p>
    <w:p w14:paraId="72930BF0" w14:textId="77777777" w:rsidR="00733F07" w:rsidRDefault="00733F07" w:rsidP="005D4CE3">
      <w:pPr>
        <w:rPr>
          <w:b/>
          <w:sz w:val="24"/>
          <w:szCs w:val="24"/>
        </w:rPr>
      </w:pPr>
      <w:r>
        <w:rPr>
          <w:b/>
          <w:sz w:val="24"/>
          <w:szCs w:val="24"/>
        </w:rPr>
        <w:lastRenderedPageBreak/>
        <w:t>2</w:t>
      </w:r>
      <w:r w:rsidRPr="000713BA">
        <w:rPr>
          <w:b/>
          <w:sz w:val="24"/>
          <w:szCs w:val="24"/>
        </w:rPr>
        <w:t>.3.1 Solubilização de fosfato</w:t>
      </w:r>
    </w:p>
    <w:p w14:paraId="362D215E" w14:textId="77777777" w:rsidR="00EB6B05" w:rsidRPr="000713BA" w:rsidRDefault="00EB6B05" w:rsidP="005D4CE3">
      <w:pPr>
        <w:rPr>
          <w:b/>
          <w:sz w:val="24"/>
          <w:szCs w:val="24"/>
        </w:rPr>
      </w:pPr>
    </w:p>
    <w:p w14:paraId="0E3DEDED" w14:textId="29F301B2" w:rsidR="00733F07" w:rsidRPr="000713BA" w:rsidRDefault="5367AD17" w:rsidP="00AB3D2C">
      <w:pPr>
        <w:pStyle w:val="p1"/>
        <w:spacing w:line="360" w:lineRule="auto"/>
        <w:ind w:firstLine="708"/>
        <w:jc w:val="both"/>
        <w:rPr>
          <w:rStyle w:val="s1"/>
          <w:rFonts w:ascii="Times New Roman" w:eastAsia="Times New Roman" w:hAnsi="Times New Roman" w:cs="Times New Roman"/>
          <w:sz w:val="24"/>
          <w:szCs w:val="24"/>
        </w:rPr>
      </w:pPr>
      <w:r w:rsidRPr="4E0D7040">
        <w:rPr>
          <w:rStyle w:val="s1"/>
          <w:rFonts w:ascii="Times New Roman" w:eastAsia="Times New Roman" w:hAnsi="Times New Roman" w:cs="Times New Roman"/>
          <w:sz w:val="24"/>
          <w:szCs w:val="24"/>
        </w:rPr>
        <w:t>Os isolados foram cultivados em meio de crescimento National Botanical Research Institute's phosphate</w:t>
      </w:r>
      <w:r w:rsidR="0D2D8D9E" w:rsidRPr="4E0D7040">
        <w:rPr>
          <w:rStyle w:val="s1"/>
          <w:rFonts w:ascii="Times New Roman" w:eastAsia="Times New Roman" w:hAnsi="Times New Roman" w:cs="Times New Roman"/>
          <w:sz w:val="24"/>
          <w:szCs w:val="24"/>
        </w:rPr>
        <w:t xml:space="preserve"> </w:t>
      </w:r>
      <w:r w:rsidRPr="4E0D7040">
        <w:rPr>
          <w:rStyle w:val="s1"/>
          <w:rFonts w:ascii="Times New Roman" w:eastAsia="Times New Roman" w:hAnsi="Times New Roman" w:cs="Times New Roman"/>
          <w:sz w:val="24"/>
          <w:szCs w:val="24"/>
        </w:rPr>
        <w:t xml:space="preserve">(NBRIP) contendo 10 g de glicose, 2,5 g de Ca3(P04), 25 g de MgC12.6H20, 0,25 g MgS04.7H20, 0,2 g KCl e 0,1 g (NH4)2S04 (Nautiyal, 1999), </w:t>
      </w:r>
      <w:r w:rsidR="645163D4" w:rsidRPr="4E0D7040">
        <w:rPr>
          <w:rStyle w:val="s1"/>
          <w:rFonts w:ascii="Times New Roman" w:eastAsia="Times New Roman" w:hAnsi="Times New Roman" w:cs="Times New Roman"/>
          <w:sz w:val="24"/>
          <w:szCs w:val="24"/>
        </w:rPr>
        <w:t xml:space="preserve">com o </w:t>
      </w:r>
      <w:r w:rsidRPr="4E0D7040">
        <w:rPr>
          <w:rStyle w:val="s1"/>
          <w:rFonts w:ascii="Times New Roman" w:eastAsia="Times New Roman" w:hAnsi="Times New Roman" w:cs="Times New Roman"/>
          <w:sz w:val="24"/>
          <w:szCs w:val="24"/>
        </w:rPr>
        <w:t>pH</w:t>
      </w:r>
      <w:r w:rsidR="483D283F" w:rsidRPr="4E0D7040">
        <w:rPr>
          <w:rStyle w:val="s1"/>
          <w:rFonts w:ascii="Times New Roman" w:eastAsia="Times New Roman" w:hAnsi="Times New Roman" w:cs="Times New Roman"/>
          <w:sz w:val="24"/>
          <w:szCs w:val="24"/>
        </w:rPr>
        <w:t xml:space="preserve"> ajustado em</w:t>
      </w:r>
      <w:r w:rsidRPr="4E0D7040">
        <w:rPr>
          <w:rStyle w:val="s1"/>
          <w:rFonts w:ascii="Times New Roman" w:eastAsia="Times New Roman" w:hAnsi="Times New Roman" w:cs="Times New Roman"/>
          <w:sz w:val="24"/>
          <w:szCs w:val="24"/>
        </w:rPr>
        <w:t xml:space="preserve"> 7,0, e com a adição de 1,5% de ágar em triplica</w:t>
      </w:r>
      <w:r w:rsidR="04508A38" w:rsidRPr="4E0D7040">
        <w:rPr>
          <w:rStyle w:val="s1"/>
          <w:rFonts w:ascii="Times New Roman" w:eastAsia="Times New Roman" w:hAnsi="Times New Roman" w:cs="Times New Roman"/>
          <w:sz w:val="24"/>
          <w:szCs w:val="24"/>
        </w:rPr>
        <w:t>ta</w:t>
      </w:r>
      <w:r w:rsidRPr="4E0D7040">
        <w:rPr>
          <w:rStyle w:val="s1"/>
          <w:rFonts w:ascii="Times New Roman" w:eastAsia="Times New Roman" w:hAnsi="Times New Roman" w:cs="Times New Roman"/>
          <w:sz w:val="24"/>
          <w:szCs w:val="24"/>
        </w:rPr>
        <w:t xml:space="preserve">. As placas foram incubadas durante 14 dias a 28°C. Após este tempo a presença de um halo é indicativa de solubilização de fosfato. </w:t>
      </w:r>
    </w:p>
    <w:p w14:paraId="78DD5AC3" w14:textId="56021CC3" w:rsidR="00733F07" w:rsidRPr="000713BA" w:rsidRDefault="5367AD17" w:rsidP="00AB3D2C">
      <w:pPr>
        <w:pStyle w:val="p1"/>
        <w:spacing w:line="360" w:lineRule="auto"/>
        <w:ind w:firstLine="708"/>
        <w:jc w:val="both"/>
        <w:rPr>
          <w:rStyle w:val="s1"/>
          <w:rFonts w:ascii="Times New Roman" w:eastAsia="Times New Roman" w:hAnsi="Times New Roman" w:cs="Times New Roman"/>
          <w:sz w:val="24"/>
          <w:szCs w:val="24"/>
        </w:rPr>
      </w:pPr>
      <w:r w:rsidRPr="4E0D7040">
        <w:rPr>
          <w:rStyle w:val="s1"/>
          <w:rFonts w:ascii="Times New Roman" w:eastAsia="Times New Roman" w:hAnsi="Times New Roman" w:cs="Times New Roman"/>
          <w:sz w:val="24"/>
          <w:szCs w:val="24"/>
        </w:rPr>
        <w:t xml:space="preserve">A caracterização do grau de solubilização foi determinada com a medida da colônia e do halo de solubilização, e o cálculo do índice de solubilização </w:t>
      </w:r>
      <w:r w:rsidR="236564EF" w:rsidRPr="4E0D7040">
        <w:rPr>
          <w:rStyle w:val="s1"/>
          <w:rFonts w:ascii="Times New Roman" w:eastAsia="Times New Roman" w:hAnsi="Times New Roman" w:cs="Times New Roman"/>
          <w:sz w:val="24"/>
          <w:szCs w:val="24"/>
        </w:rPr>
        <w:t>foi realizado por meio d</w:t>
      </w:r>
      <w:r w:rsidRPr="4E0D7040">
        <w:rPr>
          <w:rStyle w:val="s1"/>
          <w:rFonts w:ascii="Times New Roman" w:eastAsia="Times New Roman" w:hAnsi="Times New Roman" w:cs="Times New Roman"/>
          <w:sz w:val="24"/>
          <w:szCs w:val="24"/>
        </w:rPr>
        <w:t xml:space="preserve">a fórmula: </w:t>
      </w:r>
      <w:r w:rsidRPr="4E0D7040">
        <w:rPr>
          <w:rStyle w:val="s2"/>
          <w:rFonts w:ascii="Times New Roman" w:eastAsia="Times New Roman" w:hAnsi="Times New Roman" w:cs="Times New Roman"/>
          <w:sz w:val="24"/>
          <w:szCs w:val="24"/>
        </w:rPr>
        <w:t xml:space="preserve">IS = diâmetro da colônia com halo / diâmetro da colônia sem halo </w:t>
      </w:r>
      <w:r w:rsidRPr="4E0D7040">
        <w:rPr>
          <w:rStyle w:val="s1"/>
          <w:rFonts w:ascii="Times New Roman" w:eastAsia="Times New Roman" w:hAnsi="Times New Roman" w:cs="Times New Roman"/>
          <w:sz w:val="24"/>
          <w:szCs w:val="24"/>
        </w:rPr>
        <w:t xml:space="preserve">(Bharucha; Patel; Trivedi, 2013), seguido da escala: baixa solubilização (IS &lt; 2), média solubilização (2 ≤ IS &lt; 3) e alta solubilização (IS &gt;3) (Silva </w:t>
      </w:r>
      <w:r w:rsidRPr="4E0D7040">
        <w:rPr>
          <w:rStyle w:val="s1"/>
          <w:rFonts w:ascii="Times New Roman" w:eastAsia="Times New Roman" w:hAnsi="Times New Roman" w:cs="Times New Roman"/>
          <w:i/>
          <w:iCs/>
          <w:sz w:val="24"/>
          <w:szCs w:val="24"/>
        </w:rPr>
        <w:t>et al</w:t>
      </w:r>
      <w:r w:rsidRPr="4E0D7040">
        <w:rPr>
          <w:rStyle w:val="s1"/>
          <w:rFonts w:ascii="Times New Roman" w:eastAsia="Times New Roman" w:hAnsi="Times New Roman" w:cs="Times New Roman"/>
          <w:sz w:val="24"/>
          <w:szCs w:val="24"/>
        </w:rPr>
        <w:t>., 2014).</w:t>
      </w:r>
    </w:p>
    <w:p w14:paraId="5EEFD77C" w14:textId="77777777" w:rsidR="00733F07" w:rsidRPr="000713BA" w:rsidRDefault="00733F07" w:rsidP="005D4CE3">
      <w:pPr>
        <w:jc w:val="both"/>
        <w:rPr>
          <w:sz w:val="24"/>
          <w:szCs w:val="24"/>
        </w:rPr>
      </w:pPr>
    </w:p>
    <w:p w14:paraId="322A9893" w14:textId="77777777" w:rsidR="00733F07" w:rsidRDefault="00733F07" w:rsidP="005D4CE3">
      <w:pPr>
        <w:rPr>
          <w:b/>
          <w:sz w:val="24"/>
          <w:szCs w:val="24"/>
        </w:rPr>
      </w:pPr>
      <w:r w:rsidRPr="000713BA">
        <w:rPr>
          <w:b/>
          <w:sz w:val="24"/>
          <w:szCs w:val="24"/>
        </w:rPr>
        <w:t>2.3.2 Ácido Indol Acético (AIA)</w:t>
      </w:r>
    </w:p>
    <w:p w14:paraId="6E49EBAE" w14:textId="77777777" w:rsidR="00EB6B05" w:rsidRPr="000713BA" w:rsidRDefault="00EB6B05" w:rsidP="005D4CE3">
      <w:pPr>
        <w:rPr>
          <w:b/>
          <w:sz w:val="24"/>
          <w:szCs w:val="24"/>
        </w:rPr>
      </w:pPr>
    </w:p>
    <w:p w14:paraId="01A99CA1" w14:textId="3CB99670" w:rsidR="00A13F07" w:rsidRPr="00A13F07" w:rsidRDefault="00733F07" w:rsidP="00AB3D2C">
      <w:pPr>
        <w:spacing w:line="360" w:lineRule="auto"/>
        <w:ind w:firstLine="360"/>
        <w:jc w:val="both"/>
        <w:rPr>
          <w:color w:val="000000" w:themeColor="text1"/>
          <w:sz w:val="24"/>
          <w:szCs w:val="24"/>
        </w:rPr>
      </w:pPr>
      <w:r w:rsidRPr="000713BA">
        <w:rPr>
          <w:rStyle w:val="s1"/>
          <w:rFonts w:ascii="Times New Roman" w:hAnsi="Times New Roman" w:cs="Times New Roman"/>
          <w:color w:val="000000" w:themeColor="text1"/>
          <w:sz w:val="24"/>
          <w:szCs w:val="24"/>
        </w:rPr>
        <w:t>Os isolados de bactérias e fungos foram cultivados em meio líquido Luria Bertani (LB) sob agitação de 150 rpm e incubados a 28° C por 72 h. Em seguida, 3 mL da suspensão foram centrifugados a 4° C por 10 min a 4.000 rpm, 90 uL do sobrenadante e 60 uL do reagente Salkowski foram adicionados a um microtubo e incubados no escuro por 30 min para determinar se ocorreu uma mudança na cor média da amostra (Gordon e Weber, 1951).</w:t>
      </w:r>
    </w:p>
    <w:p w14:paraId="37122977" w14:textId="7A2ED21E" w:rsidR="003949CE" w:rsidRPr="00F87762" w:rsidRDefault="649ABE72" w:rsidP="005D4CE3">
      <w:pPr>
        <w:pStyle w:val="PargrafodaLista"/>
        <w:numPr>
          <w:ilvl w:val="0"/>
          <w:numId w:val="4"/>
        </w:numPr>
        <w:pBdr>
          <w:bottom w:val="none" w:sz="0" w:space="8" w:color="000000"/>
        </w:pBdr>
        <w:shd w:val="clear" w:color="auto" w:fill="FFFFFF"/>
        <w:tabs>
          <w:tab w:val="left" w:pos="2500"/>
        </w:tabs>
        <w:rPr>
          <w:color w:val="FF0000"/>
          <w:sz w:val="24"/>
          <w:szCs w:val="24"/>
        </w:rPr>
      </w:pPr>
      <w:r w:rsidRPr="4E0D7040">
        <w:rPr>
          <w:b/>
          <w:bCs/>
          <w:sz w:val="24"/>
          <w:szCs w:val="24"/>
        </w:rPr>
        <w:t>RESULTADOS E DISCUSSÃO</w:t>
      </w:r>
      <w:r w:rsidRPr="4E0D7040">
        <w:rPr>
          <w:b/>
          <w:bCs/>
          <w:sz w:val="28"/>
          <w:szCs w:val="28"/>
        </w:rPr>
        <w:t xml:space="preserve"> </w:t>
      </w:r>
    </w:p>
    <w:p w14:paraId="43D8C335" w14:textId="789A140C" w:rsidR="00D1199B" w:rsidRDefault="001698E5" w:rsidP="00AB3D2C">
      <w:pPr>
        <w:spacing w:line="360" w:lineRule="auto"/>
        <w:ind w:firstLine="360"/>
        <w:jc w:val="both"/>
      </w:pPr>
      <w:r w:rsidRPr="4E0D7040">
        <w:rPr>
          <w:sz w:val="24"/>
          <w:szCs w:val="24"/>
        </w:rPr>
        <w:t>Foram selecionados 16 isolados fúngicos provenientes da rizosfera do eucalipto, conforme apresentado na Figura 1. Cada isolado foi nomeado de forma genérica, utilizando o prefixo “F” seguido por um número sequencial para sua identificação individual.</w:t>
      </w:r>
    </w:p>
    <w:p w14:paraId="7DD62982" w14:textId="77777777" w:rsidR="007921B8" w:rsidRPr="007921B8" w:rsidRDefault="007921B8" w:rsidP="005D4CE3">
      <w:pPr>
        <w:ind w:firstLine="360"/>
        <w:jc w:val="both"/>
      </w:pPr>
    </w:p>
    <w:p w14:paraId="4B258AD1" w14:textId="1D205B43" w:rsidR="00C636D2" w:rsidRDefault="0010194B" w:rsidP="00AB3D2C">
      <w:pPr>
        <w:pBdr>
          <w:bottom w:val="none" w:sz="0" w:space="8" w:color="000000"/>
        </w:pBdr>
        <w:shd w:val="clear" w:color="auto" w:fill="FFFFFF"/>
        <w:tabs>
          <w:tab w:val="left" w:pos="2500"/>
        </w:tabs>
        <w:spacing w:line="360" w:lineRule="auto"/>
        <w:jc w:val="center"/>
        <w:rPr>
          <w:sz w:val="24"/>
          <w:szCs w:val="24"/>
        </w:rPr>
      </w:pPr>
      <w:r w:rsidRPr="0010194B">
        <w:t>Figura</w:t>
      </w:r>
      <w:r w:rsidR="00D1199B">
        <w:t>1</w:t>
      </w:r>
      <w:r w:rsidRPr="0010194B">
        <w:t xml:space="preserve">: </w:t>
      </w:r>
      <w:r>
        <w:t>F</w:t>
      </w:r>
      <w:r w:rsidRPr="0010194B">
        <w:t>ungos prospectados da rizosfera do eucalipto</w:t>
      </w:r>
      <w:r>
        <w:rPr>
          <w:sz w:val="24"/>
          <w:szCs w:val="24"/>
        </w:rPr>
        <w:t>.</w:t>
      </w:r>
    </w:p>
    <w:p w14:paraId="1105D158" w14:textId="02B5CFA3" w:rsidR="0010194B" w:rsidRDefault="007339E5" w:rsidP="00AB3D2C">
      <w:pPr>
        <w:pBdr>
          <w:bottom w:val="none" w:sz="0" w:space="8" w:color="000000"/>
        </w:pBdr>
        <w:shd w:val="clear" w:color="auto" w:fill="FFFFFF"/>
        <w:tabs>
          <w:tab w:val="left" w:pos="2500"/>
        </w:tabs>
        <w:spacing w:line="360" w:lineRule="auto"/>
        <w:jc w:val="center"/>
        <w:rPr>
          <w:sz w:val="24"/>
          <w:szCs w:val="24"/>
        </w:rPr>
      </w:pPr>
      <w:r>
        <w:rPr>
          <w:noProof/>
          <w:sz w:val="24"/>
          <w:szCs w:val="24"/>
        </w:rPr>
        <w:lastRenderedPageBreak/>
        <w:drawing>
          <wp:inline distT="0" distB="0" distL="0" distR="0" wp14:anchorId="13EB4E4C" wp14:editId="4EFE1DDE">
            <wp:extent cx="3665220" cy="2068679"/>
            <wp:effectExtent l="0" t="0" r="0" b="8255"/>
            <wp:docPr id="438130788"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130788" name="Imagem 438130788"/>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82497" cy="2078430"/>
                    </a:xfrm>
                    <a:prstGeom prst="rect">
                      <a:avLst/>
                    </a:prstGeom>
                  </pic:spPr>
                </pic:pic>
              </a:graphicData>
            </a:graphic>
          </wp:inline>
        </w:drawing>
      </w:r>
    </w:p>
    <w:p w14:paraId="7023007C" w14:textId="59FDCC79" w:rsidR="00BE2198" w:rsidRDefault="0010194B" w:rsidP="00AB3D2C">
      <w:pPr>
        <w:pBdr>
          <w:bottom w:val="none" w:sz="0" w:space="8" w:color="000000"/>
        </w:pBdr>
        <w:shd w:val="clear" w:color="auto" w:fill="FFFFFF"/>
        <w:tabs>
          <w:tab w:val="left" w:pos="2500"/>
        </w:tabs>
        <w:spacing w:line="360" w:lineRule="auto"/>
      </w:pPr>
      <w:r w:rsidRPr="0010194B">
        <w:t>Fonte: Autores</w:t>
      </w:r>
      <w:r>
        <w:t>,</w:t>
      </w:r>
      <w:r w:rsidRPr="0010194B">
        <w:t xml:space="preserve"> 2025.</w:t>
      </w:r>
    </w:p>
    <w:p w14:paraId="3A3F2C08" w14:textId="7F82FA2E" w:rsidR="003949CE" w:rsidRDefault="22F9D3B9" w:rsidP="00AB3D2C">
      <w:pPr>
        <w:spacing w:line="360" w:lineRule="auto"/>
        <w:ind w:firstLine="720"/>
        <w:jc w:val="both"/>
      </w:pPr>
      <w:r w:rsidRPr="4E0D7040">
        <w:rPr>
          <w:sz w:val="24"/>
          <w:szCs w:val="24"/>
        </w:rPr>
        <w:t xml:space="preserve">No ensaio realizado para avaliar a capacidade dos isolados fúngicos da rizosfera do eucalipto em produzir ácido indolacético (AIA), observou-se que apenas cinco deles (F2, F8, F13, F14 e F15) apresentaram mudança de coloração de amarelo para rosa intenso após a adição da solução de Salkowski (Figura 2), indicando produção significativa do composto. Os demais isolados apresentaram alteração mínima na coloração após 30 minutos de incubação no escuro, enquanto o isolado F11 não demonstrou qualquer mudança </w:t>
      </w:r>
      <w:r w:rsidR="2B4F9942" w:rsidRPr="4E0D7040">
        <w:rPr>
          <w:sz w:val="24"/>
          <w:szCs w:val="24"/>
        </w:rPr>
        <w:t>perceptível</w:t>
      </w:r>
      <w:r w:rsidRPr="4E0D7040">
        <w:rPr>
          <w:sz w:val="24"/>
          <w:szCs w:val="24"/>
        </w:rPr>
        <w:t>, mantendo a coloração amarelada.</w:t>
      </w:r>
    </w:p>
    <w:p w14:paraId="7C78858E" w14:textId="5E0A68B9" w:rsidR="003949CE" w:rsidRDefault="22F9D3B9" w:rsidP="00AB3D2C">
      <w:pPr>
        <w:spacing w:line="360" w:lineRule="auto"/>
        <w:ind w:firstLine="720"/>
        <w:jc w:val="both"/>
        <w:rPr>
          <w:sz w:val="24"/>
          <w:szCs w:val="24"/>
        </w:rPr>
      </w:pPr>
      <w:r w:rsidRPr="4E0D7040">
        <w:rPr>
          <w:sz w:val="24"/>
          <w:szCs w:val="24"/>
        </w:rPr>
        <w:t>A variação na intensidade da coloração sugere diferenças no potencial biossintético entre os isolados avaliados, possivelmente relacionadas à expressão diferenciada de enzimas envolvidas na via metabólica do AIA. De acordo com Taiz et al. (2017), as auxinas, entre as quais o AIA é o principal representante, são hormônios vegetais fundamentais no controle do crescimento e desenvolvimento das plantas, atuando no alongamento celular, diferenciação tecidual e formação de raízes. Embora o AIA seja predominantemente produzido nos meristemas apicais das plantas, diversos microrganismos rizosféricos também são capazes de sintetizá-lo a partir do triptofano, utilizando rotas metabólicas semelhantes às das plantas (</w:t>
      </w:r>
      <w:r w:rsidR="3624F157" w:rsidRPr="4E0D7040">
        <w:rPr>
          <w:sz w:val="24"/>
          <w:szCs w:val="24"/>
        </w:rPr>
        <w:t xml:space="preserve">Marchioro, 2005; </w:t>
      </w:r>
      <w:r w:rsidRPr="4E0D7040">
        <w:rPr>
          <w:sz w:val="24"/>
          <w:szCs w:val="24"/>
        </w:rPr>
        <w:t>Spaepen; Vanderleyden, 2011; Duca</w:t>
      </w:r>
      <w:r w:rsidRPr="4E0D7040">
        <w:rPr>
          <w:i/>
          <w:iCs/>
          <w:sz w:val="24"/>
          <w:szCs w:val="24"/>
        </w:rPr>
        <w:t xml:space="preserve"> et al</w:t>
      </w:r>
      <w:r w:rsidRPr="4E0D7040">
        <w:rPr>
          <w:sz w:val="24"/>
          <w:szCs w:val="24"/>
        </w:rPr>
        <w:t>., 2014).</w:t>
      </w:r>
      <w:r w:rsidR="497BFBEB" w:rsidRPr="4E0D7040">
        <w:rPr>
          <w:sz w:val="24"/>
          <w:szCs w:val="24"/>
        </w:rPr>
        <w:t xml:space="preserve"> </w:t>
      </w:r>
    </w:p>
    <w:p w14:paraId="0E7E3486" w14:textId="2174CC63" w:rsidR="003949CE" w:rsidRDefault="36AD6303" w:rsidP="00AB3D2C">
      <w:pPr>
        <w:spacing w:line="360" w:lineRule="auto"/>
        <w:ind w:firstLine="720"/>
        <w:jc w:val="both"/>
      </w:pPr>
      <w:r w:rsidRPr="4E0D7040">
        <w:rPr>
          <w:sz w:val="24"/>
          <w:szCs w:val="24"/>
        </w:rPr>
        <w:t>Resultados semelhantes foram observados por</w:t>
      </w:r>
      <w:r w:rsidR="5480618F" w:rsidRPr="4E0D7040">
        <w:rPr>
          <w:sz w:val="24"/>
          <w:szCs w:val="24"/>
        </w:rPr>
        <w:t xml:space="preserve"> Bezerra (2021), que, ao investigar microrganismos da rizosfera da cana-de-açúcar (</w:t>
      </w:r>
      <w:r w:rsidR="5480618F" w:rsidRPr="4E0D7040">
        <w:rPr>
          <w:i/>
          <w:iCs/>
          <w:sz w:val="24"/>
          <w:szCs w:val="24"/>
        </w:rPr>
        <w:t>Saccharum officinarum</w:t>
      </w:r>
      <w:r w:rsidR="5480618F" w:rsidRPr="4E0D7040">
        <w:rPr>
          <w:sz w:val="24"/>
          <w:szCs w:val="24"/>
        </w:rPr>
        <w:t xml:space="preserve"> L.), também observou variações expressivas na capacidade de produção de AIA entre os isolados. A autora destacou que a disponibilidade de triptofano no meio de cultivo é um fator determinante para a ativação </w:t>
      </w:r>
      <w:r w:rsidR="5480618F" w:rsidRPr="4E0D7040">
        <w:rPr>
          <w:sz w:val="24"/>
          <w:szCs w:val="24"/>
        </w:rPr>
        <w:lastRenderedPageBreak/>
        <w:t>das enzimas envolvidas na rota de biossíntese do AIA, como a triptofano mono</w:t>
      </w:r>
      <w:r w:rsidR="144C8EF9" w:rsidRPr="4E0D7040">
        <w:rPr>
          <w:sz w:val="24"/>
          <w:szCs w:val="24"/>
        </w:rPr>
        <w:t xml:space="preserve"> </w:t>
      </w:r>
      <w:r w:rsidR="5480618F" w:rsidRPr="4E0D7040">
        <w:rPr>
          <w:sz w:val="24"/>
          <w:szCs w:val="24"/>
        </w:rPr>
        <w:t>oxigenase e a indol-3-acetamida hidrolase, responsáveis pela conversão de intermediários em ácido indol</w:t>
      </w:r>
      <w:r w:rsidR="08EDA516" w:rsidRPr="4E0D7040">
        <w:rPr>
          <w:sz w:val="24"/>
          <w:szCs w:val="24"/>
        </w:rPr>
        <w:t xml:space="preserve"> </w:t>
      </w:r>
      <w:r w:rsidR="5480618F" w:rsidRPr="4E0D7040">
        <w:rPr>
          <w:sz w:val="24"/>
          <w:szCs w:val="24"/>
        </w:rPr>
        <w:t>acético (Spaepen et al., 2007; Duca et al., 2014).</w:t>
      </w:r>
    </w:p>
    <w:p w14:paraId="1E719E86" w14:textId="30D11211" w:rsidR="00CA6113" w:rsidRDefault="5CD7D969" w:rsidP="00AB3D2C">
      <w:pPr>
        <w:spacing w:line="360" w:lineRule="auto"/>
        <w:ind w:firstLine="720"/>
        <w:jc w:val="both"/>
        <w:rPr>
          <w:sz w:val="24"/>
          <w:szCs w:val="24"/>
        </w:rPr>
      </w:pPr>
      <w:r w:rsidRPr="4E0D7040">
        <w:rPr>
          <w:sz w:val="24"/>
          <w:szCs w:val="24"/>
        </w:rPr>
        <w:t xml:space="preserve">A capacidade de fungos rizosféricos em produzir AIA reforça o papel ecológico desses microorganismos como potenciais promotores de crescimento vegetal (PGPM — </w:t>
      </w:r>
      <w:r w:rsidRPr="4E0D7040">
        <w:rPr>
          <w:i/>
          <w:iCs/>
          <w:sz w:val="24"/>
          <w:szCs w:val="24"/>
        </w:rPr>
        <w:t>Plant Growth-Promoting Microorganisms</w:t>
      </w:r>
      <w:r w:rsidRPr="4E0D7040">
        <w:rPr>
          <w:sz w:val="24"/>
          <w:szCs w:val="24"/>
        </w:rPr>
        <w:t>), uma vez que a presença de auxinas microbianas pode favorecer o desenvolvimento radicular, o aumento da área de absorção e, consequentemente, a disponibilidade de nutrientes para as plantas hospedeiras (Calvo; Nelson; Kloepper, 2014; Kumar</w:t>
      </w:r>
      <w:r w:rsidRPr="4E0D7040">
        <w:rPr>
          <w:i/>
          <w:iCs/>
          <w:sz w:val="24"/>
          <w:szCs w:val="24"/>
        </w:rPr>
        <w:t xml:space="preserve"> et al.,</w:t>
      </w:r>
      <w:r w:rsidRPr="4E0D7040">
        <w:rPr>
          <w:sz w:val="24"/>
          <w:szCs w:val="24"/>
        </w:rPr>
        <w:t xml:space="preserve"> 20</w:t>
      </w:r>
      <w:r w:rsidR="6A0A4C5A" w:rsidRPr="4E0D7040">
        <w:rPr>
          <w:sz w:val="24"/>
          <w:szCs w:val="24"/>
        </w:rPr>
        <w:t>14</w:t>
      </w:r>
      <w:r w:rsidRPr="4E0D7040">
        <w:rPr>
          <w:sz w:val="24"/>
          <w:szCs w:val="24"/>
        </w:rPr>
        <w:t>). Dessa forma, os isolados fúngicos com maior potencial de produção de AIA podem ser explorados em aplicações biotecnológicas voltadas à agricultura e silvicultura sustentável, especialmente em cultivos de eucalipto, onde o crescimento radicular vigoroso é essencial para o estabelecimento e produtividade das plantas.</w:t>
      </w:r>
    </w:p>
    <w:p w14:paraId="509490AA" w14:textId="77777777" w:rsidR="007921B8" w:rsidRDefault="007921B8" w:rsidP="005D4CE3">
      <w:pPr>
        <w:ind w:firstLine="720"/>
        <w:jc w:val="both"/>
        <w:rPr>
          <w:sz w:val="24"/>
          <w:szCs w:val="24"/>
        </w:rPr>
      </w:pPr>
    </w:p>
    <w:p w14:paraId="5DA41E14" w14:textId="4D60DDB8" w:rsidR="00EB6B05" w:rsidRDefault="00AB3D2C" w:rsidP="00AB3D2C">
      <w:pPr>
        <w:pBdr>
          <w:bottom w:val="none" w:sz="0" w:space="8" w:color="000000"/>
        </w:pBdr>
        <w:shd w:val="clear" w:color="auto" w:fill="FFFFFF" w:themeFill="background1"/>
        <w:tabs>
          <w:tab w:val="left" w:pos="2500"/>
        </w:tabs>
        <w:spacing w:line="360" w:lineRule="auto"/>
        <w:jc w:val="center"/>
      </w:pPr>
      <w:r>
        <w:rPr>
          <w:noProof/>
        </w:rPr>
        <w:drawing>
          <wp:anchor distT="0" distB="0" distL="114300" distR="114300" simplePos="0" relativeHeight="251658240" behindDoc="1" locked="0" layoutInCell="1" allowOverlap="1" wp14:anchorId="25D6A5E2" wp14:editId="73A9B9B8">
            <wp:simplePos x="0" y="0"/>
            <wp:positionH relativeFrom="column">
              <wp:posOffset>1251585</wp:posOffset>
            </wp:positionH>
            <wp:positionV relativeFrom="paragraph">
              <wp:posOffset>469900</wp:posOffset>
            </wp:positionV>
            <wp:extent cx="3307080" cy="2239645"/>
            <wp:effectExtent l="0" t="0" r="7620" b="8255"/>
            <wp:wrapTopAndBottom/>
            <wp:docPr id="503515033"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515033" name="Imagem 503515033"/>
                    <pic:cNvPicPr/>
                  </pic:nvPicPr>
                  <pic:blipFill>
                    <a:blip r:embed="rId9">
                      <a:extLst>
                        <a:ext uri="{28A0092B-C50C-407E-A947-70E740481C1C}">
                          <a14:useLocalDpi xmlns:a14="http://schemas.microsoft.com/office/drawing/2010/main" val="0"/>
                        </a:ext>
                      </a:extLst>
                    </a:blip>
                    <a:stretch>
                      <a:fillRect/>
                    </a:stretch>
                  </pic:blipFill>
                  <pic:spPr>
                    <a:xfrm>
                      <a:off x="0" y="0"/>
                      <a:ext cx="3307080" cy="2239645"/>
                    </a:xfrm>
                    <a:prstGeom prst="rect">
                      <a:avLst/>
                    </a:prstGeom>
                  </pic:spPr>
                </pic:pic>
              </a:graphicData>
            </a:graphic>
          </wp:anchor>
        </w:drawing>
      </w:r>
      <w:r w:rsidR="00CA6113" w:rsidRPr="00B86F9B">
        <w:t xml:space="preserve">Figura </w:t>
      </w:r>
      <w:r w:rsidR="00CA6113">
        <w:t>2</w:t>
      </w:r>
      <w:r w:rsidR="00CA6113" w:rsidRPr="00B86F9B">
        <w:t>: a) F2, b) F8, c) F13, d) F14</w:t>
      </w:r>
      <w:r w:rsidR="00F56514">
        <w:t>,</w:t>
      </w:r>
      <w:r w:rsidR="00CA6113" w:rsidRPr="00B86F9B">
        <w:t xml:space="preserve"> e) F15 isolados </w:t>
      </w:r>
      <w:r w:rsidR="00CA6113">
        <w:t xml:space="preserve">que testaram positivo para </w:t>
      </w:r>
      <w:r w:rsidR="00CA6113" w:rsidRPr="00B86F9B">
        <w:t>a capacidade de produzir AIA</w:t>
      </w:r>
      <w:r w:rsidR="00F56514">
        <w:t xml:space="preserve"> e f) F11 Isolado negativo  para teste de AIA.</w:t>
      </w:r>
    </w:p>
    <w:p w14:paraId="6ABCD659" w14:textId="417C01E1" w:rsidR="003949CE" w:rsidRPr="007921B8" w:rsidRDefault="2E120EA1" w:rsidP="00AB3D2C">
      <w:pPr>
        <w:pBdr>
          <w:bottom w:val="none" w:sz="0" w:space="8" w:color="000000"/>
        </w:pBdr>
        <w:shd w:val="clear" w:color="auto" w:fill="FFFFFF" w:themeFill="background1"/>
        <w:tabs>
          <w:tab w:val="left" w:pos="2500"/>
        </w:tabs>
        <w:spacing w:line="360" w:lineRule="auto"/>
      </w:pPr>
      <w:r w:rsidRPr="007921B8">
        <w:t>Fonte: Autores, 2025.</w:t>
      </w:r>
    </w:p>
    <w:p w14:paraId="2F8A6BEB" w14:textId="413E9C4B" w:rsidR="003949CE" w:rsidRDefault="2FD89792" w:rsidP="00AB3D2C">
      <w:pPr>
        <w:keepNext/>
        <w:widowControl/>
        <w:spacing w:line="360" w:lineRule="auto"/>
        <w:ind w:firstLine="700"/>
        <w:jc w:val="both"/>
      </w:pPr>
      <w:r w:rsidRPr="4E0D7040">
        <w:rPr>
          <w:sz w:val="24"/>
          <w:szCs w:val="24"/>
        </w:rPr>
        <w:t>A solubilização de fosfato foi observada em nove isolados fúngicos (F1, F2, F3, F7, F8, F11, F12, F14 e F15).</w:t>
      </w:r>
      <w:r w:rsidR="30271A49" w:rsidRPr="4E0D7040">
        <w:rPr>
          <w:sz w:val="24"/>
          <w:szCs w:val="24"/>
        </w:rPr>
        <w:t xml:space="preserve"> </w:t>
      </w:r>
      <w:r w:rsidR="72BB1C32" w:rsidRPr="4E0D7040">
        <w:rPr>
          <w:sz w:val="24"/>
          <w:szCs w:val="24"/>
        </w:rPr>
        <w:t>Dentre esses, apenas dois apresentaram valores médios expressivos de solubilização, como demonstrado na Tabela 1.</w:t>
      </w:r>
      <w:r w:rsidR="30271A49" w:rsidRPr="4E0D7040">
        <w:rPr>
          <w:sz w:val="24"/>
          <w:szCs w:val="24"/>
        </w:rPr>
        <w:t xml:space="preserve"> </w:t>
      </w:r>
      <w:r w:rsidR="14DC501C" w:rsidRPr="4E0D7040">
        <w:rPr>
          <w:sz w:val="24"/>
          <w:szCs w:val="24"/>
        </w:rPr>
        <w:t xml:space="preserve">Em contrapartida, seis isolados não exibiram </w:t>
      </w:r>
      <w:r w:rsidR="14DC501C" w:rsidRPr="4E0D7040">
        <w:rPr>
          <w:sz w:val="24"/>
          <w:szCs w:val="24"/>
        </w:rPr>
        <w:lastRenderedPageBreak/>
        <w:t>formação de halo de solubilização</w:t>
      </w:r>
      <w:r w:rsidR="00142AA2">
        <w:rPr>
          <w:sz w:val="24"/>
          <w:szCs w:val="24"/>
        </w:rPr>
        <w:t xml:space="preserve"> (Figura 3)</w:t>
      </w:r>
      <w:r w:rsidR="14DC501C" w:rsidRPr="4E0D7040">
        <w:rPr>
          <w:sz w:val="24"/>
          <w:szCs w:val="24"/>
        </w:rPr>
        <w:t xml:space="preserve"> até o 15º dia de incubação, indicando ausência de atividade solubilizadora detect</w:t>
      </w:r>
      <w:r w:rsidR="4EE25784" w:rsidRPr="4E0D7040">
        <w:rPr>
          <w:sz w:val="24"/>
          <w:szCs w:val="24"/>
        </w:rPr>
        <w:t>á</w:t>
      </w:r>
      <w:r w:rsidR="14DC501C" w:rsidRPr="4E0D7040">
        <w:rPr>
          <w:sz w:val="24"/>
          <w:szCs w:val="24"/>
        </w:rPr>
        <w:t>vel no período avaliado.</w:t>
      </w:r>
    </w:p>
    <w:p w14:paraId="485DD26D" w14:textId="3829AB1F" w:rsidR="003949CE" w:rsidRDefault="0625789C" w:rsidP="00AB3D2C">
      <w:pPr>
        <w:keepNext/>
        <w:widowControl/>
        <w:spacing w:line="360" w:lineRule="auto"/>
        <w:ind w:firstLine="700"/>
        <w:jc w:val="both"/>
      </w:pPr>
      <w:r w:rsidRPr="4E0D7040">
        <w:rPr>
          <w:sz w:val="24"/>
          <w:szCs w:val="24"/>
        </w:rPr>
        <w:t xml:space="preserve">O fósforo (P) é considerado o segundo macronutriente mais importante para o crescimento vegetal, depois do nitrogênio, desempenhando funções essenciais no metabolismo energético, na fotossíntese e na síntese de ácidos nucleicos e fosfolipídios (Taiz </w:t>
      </w:r>
      <w:r w:rsidRPr="4E0D7040">
        <w:rPr>
          <w:i/>
          <w:iCs/>
          <w:sz w:val="24"/>
          <w:szCs w:val="24"/>
        </w:rPr>
        <w:t>et al.,</w:t>
      </w:r>
      <w:r w:rsidRPr="4E0D7040">
        <w:rPr>
          <w:sz w:val="24"/>
          <w:szCs w:val="24"/>
        </w:rPr>
        <w:t xml:space="preserve"> 2017). No solo, o fósforo ocorre em teores que variam entre 50 e 3000 mg/kg, distribuído nas formas orgânica (20–30%) e inorgânica (70–80%). Contudo, apenas uma fração mínima</w:t>
      </w:r>
      <w:r w:rsidR="00F56514">
        <w:rPr>
          <w:sz w:val="24"/>
          <w:szCs w:val="24"/>
        </w:rPr>
        <w:t>,</w:t>
      </w:r>
      <w:r w:rsidRPr="4E0D7040">
        <w:rPr>
          <w:sz w:val="24"/>
          <w:szCs w:val="24"/>
        </w:rPr>
        <w:t xml:space="preserve"> cerca de 0,1%  encontra-se disponível para absorção pelas plantas, devido à sua alta afinidade com íons de cálcio, ferro e alumínio, que formam compostos insolúveis (Behera </w:t>
      </w:r>
      <w:r w:rsidRPr="4E0D7040">
        <w:rPr>
          <w:i/>
          <w:iCs/>
          <w:sz w:val="24"/>
          <w:szCs w:val="24"/>
        </w:rPr>
        <w:t>et al</w:t>
      </w:r>
      <w:r w:rsidRPr="4E0D7040">
        <w:rPr>
          <w:sz w:val="24"/>
          <w:szCs w:val="24"/>
        </w:rPr>
        <w:t>., 2017).</w:t>
      </w:r>
    </w:p>
    <w:p w14:paraId="0360A561" w14:textId="63710B5B" w:rsidR="003949CE" w:rsidRDefault="0625789C" w:rsidP="00AB3D2C">
      <w:pPr>
        <w:keepNext/>
        <w:widowControl/>
        <w:spacing w:line="360" w:lineRule="auto"/>
        <w:ind w:firstLine="700"/>
        <w:jc w:val="both"/>
      </w:pPr>
      <w:r w:rsidRPr="4E0D7040">
        <w:rPr>
          <w:sz w:val="24"/>
          <w:szCs w:val="24"/>
        </w:rPr>
        <w:t>Nesse contexto, os microrganismos solubilizadores de fosfato (MSF) desempenham um papel ecológico e agr</w:t>
      </w:r>
      <w:r w:rsidR="3F459A67" w:rsidRPr="4E0D7040">
        <w:rPr>
          <w:sz w:val="24"/>
          <w:szCs w:val="24"/>
        </w:rPr>
        <w:t>ícola</w:t>
      </w:r>
      <w:r w:rsidRPr="4E0D7040">
        <w:rPr>
          <w:sz w:val="24"/>
          <w:szCs w:val="24"/>
        </w:rPr>
        <w:t xml:space="preserve"> relevante, uma vez que liberam fósforo assimilável através da secreção de ácidos orgânicos, sideróforos e enzimas fosfatases, promovendo a disponibilidade do nutriente na rizosfera (Khan </w:t>
      </w:r>
      <w:r w:rsidRPr="4E0D7040">
        <w:rPr>
          <w:i/>
          <w:iCs/>
          <w:sz w:val="24"/>
          <w:szCs w:val="24"/>
        </w:rPr>
        <w:t>et al.</w:t>
      </w:r>
      <w:r w:rsidRPr="4E0D7040">
        <w:rPr>
          <w:sz w:val="24"/>
          <w:szCs w:val="24"/>
        </w:rPr>
        <w:t xml:space="preserve">, 2009; Mendes </w:t>
      </w:r>
      <w:r w:rsidRPr="4E0D7040">
        <w:rPr>
          <w:i/>
          <w:iCs/>
          <w:sz w:val="24"/>
          <w:szCs w:val="24"/>
        </w:rPr>
        <w:t>et al</w:t>
      </w:r>
      <w:r w:rsidRPr="4E0D7040">
        <w:rPr>
          <w:sz w:val="24"/>
          <w:szCs w:val="24"/>
        </w:rPr>
        <w:t>., 2021). A ação desses fungos e bactérias é particularmente importante em solos tropicais, onde a fixação do fósforo é elevada e sua disponibilidade para as plantas é limitada.</w:t>
      </w:r>
    </w:p>
    <w:p w14:paraId="5E01AE8B" w14:textId="01C97F46" w:rsidR="003949CE" w:rsidRDefault="0625789C" w:rsidP="00AB3D2C">
      <w:pPr>
        <w:keepNext/>
        <w:widowControl/>
        <w:spacing w:line="360" w:lineRule="auto"/>
        <w:ind w:firstLine="700"/>
        <w:jc w:val="both"/>
      </w:pPr>
      <w:r w:rsidRPr="4E0D7040">
        <w:rPr>
          <w:sz w:val="24"/>
          <w:szCs w:val="24"/>
        </w:rPr>
        <w:t xml:space="preserve">Os resultados obtidos neste estudo corroboram com as observações de Oliveira </w:t>
      </w:r>
      <w:r w:rsidRPr="4E0D7040">
        <w:rPr>
          <w:i/>
          <w:iCs/>
          <w:sz w:val="24"/>
          <w:szCs w:val="24"/>
        </w:rPr>
        <w:t>et al.</w:t>
      </w:r>
      <w:r w:rsidRPr="4E0D7040">
        <w:rPr>
          <w:sz w:val="24"/>
          <w:szCs w:val="24"/>
        </w:rPr>
        <w:t xml:space="preserve"> (2014), que avaliaram fungos e bactérias solubilizadores de fosfato isolados de diferentes ecossistemas e verificaram ampla variação no potencial de solubilização entre os isolados. Essa variação foi atribuída a fatores fisiológicos intrínsecos, ao tipo de fosfato presente no meio e à capacidade diferencial de secreção de ácidos orgânicos. Os autores destacaram que espécies pertencentes aos gêneros </w:t>
      </w:r>
      <w:r w:rsidRPr="4E0D7040">
        <w:rPr>
          <w:i/>
          <w:iCs/>
          <w:sz w:val="24"/>
          <w:szCs w:val="24"/>
        </w:rPr>
        <w:t>Aspergillus</w:t>
      </w:r>
      <w:r w:rsidRPr="4E0D7040">
        <w:rPr>
          <w:sz w:val="24"/>
          <w:szCs w:val="24"/>
        </w:rPr>
        <w:t xml:space="preserve"> e </w:t>
      </w:r>
      <w:r w:rsidRPr="4E0D7040">
        <w:rPr>
          <w:i/>
          <w:iCs/>
          <w:sz w:val="24"/>
          <w:szCs w:val="24"/>
        </w:rPr>
        <w:t>Penicillium</w:t>
      </w:r>
      <w:r w:rsidRPr="4E0D7040">
        <w:rPr>
          <w:sz w:val="24"/>
          <w:szCs w:val="24"/>
        </w:rPr>
        <w:t xml:space="preserve"> apresentaram halos expressivos de solubilização, resultado da acidificação do meio causada pela liberação de ácidos como o cítrico, oxálico e glicônico, os quais reduzem o pH e promovem a dissolução de compostos minerais de fósforo insolúveis (Illmer</w:t>
      </w:r>
      <w:r w:rsidR="6738D533" w:rsidRPr="4E0D7040">
        <w:rPr>
          <w:sz w:val="24"/>
          <w:szCs w:val="24"/>
        </w:rPr>
        <w:t>;</w:t>
      </w:r>
      <w:r w:rsidRPr="4E0D7040">
        <w:rPr>
          <w:sz w:val="24"/>
          <w:szCs w:val="24"/>
        </w:rPr>
        <w:t xml:space="preserve"> Schinner, 1995; Oliveira </w:t>
      </w:r>
      <w:r w:rsidRPr="4E0D7040">
        <w:rPr>
          <w:i/>
          <w:iCs/>
          <w:sz w:val="24"/>
          <w:szCs w:val="24"/>
        </w:rPr>
        <w:t>et al.</w:t>
      </w:r>
      <w:r w:rsidRPr="4E0D7040">
        <w:rPr>
          <w:sz w:val="24"/>
          <w:szCs w:val="24"/>
        </w:rPr>
        <w:t>, 2014).</w:t>
      </w:r>
    </w:p>
    <w:p w14:paraId="5DC80457" w14:textId="5A9586BC" w:rsidR="003949CE" w:rsidRDefault="0625789C" w:rsidP="00AB3D2C">
      <w:pPr>
        <w:keepNext/>
        <w:widowControl/>
        <w:spacing w:line="360" w:lineRule="auto"/>
        <w:ind w:firstLine="700"/>
        <w:jc w:val="both"/>
      </w:pPr>
      <w:r w:rsidRPr="4E0D7040">
        <w:rPr>
          <w:sz w:val="24"/>
          <w:szCs w:val="24"/>
        </w:rPr>
        <w:t xml:space="preserve">Assim, os isolados fúngicos identificados com maior capacidade de solubilização de fosfato neste estudo demonstram potencial biotecnológico como bioinoculantes promotores de </w:t>
      </w:r>
      <w:r w:rsidRPr="4E0D7040">
        <w:rPr>
          <w:sz w:val="24"/>
          <w:szCs w:val="24"/>
        </w:rPr>
        <w:lastRenderedPageBreak/>
        <w:t>crescimento vegetal, podendo contribuir para práticas agrícolas mais sustentáveis e de menor dependência de fertilizantes fosfatados sintéticos (Ahemad</w:t>
      </w:r>
      <w:r w:rsidR="6B44E179" w:rsidRPr="4E0D7040">
        <w:rPr>
          <w:sz w:val="24"/>
          <w:szCs w:val="24"/>
        </w:rPr>
        <w:t xml:space="preserve">; </w:t>
      </w:r>
      <w:r w:rsidRPr="4E0D7040">
        <w:rPr>
          <w:sz w:val="24"/>
          <w:szCs w:val="24"/>
        </w:rPr>
        <w:t xml:space="preserve">Khan, 2012; Mendes </w:t>
      </w:r>
      <w:r w:rsidRPr="4E0D7040">
        <w:rPr>
          <w:i/>
          <w:iCs/>
          <w:sz w:val="24"/>
          <w:szCs w:val="24"/>
        </w:rPr>
        <w:t>et al</w:t>
      </w:r>
      <w:r w:rsidRPr="4E0D7040">
        <w:rPr>
          <w:sz w:val="24"/>
          <w:szCs w:val="24"/>
        </w:rPr>
        <w:t>., 2021).</w:t>
      </w:r>
    </w:p>
    <w:p w14:paraId="42BD53BC" w14:textId="7E0EB163" w:rsidR="00A13F07" w:rsidRPr="00B86F9B" w:rsidRDefault="00A13F07" w:rsidP="005D4CE3">
      <w:pPr>
        <w:keepNext/>
        <w:widowControl/>
        <w:ind w:firstLine="700"/>
        <w:jc w:val="both"/>
        <w:rPr>
          <w:sz w:val="24"/>
          <w:szCs w:val="24"/>
        </w:rPr>
      </w:pPr>
    </w:p>
    <w:p w14:paraId="036C9FC4" w14:textId="349443FC" w:rsidR="003949CE" w:rsidRPr="007339E5" w:rsidRDefault="003949CE" w:rsidP="005D4CE3">
      <w:pPr>
        <w:keepNext/>
        <w:widowControl/>
        <w:jc w:val="center"/>
      </w:pPr>
      <w:r>
        <w:t>Tabela 1</w:t>
      </w:r>
      <w:r>
        <w:rPr>
          <w:b/>
        </w:rPr>
        <w:t xml:space="preserve"> – </w:t>
      </w:r>
      <w:r w:rsidR="007339E5">
        <w:t>Grau de solubilização de fosfato por isolados Fungicos.</w:t>
      </w:r>
    </w:p>
    <w:tbl>
      <w:tblPr>
        <w:tblW w:w="5986" w:type="dxa"/>
        <w:jc w:val="center"/>
        <w:tblBorders>
          <w:top w:val="single" w:sz="8" w:space="0" w:color="000000"/>
          <w:bottom w:val="single" w:sz="8" w:space="0" w:color="000000"/>
        </w:tblBorders>
        <w:tblLayout w:type="fixed"/>
        <w:tblLook w:val="0400" w:firstRow="0" w:lastRow="0" w:firstColumn="0" w:lastColumn="0" w:noHBand="0" w:noVBand="1"/>
      </w:tblPr>
      <w:tblGrid>
        <w:gridCol w:w="1134"/>
        <w:gridCol w:w="3119"/>
        <w:gridCol w:w="1726"/>
        <w:gridCol w:w="7"/>
      </w:tblGrid>
      <w:tr w:rsidR="007339E5" w14:paraId="6A9C4F8B" w14:textId="77777777" w:rsidTr="007339E5">
        <w:trPr>
          <w:trHeight w:val="376"/>
          <w:jc w:val="center"/>
        </w:trPr>
        <w:tc>
          <w:tcPr>
            <w:tcW w:w="1134" w:type="dxa"/>
            <w:tcBorders>
              <w:top w:val="single" w:sz="8" w:space="0" w:color="000000"/>
              <w:left w:val="nil"/>
              <w:bottom w:val="single" w:sz="8" w:space="0" w:color="000000"/>
              <w:right w:val="nil"/>
            </w:tcBorders>
            <w:shd w:val="clear" w:color="auto" w:fill="FFFFFF"/>
          </w:tcPr>
          <w:p w14:paraId="07A3FB25" w14:textId="5D8D6060" w:rsidR="007339E5" w:rsidRPr="007921B8" w:rsidRDefault="007339E5" w:rsidP="005D4CE3">
            <w:pPr>
              <w:widowControl/>
              <w:spacing w:after="160"/>
              <w:jc w:val="both"/>
              <w:rPr>
                <w:b/>
              </w:rPr>
            </w:pPr>
            <w:r w:rsidRPr="007921B8">
              <w:rPr>
                <w:b/>
              </w:rPr>
              <w:t>Isolado</w:t>
            </w:r>
          </w:p>
        </w:tc>
        <w:tc>
          <w:tcPr>
            <w:tcW w:w="3119" w:type="dxa"/>
            <w:tcBorders>
              <w:top w:val="single" w:sz="8" w:space="0" w:color="000000"/>
              <w:left w:val="nil"/>
              <w:bottom w:val="single" w:sz="8" w:space="0" w:color="000000"/>
              <w:right w:val="nil"/>
            </w:tcBorders>
            <w:shd w:val="clear" w:color="auto" w:fill="FFFFFF"/>
          </w:tcPr>
          <w:p w14:paraId="7A616A0F" w14:textId="048B1DC7" w:rsidR="007339E5" w:rsidRPr="007921B8" w:rsidRDefault="007339E5" w:rsidP="005D4CE3">
            <w:pPr>
              <w:widowControl/>
              <w:spacing w:after="160"/>
              <w:jc w:val="center"/>
              <w:rPr>
                <w:b/>
              </w:rPr>
            </w:pPr>
            <w:r w:rsidRPr="007921B8">
              <w:rPr>
                <w:b/>
              </w:rPr>
              <w:t>Indice de solubilização</w:t>
            </w:r>
          </w:p>
        </w:tc>
        <w:tc>
          <w:tcPr>
            <w:tcW w:w="1733" w:type="dxa"/>
            <w:gridSpan w:val="2"/>
            <w:tcBorders>
              <w:top w:val="single" w:sz="8" w:space="0" w:color="000000"/>
              <w:left w:val="nil"/>
              <w:bottom w:val="single" w:sz="8" w:space="0" w:color="000000"/>
              <w:right w:val="nil"/>
            </w:tcBorders>
            <w:shd w:val="clear" w:color="auto" w:fill="FFFFFF"/>
          </w:tcPr>
          <w:p w14:paraId="062EB42B" w14:textId="683859BD" w:rsidR="007339E5" w:rsidRPr="007921B8" w:rsidRDefault="007339E5" w:rsidP="005D4CE3">
            <w:pPr>
              <w:widowControl/>
              <w:spacing w:after="160"/>
              <w:jc w:val="center"/>
              <w:rPr>
                <w:b/>
              </w:rPr>
            </w:pPr>
            <w:r w:rsidRPr="007921B8">
              <w:rPr>
                <w:b/>
              </w:rPr>
              <w:t>Classificação</w:t>
            </w:r>
          </w:p>
        </w:tc>
      </w:tr>
      <w:tr w:rsidR="007339E5" w14:paraId="7AA48FC3" w14:textId="77777777" w:rsidTr="007339E5">
        <w:trPr>
          <w:trHeight w:val="376"/>
          <w:jc w:val="center"/>
        </w:trPr>
        <w:tc>
          <w:tcPr>
            <w:tcW w:w="1134" w:type="dxa"/>
            <w:tcBorders>
              <w:left w:val="nil"/>
              <w:right w:val="nil"/>
            </w:tcBorders>
            <w:shd w:val="clear" w:color="auto" w:fill="FFFFFF"/>
          </w:tcPr>
          <w:p w14:paraId="09A48142" w14:textId="42EF51BF" w:rsidR="007339E5" w:rsidRPr="00C65CA4" w:rsidRDefault="007339E5" w:rsidP="005D4CE3">
            <w:pPr>
              <w:widowControl/>
              <w:spacing w:after="160"/>
              <w:jc w:val="center"/>
              <w:rPr>
                <w:b/>
              </w:rPr>
            </w:pPr>
            <w:r w:rsidRPr="00BE2198">
              <w:rPr>
                <w:bCs/>
              </w:rPr>
              <w:t>F</w:t>
            </w:r>
            <w:r w:rsidR="002111C9">
              <w:rPr>
                <w:bCs/>
              </w:rPr>
              <w:t>1</w:t>
            </w:r>
          </w:p>
        </w:tc>
        <w:tc>
          <w:tcPr>
            <w:tcW w:w="3119" w:type="dxa"/>
            <w:tcBorders>
              <w:left w:val="nil"/>
              <w:right w:val="nil"/>
            </w:tcBorders>
            <w:shd w:val="clear" w:color="auto" w:fill="FFFFFF"/>
          </w:tcPr>
          <w:p w14:paraId="1217ACD3" w14:textId="4FCEB3FB" w:rsidR="007339E5" w:rsidRDefault="002111C9" w:rsidP="005D4CE3">
            <w:pPr>
              <w:widowControl/>
              <w:spacing w:after="160"/>
              <w:jc w:val="center"/>
            </w:pPr>
            <w:r>
              <w:t>2,</w:t>
            </w:r>
            <w:r w:rsidR="003646DB">
              <w:t>7</w:t>
            </w:r>
          </w:p>
        </w:tc>
        <w:tc>
          <w:tcPr>
            <w:tcW w:w="1733" w:type="dxa"/>
            <w:gridSpan w:val="2"/>
            <w:tcBorders>
              <w:left w:val="nil"/>
              <w:right w:val="nil"/>
            </w:tcBorders>
            <w:shd w:val="clear" w:color="auto" w:fill="FFFFFF"/>
          </w:tcPr>
          <w:p w14:paraId="314DC8A9" w14:textId="0302973A" w:rsidR="007339E5" w:rsidRDefault="003646DB" w:rsidP="005D4CE3">
            <w:pPr>
              <w:widowControl/>
              <w:spacing w:after="160"/>
              <w:jc w:val="center"/>
            </w:pPr>
            <w:r>
              <w:t>MEDIA</w:t>
            </w:r>
          </w:p>
        </w:tc>
      </w:tr>
      <w:tr w:rsidR="003646DB" w14:paraId="7819BDA1" w14:textId="77777777" w:rsidTr="007339E5">
        <w:trPr>
          <w:trHeight w:val="376"/>
          <w:jc w:val="center"/>
        </w:trPr>
        <w:tc>
          <w:tcPr>
            <w:tcW w:w="1134" w:type="dxa"/>
            <w:tcBorders>
              <w:left w:val="nil"/>
              <w:right w:val="nil"/>
            </w:tcBorders>
            <w:shd w:val="clear" w:color="auto" w:fill="FFFFFF"/>
          </w:tcPr>
          <w:p w14:paraId="0615D066" w14:textId="2636BA12" w:rsidR="003646DB" w:rsidRPr="00BE2198" w:rsidRDefault="003646DB" w:rsidP="005D4CE3">
            <w:pPr>
              <w:widowControl/>
              <w:spacing w:after="160"/>
              <w:jc w:val="center"/>
              <w:rPr>
                <w:bCs/>
              </w:rPr>
            </w:pPr>
            <w:r>
              <w:rPr>
                <w:bCs/>
              </w:rPr>
              <w:t>F2</w:t>
            </w:r>
          </w:p>
        </w:tc>
        <w:tc>
          <w:tcPr>
            <w:tcW w:w="3119" w:type="dxa"/>
            <w:tcBorders>
              <w:left w:val="nil"/>
              <w:right w:val="nil"/>
            </w:tcBorders>
            <w:shd w:val="clear" w:color="auto" w:fill="FFFFFF"/>
          </w:tcPr>
          <w:p w14:paraId="0DE89E5E" w14:textId="6989F83C" w:rsidR="003646DB" w:rsidRDefault="003646DB" w:rsidP="005D4CE3">
            <w:pPr>
              <w:widowControl/>
              <w:spacing w:after="160"/>
              <w:jc w:val="center"/>
            </w:pPr>
            <w:r>
              <w:t>1,2</w:t>
            </w:r>
          </w:p>
        </w:tc>
        <w:tc>
          <w:tcPr>
            <w:tcW w:w="1733" w:type="dxa"/>
            <w:gridSpan w:val="2"/>
            <w:tcBorders>
              <w:left w:val="nil"/>
              <w:right w:val="nil"/>
            </w:tcBorders>
            <w:shd w:val="clear" w:color="auto" w:fill="FFFFFF"/>
          </w:tcPr>
          <w:p w14:paraId="3010304D" w14:textId="64A74935" w:rsidR="003646DB" w:rsidRDefault="003646DB" w:rsidP="005D4CE3">
            <w:pPr>
              <w:widowControl/>
              <w:spacing w:after="160"/>
              <w:jc w:val="center"/>
            </w:pPr>
            <w:r>
              <w:t>BAIXA</w:t>
            </w:r>
          </w:p>
        </w:tc>
      </w:tr>
      <w:tr w:rsidR="003646DB" w14:paraId="76B085C9" w14:textId="77777777" w:rsidTr="007339E5">
        <w:trPr>
          <w:trHeight w:val="376"/>
          <w:jc w:val="center"/>
        </w:trPr>
        <w:tc>
          <w:tcPr>
            <w:tcW w:w="1134" w:type="dxa"/>
            <w:tcBorders>
              <w:left w:val="nil"/>
              <w:right w:val="nil"/>
            </w:tcBorders>
            <w:shd w:val="clear" w:color="auto" w:fill="FFFFFF"/>
          </w:tcPr>
          <w:p w14:paraId="6DBC1131" w14:textId="1F81BCAE" w:rsidR="003646DB" w:rsidRDefault="003646DB" w:rsidP="005D4CE3">
            <w:pPr>
              <w:widowControl/>
              <w:spacing w:after="160"/>
              <w:jc w:val="center"/>
              <w:rPr>
                <w:bCs/>
              </w:rPr>
            </w:pPr>
            <w:r>
              <w:rPr>
                <w:bCs/>
              </w:rPr>
              <w:t>F3</w:t>
            </w:r>
          </w:p>
        </w:tc>
        <w:tc>
          <w:tcPr>
            <w:tcW w:w="3119" w:type="dxa"/>
            <w:tcBorders>
              <w:left w:val="nil"/>
              <w:right w:val="nil"/>
            </w:tcBorders>
            <w:shd w:val="clear" w:color="auto" w:fill="FFFFFF"/>
          </w:tcPr>
          <w:p w14:paraId="62EC6F89" w14:textId="07E9BFF0" w:rsidR="003646DB" w:rsidRDefault="003646DB" w:rsidP="005D4CE3">
            <w:pPr>
              <w:widowControl/>
              <w:spacing w:after="160"/>
              <w:jc w:val="center"/>
            </w:pPr>
            <w:r>
              <w:t>1,13</w:t>
            </w:r>
          </w:p>
        </w:tc>
        <w:tc>
          <w:tcPr>
            <w:tcW w:w="1733" w:type="dxa"/>
            <w:gridSpan w:val="2"/>
            <w:tcBorders>
              <w:left w:val="nil"/>
              <w:right w:val="nil"/>
            </w:tcBorders>
            <w:shd w:val="clear" w:color="auto" w:fill="FFFFFF"/>
          </w:tcPr>
          <w:p w14:paraId="237FBE34" w14:textId="766B62C7" w:rsidR="003646DB" w:rsidRDefault="003646DB" w:rsidP="005D4CE3">
            <w:pPr>
              <w:widowControl/>
              <w:spacing w:after="160"/>
              <w:jc w:val="center"/>
            </w:pPr>
            <w:r>
              <w:t>BAIXA</w:t>
            </w:r>
          </w:p>
        </w:tc>
      </w:tr>
      <w:tr w:rsidR="007339E5" w14:paraId="52846F40" w14:textId="77777777" w:rsidTr="007339E5">
        <w:trPr>
          <w:trHeight w:val="390"/>
          <w:jc w:val="center"/>
        </w:trPr>
        <w:tc>
          <w:tcPr>
            <w:tcW w:w="1134" w:type="dxa"/>
            <w:tcBorders>
              <w:left w:val="nil"/>
              <w:right w:val="nil"/>
            </w:tcBorders>
            <w:shd w:val="clear" w:color="auto" w:fill="FFFFFF"/>
          </w:tcPr>
          <w:p w14:paraId="162C2B72" w14:textId="721FF7AE" w:rsidR="007339E5" w:rsidRDefault="007339E5" w:rsidP="005D4CE3">
            <w:pPr>
              <w:widowControl/>
              <w:spacing w:after="160"/>
              <w:jc w:val="center"/>
              <w:rPr>
                <w:b/>
              </w:rPr>
            </w:pPr>
            <w:r w:rsidRPr="00BE2198">
              <w:rPr>
                <w:bCs/>
              </w:rPr>
              <w:t>F</w:t>
            </w:r>
            <w:r w:rsidR="002111C9">
              <w:rPr>
                <w:bCs/>
              </w:rPr>
              <w:t>7</w:t>
            </w:r>
          </w:p>
        </w:tc>
        <w:tc>
          <w:tcPr>
            <w:tcW w:w="3119" w:type="dxa"/>
            <w:tcBorders>
              <w:left w:val="nil"/>
              <w:right w:val="nil"/>
            </w:tcBorders>
            <w:shd w:val="clear" w:color="auto" w:fill="FFFFFF"/>
          </w:tcPr>
          <w:p w14:paraId="7C0BD141" w14:textId="7EA2C27E" w:rsidR="007339E5" w:rsidRDefault="002111C9" w:rsidP="005D4CE3">
            <w:pPr>
              <w:widowControl/>
              <w:spacing w:after="160"/>
              <w:jc w:val="center"/>
            </w:pPr>
            <w:r>
              <w:t>1,5</w:t>
            </w:r>
          </w:p>
        </w:tc>
        <w:tc>
          <w:tcPr>
            <w:tcW w:w="1733" w:type="dxa"/>
            <w:gridSpan w:val="2"/>
            <w:tcBorders>
              <w:left w:val="nil"/>
              <w:right w:val="nil"/>
            </w:tcBorders>
            <w:shd w:val="clear" w:color="auto" w:fill="FFFFFF"/>
          </w:tcPr>
          <w:p w14:paraId="6C679815" w14:textId="37DA1324" w:rsidR="007339E5" w:rsidRDefault="003646DB" w:rsidP="005D4CE3">
            <w:pPr>
              <w:widowControl/>
              <w:spacing w:after="160"/>
              <w:jc w:val="center"/>
            </w:pPr>
            <w:r>
              <w:t>BAIXA</w:t>
            </w:r>
          </w:p>
        </w:tc>
      </w:tr>
      <w:tr w:rsidR="007339E5" w14:paraId="40728D7D" w14:textId="77777777" w:rsidTr="007339E5">
        <w:trPr>
          <w:gridAfter w:val="1"/>
          <w:wAfter w:w="7" w:type="dxa"/>
          <w:trHeight w:val="291"/>
          <w:jc w:val="center"/>
        </w:trPr>
        <w:tc>
          <w:tcPr>
            <w:tcW w:w="1134" w:type="dxa"/>
            <w:shd w:val="clear" w:color="auto" w:fill="FFFFFF"/>
          </w:tcPr>
          <w:p w14:paraId="3DACD0C1" w14:textId="4F6DD29C" w:rsidR="007339E5" w:rsidRDefault="007339E5" w:rsidP="005D4CE3">
            <w:pPr>
              <w:widowControl/>
              <w:spacing w:after="160"/>
              <w:jc w:val="center"/>
              <w:rPr>
                <w:b/>
              </w:rPr>
            </w:pPr>
            <w:r>
              <w:t>F</w:t>
            </w:r>
            <w:r w:rsidR="002111C9">
              <w:t>8</w:t>
            </w:r>
          </w:p>
        </w:tc>
        <w:tc>
          <w:tcPr>
            <w:tcW w:w="3119" w:type="dxa"/>
          </w:tcPr>
          <w:p w14:paraId="5BE46574" w14:textId="226DE0AD" w:rsidR="007339E5" w:rsidRDefault="002111C9" w:rsidP="005D4CE3">
            <w:pPr>
              <w:widowControl/>
              <w:spacing w:after="160"/>
              <w:jc w:val="center"/>
            </w:pPr>
            <w:r>
              <w:t>1,6</w:t>
            </w:r>
          </w:p>
        </w:tc>
        <w:tc>
          <w:tcPr>
            <w:tcW w:w="1726" w:type="dxa"/>
          </w:tcPr>
          <w:p w14:paraId="6414FA51" w14:textId="373B87C7" w:rsidR="007339E5" w:rsidRDefault="008D49C3" w:rsidP="005D4CE3">
            <w:pPr>
              <w:widowControl/>
              <w:spacing w:after="160"/>
              <w:jc w:val="center"/>
            </w:pPr>
            <w:r>
              <w:t>BAIXA</w:t>
            </w:r>
          </w:p>
        </w:tc>
      </w:tr>
      <w:tr w:rsidR="002111C9" w14:paraId="47BA200B" w14:textId="77777777" w:rsidTr="007339E5">
        <w:trPr>
          <w:gridAfter w:val="1"/>
          <w:wAfter w:w="7" w:type="dxa"/>
          <w:trHeight w:val="291"/>
          <w:jc w:val="center"/>
        </w:trPr>
        <w:tc>
          <w:tcPr>
            <w:tcW w:w="1134" w:type="dxa"/>
            <w:shd w:val="clear" w:color="auto" w:fill="FFFFFF"/>
          </w:tcPr>
          <w:p w14:paraId="0FC1E62E" w14:textId="69644415" w:rsidR="002111C9" w:rsidRDefault="002111C9" w:rsidP="005D4CE3">
            <w:pPr>
              <w:widowControl/>
              <w:spacing w:after="160"/>
              <w:jc w:val="center"/>
            </w:pPr>
            <w:r>
              <w:t>F11</w:t>
            </w:r>
          </w:p>
        </w:tc>
        <w:tc>
          <w:tcPr>
            <w:tcW w:w="3119" w:type="dxa"/>
          </w:tcPr>
          <w:p w14:paraId="1CA83F37" w14:textId="54F0FFA8" w:rsidR="002111C9" w:rsidRDefault="003646DB" w:rsidP="005D4CE3">
            <w:pPr>
              <w:widowControl/>
              <w:spacing w:after="160"/>
              <w:jc w:val="center"/>
            </w:pPr>
            <w:r>
              <w:t>2,07</w:t>
            </w:r>
          </w:p>
        </w:tc>
        <w:tc>
          <w:tcPr>
            <w:tcW w:w="1726" w:type="dxa"/>
          </w:tcPr>
          <w:p w14:paraId="7D8DE5E9" w14:textId="50CDDE3F" w:rsidR="002111C9" w:rsidRDefault="003646DB" w:rsidP="005D4CE3">
            <w:pPr>
              <w:widowControl/>
              <w:spacing w:after="160"/>
              <w:jc w:val="center"/>
            </w:pPr>
            <w:r>
              <w:t>MEDIA</w:t>
            </w:r>
          </w:p>
        </w:tc>
      </w:tr>
      <w:tr w:rsidR="003646DB" w14:paraId="16648020" w14:textId="77777777" w:rsidTr="007339E5">
        <w:trPr>
          <w:gridAfter w:val="1"/>
          <w:wAfter w:w="7" w:type="dxa"/>
          <w:trHeight w:val="291"/>
          <w:jc w:val="center"/>
        </w:trPr>
        <w:tc>
          <w:tcPr>
            <w:tcW w:w="1134" w:type="dxa"/>
            <w:shd w:val="clear" w:color="auto" w:fill="FFFFFF"/>
          </w:tcPr>
          <w:p w14:paraId="06570C63" w14:textId="43EA3FD2" w:rsidR="003646DB" w:rsidRDefault="003646DB" w:rsidP="005D4CE3">
            <w:pPr>
              <w:widowControl/>
              <w:spacing w:after="160"/>
              <w:jc w:val="center"/>
            </w:pPr>
            <w:r>
              <w:t>F12</w:t>
            </w:r>
          </w:p>
        </w:tc>
        <w:tc>
          <w:tcPr>
            <w:tcW w:w="3119" w:type="dxa"/>
          </w:tcPr>
          <w:p w14:paraId="5482F6E6" w14:textId="66EB8F9F" w:rsidR="003646DB" w:rsidRDefault="003646DB" w:rsidP="005D4CE3">
            <w:pPr>
              <w:widowControl/>
              <w:spacing w:after="160"/>
              <w:jc w:val="center"/>
            </w:pPr>
            <w:r>
              <w:t>1,15</w:t>
            </w:r>
          </w:p>
        </w:tc>
        <w:tc>
          <w:tcPr>
            <w:tcW w:w="1726" w:type="dxa"/>
          </w:tcPr>
          <w:p w14:paraId="3F46B397" w14:textId="2F18778F" w:rsidR="003646DB" w:rsidRDefault="003646DB" w:rsidP="005D4CE3">
            <w:pPr>
              <w:widowControl/>
              <w:spacing w:after="160"/>
              <w:jc w:val="center"/>
            </w:pPr>
            <w:r>
              <w:t>BAIXA</w:t>
            </w:r>
          </w:p>
        </w:tc>
      </w:tr>
      <w:tr w:rsidR="002111C9" w14:paraId="3D9D608D" w14:textId="77777777" w:rsidTr="007339E5">
        <w:trPr>
          <w:gridAfter w:val="1"/>
          <w:wAfter w:w="7" w:type="dxa"/>
          <w:trHeight w:val="291"/>
          <w:jc w:val="center"/>
        </w:trPr>
        <w:tc>
          <w:tcPr>
            <w:tcW w:w="1134" w:type="dxa"/>
            <w:shd w:val="clear" w:color="auto" w:fill="FFFFFF"/>
          </w:tcPr>
          <w:p w14:paraId="3ECF010E" w14:textId="1001BB29" w:rsidR="002111C9" w:rsidRDefault="002111C9" w:rsidP="005D4CE3">
            <w:pPr>
              <w:widowControl/>
              <w:spacing w:after="160"/>
              <w:jc w:val="center"/>
            </w:pPr>
            <w:r>
              <w:t>F14</w:t>
            </w:r>
          </w:p>
        </w:tc>
        <w:tc>
          <w:tcPr>
            <w:tcW w:w="3119" w:type="dxa"/>
          </w:tcPr>
          <w:p w14:paraId="26685193" w14:textId="30AD32A5" w:rsidR="002111C9" w:rsidRDefault="002111C9" w:rsidP="005D4CE3">
            <w:pPr>
              <w:widowControl/>
              <w:spacing w:after="160"/>
              <w:jc w:val="center"/>
            </w:pPr>
            <w:r>
              <w:t>1,</w:t>
            </w:r>
            <w:r w:rsidR="003646DB">
              <w:t>81</w:t>
            </w:r>
          </w:p>
        </w:tc>
        <w:tc>
          <w:tcPr>
            <w:tcW w:w="1726" w:type="dxa"/>
          </w:tcPr>
          <w:p w14:paraId="0B0E45EE" w14:textId="241BC5F2" w:rsidR="002111C9" w:rsidRDefault="008D49C3" w:rsidP="005D4CE3">
            <w:pPr>
              <w:widowControl/>
              <w:spacing w:after="160"/>
              <w:jc w:val="center"/>
            </w:pPr>
            <w:r>
              <w:t>BAIXA</w:t>
            </w:r>
          </w:p>
        </w:tc>
      </w:tr>
      <w:tr w:rsidR="002111C9" w14:paraId="78BA2162" w14:textId="77777777" w:rsidTr="007339E5">
        <w:trPr>
          <w:gridAfter w:val="1"/>
          <w:wAfter w:w="7" w:type="dxa"/>
          <w:trHeight w:val="291"/>
          <w:jc w:val="center"/>
        </w:trPr>
        <w:tc>
          <w:tcPr>
            <w:tcW w:w="1134" w:type="dxa"/>
            <w:shd w:val="clear" w:color="auto" w:fill="FFFFFF"/>
          </w:tcPr>
          <w:p w14:paraId="4152A496" w14:textId="54378F36" w:rsidR="002111C9" w:rsidRDefault="002111C9" w:rsidP="005D4CE3">
            <w:pPr>
              <w:widowControl/>
              <w:spacing w:after="160"/>
              <w:jc w:val="center"/>
            </w:pPr>
            <w:r>
              <w:t>F15</w:t>
            </w:r>
          </w:p>
        </w:tc>
        <w:tc>
          <w:tcPr>
            <w:tcW w:w="3119" w:type="dxa"/>
          </w:tcPr>
          <w:p w14:paraId="1A80DA19" w14:textId="2C6E0571" w:rsidR="002111C9" w:rsidRDefault="002111C9" w:rsidP="005D4CE3">
            <w:pPr>
              <w:widowControl/>
              <w:spacing w:after="160"/>
              <w:jc w:val="center"/>
            </w:pPr>
            <w:r>
              <w:t>1,</w:t>
            </w:r>
            <w:r w:rsidR="003646DB">
              <w:t>66</w:t>
            </w:r>
          </w:p>
        </w:tc>
        <w:tc>
          <w:tcPr>
            <w:tcW w:w="1726" w:type="dxa"/>
          </w:tcPr>
          <w:p w14:paraId="5C3BAF1F" w14:textId="3077359A" w:rsidR="002111C9" w:rsidRDefault="008D49C3" w:rsidP="005D4CE3">
            <w:pPr>
              <w:widowControl/>
              <w:spacing w:after="160"/>
              <w:jc w:val="center"/>
            </w:pPr>
            <w:r>
              <w:t>BAIXA</w:t>
            </w:r>
          </w:p>
        </w:tc>
      </w:tr>
    </w:tbl>
    <w:p w14:paraId="002BDDDD" w14:textId="2DEB04F5" w:rsidR="00142AA2" w:rsidRDefault="003949CE" w:rsidP="005D4CE3">
      <w:pPr>
        <w:widowControl/>
        <w:spacing w:after="160"/>
        <w:jc w:val="both"/>
      </w:pPr>
      <w:r>
        <w:t>Fonte:</w:t>
      </w:r>
      <w:r>
        <w:rPr>
          <w:b/>
        </w:rPr>
        <w:t xml:space="preserve"> </w:t>
      </w:r>
      <w:r w:rsidR="007339E5">
        <w:t>Fonte: Autores, 2025.</w:t>
      </w:r>
    </w:p>
    <w:p w14:paraId="15CB0008" w14:textId="598D3CE6" w:rsidR="00457585" w:rsidRDefault="00457585" w:rsidP="005D4CE3">
      <w:pPr>
        <w:widowControl/>
        <w:spacing w:after="160"/>
        <w:jc w:val="center"/>
      </w:pPr>
      <w:r w:rsidRPr="00C65CA4">
        <w:t xml:space="preserve">Figura 3: </w:t>
      </w:r>
      <w:r w:rsidR="000F3133" w:rsidRPr="00C65CA4">
        <w:t>Placas contendo meio de solubilização NBRIP</w:t>
      </w:r>
      <w:r w:rsidR="009301F8" w:rsidRPr="00C65CA4">
        <w:t>, onde em duas placas foi realizado o teste de solubilização. porem apenas umas delas apresentou ohalo de solubilização.</w:t>
      </w:r>
    </w:p>
    <w:p w14:paraId="5D016340" w14:textId="15DEED35" w:rsidR="008D49C3" w:rsidRPr="00457585" w:rsidRDefault="00CA6113" w:rsidP="005D4CE3">
      <w:pPr>
        <w:widowControl/>
        <w:spacing w:after="160"/>
        <w:jc w:val="center"/>
        <w:rPr>
          <w:bCs/>
        </w:rPr>
      </w:pPr>
      <w:r>
        <w:rPr>
          <w:bCs/>
          <w:noProof/>
        </w:rPr>
        <w:drawing>
          <wp:inline distT="0" distB="0" distL="0" distR="0" wp14:anchorId="243EC393" wp14:editId="326881E7">
            <wp:extent cx="3685656" cy="1964871"/>
            <wp:effectExtent l="0" t="0" r="0" b="0"/>
            <wp:docPr id="1446039690"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039690" name="Imagem 144603969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01692" cy="1973420"/>
                    </a:xfrm>
                    <a:prstGeom prst="rect">
                      <a:avLst/>
                    </a:prstGeom>
                  </pic:spPr>
                </pic:pic>
              </a:graphicData>
            </a:graphic>
          </wp:inline>
        </w:drawing>
      </w:r>
    </w:p>
    <w:p w14:paraId="7770AA1D" w14:textId="3B5ABD1E" w:rsidR="00EB6B05" w:rsidRDefault="00457585" w:rsidP="005D4CE3">
      <w:pPr>
        <w:widowControl/>
        <w:tabs>
          <w:tab w:val="left" w:pos="1290"/>
        </w:tabs>
        <w:spacing w:after="160"/>
        <w:rPr>
          <w:bCs/>
        </w:rPr>
      </w:pPr>
      <w:r w:rsidRPr="00CA6113">
        <w:rPr>
          <w:bCs/>
        </w:rPr>
        <w:t>Fonte: Autores, 2025.</w:t>
      </w:r>
    </w:p>
    <w:p w14:paraId="203ECAF6" w14:textId="77777777" w:rsidR="00142AA2" w:rsidRPr="00CA2DCC" w:rsidRDefault="00142AA2" w:rsidP="005D4CE3">
      <w:pPr>
        <w:widowControl/>
        <w:tabs>
          <w:tab w:val="left" w:pos="1290"/>
        </w:tabs>
        <w:spacing w:after="160"/>
        <w:rPr>
          <w:bCs/>
        </w:rPr>
      </w:pPr>
    </w:p>
    <w:p w14:paraId="05746633" w14:textId="7BBE5556" w:rsidR="003949CE" w:rsidRDefault="003949CE" w:rsidP="005D4CE3">
      <w:pPr>
        <w:pStyle w:val="PargrafodaLista"/>
        <w:widowControl/>
        <w:numPr>
          <w:ilvl w:val="0"/>
          <w:numId w:val="4"/>
        </w:numPr>
        <w:tabs>
          <w:tab w:val="left" w:pos="1290"/>
        </w:tabs>
        <w:spacing w:after="160"/>
        <w:rPr>
          <w:b/>
          <w:sz w:val="24"/>
          <w:szCs w:val="24"/>
        </w:rPr>
      </w:pPr>
      <w:r w:rsidRPr="00D1199B">
        <w:rPr>
          <w:b/>
          <w:sz w:val="24"/>
          <w:szCs w:val="24"/>
        </w:rPr>
        <w:t>CONSIDERAÇÕES FINAIS</w:t>
      </w:r>
    </w:p>
    <w:p w14:paraId="463F1E5D" w14:textId="4CC5B532" w:rsidR="00335B04" w:rsidRPr="00335B04" w:rsidRDefault="2A823EA9" w:rsidP="00AB3D2C">
      <w:pPr>
        <w:spacing w:line="360" w:lineRule="auto"/>
        <w:ind w:firstLine="360"/>
        <w:jc w:val="both"/>
        <w:rPr>
          <w:sz w:val="24"/>
          <w:szCs w:val="24"/>
        </w:rPr>
      </w:pPr>
      <w:r w:rsidRPr="4E0D7040">
        <w:rPr>
          <w:sz w:val="24"/>
          <w:szCs w:val="24"/>
        </w:rPr>
        <w:t xml:space="preserve">Dessa forma, os </w:t>
      </w:r>
      <w:r w:rsidR="48677E83" w:rsidRPr="4E0D7040">
        <w:rPr>
          <w:sz w:val="24"/>
          <w:szCs w:val="24"/>
        </w:rPr>
        <w:t xml:space="preserve">resultados obtidos </w:t>
      </w:r>
      <w:r w:rsidRPr="4E0D7040">
        <w:rPr>
          <w:sz w:val="24"/>
          <w:szCs w:val="24"/>
        </w:rPr>
        <w:t>neste estudo, aliados às evidências relatadas na literatura, confirmam</w:t>
      </w:r>
      <w:r w:rsidR="48677E83" w:rsidRPr="4E0D7040">
        <w:rPr>
          <w:sz w:val="24"/>
          <w:szCs w:val="24"/>
        </w:rPr>
        <w:t xml:space="preserve"> que </w:t>
      </w:r>
      <w:r w:rsidRPr="4E0D7040">
        <w:rPr>
          <w:sz w:val="24"/>
          <w:szCs w:val="24"/>
        </w:rPr>
        <w:t>fungos rizosféricos possuem potencial significativo para</w:t>
      </w:r>
      <w:r w:rsidR="48677E83" w:rsidRPr="4E0D7040">
        <w:rPr>
          <w:sz w:val="24"/>
          <w:szCs w:val="24"/>
        </w:rPr>
        <w:t xml:space="preserve"> produção de ácido 3-indolacético (AIA) e a capacidade de solubilizar fosfato</w:t>
      </w:r>
      <w:r w:rsidRPr="4E0D7040">
        <w:rPr>
          <w:sz w:val="24"/>
          <w:szCs w:val="24"/>
        </w:rPr>
        <w:t>,</w:t>
      </w:r>
      <w:r w:rsidR="5D6D81D4" w:rsidRPr="4E0D7040">
        <w:rPr>
          <w:sz w:val="24"/>
          <w:szCs w:val="24"/>
        </w:rPr>
        <w:t xml:space="preserve"> </w:t>
      </w:r>
      <w:r w:rsidRPr="4E0D7040">
        <w:rPr>
          <w:sz w:val="24"/>
          <w:szCs w:val="24"/>
        </w:rPr>
        <w:t xml:space="preserve">embora apresentem variações </w:t>
      </w:r>
      <w:r w:rsidRPr="4E0D7040">
        <w:rPr>
          <w:sz w:val="24"/>
          <w:szCs w:val="24"/>
        </w:rPr>
        <w:lastRenderedPageBreak/>
        <w:t>entre isolados</w:t>
      </w:r>
      <w:r w:rsidR="5D6D81D4" w:rsidRPr="4E0D7040">
        <w:rPr>
          <w:sz w:val="24"/>
          <w:szCs w:val="24"/>
        </w:rPr>
        <w:t>.</w:t>
      </w:r>
      <w:r w:rsidR="48677E83" w:rsidRPr="4E0D7040">
        <w:rPr>
          <w:sz w:val="24"/>
          <w:szCs w:val="24"/>
        </w:rPr>
        <w:t xml:space="preserve"> Recomenda-se, entretanto, a</w:t>
      </w:r>
      <w:r w:rsidR="2D6E98C5" w:rsidRPr="4E0D7040">
        <w:rPr>
          <w:sz w:val="24"/>
          <w:szCs w:val="24"/>
        </w:rPr>
        <w:t xml:space="preserve"> identificação molecular dos fungos estudados, além de</w:t>
      </w:r>
      <w:r w:rsidR="48677E83" w:rsidRPr="4E0D7040">
        <w:rPr>
          <w:sz w:val="24"/>
          <w:szCs w:val="24"/>
        </w:rPr>
        <w:t xml:space="preserve"> realização de estudos complementares em condições de campo</w:t>
      </w:r>
      <w:r w:rsidR="143DF6D6" w:rsidRPr="4E0D7040">
        <w:rPr>
          <w:sz w:val="24"/>
          <w:szCs w:val="24"/>
        </w:rPr>
        <w:t xml:space="preserve"> e analises quantitativas</w:t>
      </w:r>
      <w:r w:rsidR="48677E83" w:rsidRPr="4E0D7040">
        <w:rPr>
          <w:sz w:val="24"/>
          <w:szCs w:val="24"/>
        </w:rPr>
        <w:t>, a fim de avaliar o desempenho dos isolados fúngicos em ambientes reais de cultivo e obter dados mais consistentes sobre seu potencial de promoção de crescimento</w:t>
      </w:r>
      <w:r w:rsidR="73C1FDC3" w:rsidRPr="4E0D7040">
        <w:rPr>
          <w:sz w:val="24"/>
          <w:szCs w:val="24"/>
        </w:rPr>
        <w:t xml:space="preserve">. </w:t>
      </w:r>
    </w:p>
    <w:p w14:paraId="38DFD785" w14:textId="4C291C9F" w:rsidR="4E0D7040" w:rsidRDefault="4E0D7040" w:rsidP="00AB3D2C">
      <w:pPr>
        <w:spacing w:line="360" w:lineRule="auto"/>
        <w:ind w:firstLine="360"/>
        <w:jc w:val="both"/>
        <w:rPr>
          <w:sz w:val="24"/>
          <w:szCs w:val="24"/>
        </w:rPr>
      </w:pPr>
    </w:p>
    <w:p w14:paraId="5D816746" w14:textId="78ABA8F4" w:rsidR="003949CE" w:rsidRPr="00D1199B" w:rsidRDefault="003949CE" w:rsidP="005D4CE3">
      <w:pPr>
        <w:pStyle w:val="PargrafodaLista"/>
        <w:widowControl/>
        <w:numPr>
          <w:ilvl w:val="0"/>
          <w:numId w:val="4"/>
        </w:numPr>
        <w:tabs>
          <w:tab w:val="left" w:pos="1290"/>
        </w:tabs>
        <w:spacing w:after="160"/>
        <w:rPr>
          <w:color w:val="FF0000"/>
          <w:sz w:val="24"/>
          <w:szCs w:val="24"/>
        </w:rPr>
      </w:pPr>
      <w:r w:rsidRPr="00D1199B">
        <w:rPr>
          <w:b/>
          <w:sz w:val="24"/>
          <w:szCs w:val="24"/>
        </w:rPr>
        <w:t xml:space="preserve">REFERÊNCIAS </w:t>
      </w:r>
    </w:p>
    <w:p w14:paraId="353ABA17" w14:textId="77777777" w:rsidR="00804383" w:rsidRPr="00C65CA4" w:rsidRDefault="00804383" w:rsidP="005D4CE3">
      <w:pPr>
        <w:jc w:val="both"/>
        <w:rPr>
          <w:rFonts w:eastAsia="Arial"/>
          <w:sz w:val="24"/>
          <w:szCs w:val="24"/>
        </w:rPr>
      </w:pPr>
      <w:bookmarkStart w:id="0" w:name="_gjdgxs"/>
      <w:bookmarkEnd w:id="0"/>
    </w:p>
    <w:p w14:paraId="553F205A" w14:textId="0BF9010D" w:rsidR="52747E70" w:rsidRDefault="52747E70" w:rsidP="005D4CE3">
      <w:pPr>
        <w:shd w:val="clear" w:color="auto" w:fill="FFFFFF" w:themeFill="background1"/>
        <w:jc w:val="both"/>
      </w:pPr>
      <w:r w:rsidRPr="4E0D7040">
        <w:rPr>
          <w:sz w:val="24"/>
          <w:szCs w:val="24"/>
          <w:lang w:val="en-US"/>
        </w:rPr>
        <w:t xml:space="preserve">AHEMAD, M.; KHAN, M. S. </w:t>
      </w:r>
      <w:r w:rsidRPr="005B566E">
        <w:rPr>
          <w:b/>
          <w:bCs/>
          <w:sz w:val="24"/>
          <w:szCs w:val="24"/>
          <w:lang w:val="en-US"/>
        </w:rPr>
        <w:t xml:space="preserve">Productivity of greengram in tebuconazole-stressed soil, by using </w:t>
      </w:r>
      <w:proofErr w:type="gramStart"/>
      <w:r w:rsidRPr="005B566E">
        <w:rPr>
          <w:b/>
          <w:bCs/>
          <w:sz w:val="24"/>
          <w:szCs w:val="24"/>
          <w:lang w:val="en-US"/>
        </w:rPr>
        <w:t>a tolerant</w:t>
      </w:r>
      <w:proofErr w:type="gramEnd"/>
      <w:r w:rsidRPr="005B566E">
        <w:rPr>
          <w:b/>
          <w:bCs/>
          <w:sz w:val="24"/>
          <w:szCs w:val="24"/>
          <w:lang w:val="en-US"/>
        </w:rPr>
        <w:t xml:space="preserve"> and plant growth promoting </w:t>
      </w:r>
      <w:r w:rsidRPr="005B566E">
        <w:rPr>
          <w:b/>
          <w:bCs/>
          <w:i/>
          <w:iCs/>
          <w:sz w:val="24"/>
          <w:szCs w:val="24"/>
          <w:lang w:val="en-US"/>
        </w:rPr>
        <w:t>Rhizobium</w:t>
      </w:r>
      <w:r w:rsidRPr="005B566E">
        <w:rPr>
          <w:b/>
          <w:bCs/>
          <w:sz w:val="24"/>
          <w:szCs w:val="24"/>
          <w:lang w:val="en-US"/>
        </w:rPr>
        <w:t xml:space="preserve"> species</w:t>
      </w:r>
      <w:r w:rsidRPr="4E0D7040">
        <w:rPr>
          <w:sz w:val="24"/>
          <w:szCs w:val="24"/>
          <w:lang w:val="en-US"/>
        </w:rPr>
        <w:t xml:space="preserve"> MRP1. </w:t>
      </w:r>
      <w:r w:rsidRPr="005B566E">
        <w:rPr>
          <w:i/>
          <w:iCs/>
          <w:sz w:val="24"/>
          <w:szCs w:val="24"/>
          <w:lang w:val="en-US"/>
        </w:rPr>
        <w:t>Acta Physiologiae Plantarum</w:t>
      </w:r>
      <w:r w:rsidRPr="4E0D7040">
        <w:rPr>
          <w:sz w:val="24"/>
          <w:szCs w:val="24"/>
          <w:lang w:val="en-US"/>
        </w:rPr>
        <w:t>, v. 34, p. 245–254, 2012.</w:t>
      </w:r>
    </w:p>
    <w:p w14:paraId="3AC4C08D" w14:textId="01B32E99" w:rsidR="4E0D7040" w:rsidRDefault="4E0D7040" w:rsidP="005D4CE3">
      <w:pPr>
        <w:shd w:val="clear" w:color="auto" w:fill="FFFFFF" w:themeFill="background1"/>
        <w:jc w:val="both"/>
        <w:rPr>
          <w:sz w:val="24"/>
          <w:szCs w:val="24"/>
          <w:lang w:val="en-US"/>
        </w:rPr>
      </w:pPr>
    </w:p>
    <w:p w14:paraId="44F71C39" w14:textId="77777777" w:rsidR="0031247B" w:rsidRPr="00C65CA4" w:rsidRDefault="72319757" w:rsidP="005D4CE3">
      <w:pPr>
        <w:shd w:val="clear" w:color="auto" w:fill="FFFFFF" w:themeFill="background1"/>
        <w:jc w:val="both"/>
        <w:rPr>
          <w:sz w:val="24"/>
          <w:szCs w:val="24"/>
          <w:lang w:val="pt-BR"/>
        </w:rPr>
      </w:pPr>
      <w:r w:rsidRPr="4E0D7040">
        <w:rPr>
          <w:sz w:val="24"/>
          <w:szCs w:val="24"/>
          <w:lang w:val="pt-BR"/>
        </w:rPr>
        <w:t xml:space="preserve">AHMAD, F. et al. </w:t>
      </w:r>
      <w:r w:rsidRPr="005B566E">
        <w:rPr>
          <w:b/>
          <w:bCs/>
          <w:sz w:val="24"/>
          <w:szCs w:val="24"/>
          <w:lang w:val="pt-BR"/>
        </w:rPr>
        <w:t>Plant growth promoting potential of free-living diazotrophs and other rhizobacteria isolated from Northern Indian soil</w:t>
      </w:r>
      <w:r w:rsidRPr="4E0D7040">
        <w:rPr>
          <w:sz w:val="24"/>
          <w:szCs w:val="24"/>
          <w:lang w:val="pt-BR"/>
        </w:rPr>
        <w:t xml:space="preserve">. </w:t>
      </w:r>
      <w:r w:rsidRPr="005B566E">
        <w:rPr>
          <w:i/>
          <w:iCs/>
          <w:sz w:val="24"/>
          <w:szCs w:val="24"/>
          <w:lang w:val="pt-BR"/>
        </w:rPr>
        <w:t>Biotechnology Journal</w:t>
      </w:r>
      <w:r w:rsidRPr="4E0D7040">
        <w:rPr>
          <w:sz w:val="24"/>
          <w:szCs w:val="24"/>
          <w:lang w:val="pt-BR"/>
        </w:rPr>
        <w:t>, v. 1, p. 1112-1123, 2006.</w:t>
      </w:r>
    </w:p>
    <w:p w14:paraId="1EC0DD05" w14:textId="77777777" w:rsidR="007921B8" w:rsidRDefault="007921B8" w:rsidP="005D4CE3">
      <w:pPr>
        <w:jc w:val="both"/>
        <w:rPr>
          <w:rFonts w:eastAsia="Arial"/>
          <w:sz w:val="24"/>
          <w:szCs w:val="24"/>
          <w:lang w:val="en-US"/>
        </w:rPr>
      </w:pPr>
    </w:p>
    <w:p w14:paraId="481ECD6C" w14:textId="114F0008" w:rsidR="00314950" w:rsidRPr="00C65CA4" w:rsidRDefault="7A9F3208" w:rsidP="005D4CE3">
      <w:pPr>
        <w:jc w:val="both"/>
        <w:rPr>
          <w:rFonts w:eastAsia="Arial"/>
          <w:sz w:val="24"/>
          <w:szCs w:val="24"/>
          <w:lang w:val="en-US"/>
        </w:rPr>
      </w:pPr>
      <w:r w:rsidRPr="4E0D7040">
        <w:rPr>
          <w:rFonts w:eastAsia="Arial"/>
          <w:sz w:val="24"/>
          <w:szCs w:val="24"/>
          <w:lang w:val="en-US"/>
        </w:rPr>
        <w:t xml:space="preserve">BEHERA, B. C. et al. </w:t>
      </w:r>
      <w:r w:rsidRPr="005B566E">
        <w:rPr>
          <w:rFonts w:eastAsia="Arial"/>
          <w:b/>
          <w:bCs/>
          <w:sz w:val="24"/>
          <w:szCs w:val="24"/>
          <w:lang w:val="en-US"/>
        </w:rPr>
        <w:t xml:space="preserve">Phosphate solubilization and acid phosphatase activity of </w:t>
      </w:r>
      <w:r w:rsidRPr="005B566E">
        <w:rPr>
          <w:rFonts w:eastAsia="Arial"/>
          <w:b/>
          <w:bCs/>
          <w:i/>
          <w:iCs/>
          <w:sz w:val="24"/>
          <w:szCs w:val="24"/>
          <w:lang w:val="en-US"/>
        </w:rPr>
        <w:t>Serratia</w:t>
      </w:r>
      <w:r w:rsidRPr="005B566E">
        <w:rPr>
          <w:rFonts w:eastAsia="Arial"/>
          <w:b/>
          <w:bCs/>
          <w:sz w:val="24"/>
          <w:szCs w:val="24"/>
          <w:lang w:val="en-US"/>
        </w:rPr>
        <w:t xml:space="preserve"> </w:t>
      </w:r>
      <w:proofErr w:type="gramStart"/>
      <w:r w:rsidRPr="005B566E">
        <w:rPr>
          <w:rFonts w:eastAsia="Arial"/>
          <w:b/>
          <w:bCs/>
          <w:sz w:val="24"/>
          <w:szCs w:val="24"/>
          <w:lang w:val="en-US"/>
        </w:rPr>
        <w:t>sp .</w:t>
      </w:r>
      <w:proofErr w:type="gramEnd"/>
      <w:r w:rsidRPr="005B566E">
        <w:rPr>
          <w:rFonts w:eastAsia="Arial"/>
          <w:b/>
          <w:bCs/>
          <w:sz w:val="24"/>
          <w:szCs w:val="24"/>
          <w:lang w:val="en-US"/>
        </w:rPr>
        <w:t xml:space="preserve"> isolated from mangrove soil of </w:t>
      </w:r>
      <w:proofErr w:type="gramStart"/>
      <w:r w:rsidRPr="005B566E">
        <w:rPr>
          <w:rFonts w:eastAsia="Arial"/>
          <w:b/>
          <w:bCs/>
          <w:sz w:val="24"/>
          <w:szCs w:val="24"/>
          <w:lang w:val="en-US"/>
        </w:rPr>
        <w:t>Mahanadi river</w:t>
      </w:r>
      <w:proofErr w:type="gramEnd"/>
      <w:r w:rsidRPr="005B566E">
        <w:rPr>
          <w:rFonts w:eastAsia="Arial"/>
          <w:b/>
          <w:bCs/>
          <w:sz w:val="24"/>
          <w:szCs w:val="24"/>
          <w:lang w:val="en-US"/>
        </w:rPr>
        <w:t xml:space="preserve"> delta, </w:t>
      </w:r>
      <w:proofErr w:type="gramStart"/>
      <w:r w:rsidRPr="005B566E">
        <w:rPr>
          <w:rFonts w:eastAsia="Arial"/>
          <w:b/>
          <w:bCs/>
          <w:sz w:val="24"/>
          <w:szCs w:val="24"/>
          <w:lang w:val="en-US"/>
        </w:rPr>
        <w:t>Odisha ,</w:t>
      </w:r>
      <w:proofErr w:type="gramEnd"/>
      <w:r w:rsidRPr="005B566E">
        <w:rPr>
          <w:rFonts w:eastAsia="Arial"/>
          <w:b/>
          <w:bCs/>
          <w:sz w:val="24"/>
          <w:szCs w:val="24"/>
          <w:lang w:val="en-US"/>
        </w:rPr>
        <w:t xml:space="preserve"> India.</w:t>
      </w:r>
      <w:r w:rsidRPr="4E0D7040">
        <w:rPr>
          <w:rFonts w:eastAsia="Arial"/>
          <w:sz w:val="24"/>
          <w:szCs w:val="24"/>
          <w:lang w:val="en-US"/>
        </w:rPr>
        <w:t xml:space="preserve"> </w:t>
      </w:r>
      <w:r w:rsidRPr="005B566E">
        <w:rPr>
          <w:rFonts w:eastAsia="Arial"/>
          <w:i/>
          <w:iCs/>
          <w:sz w:val="24"/>
          <w:szCs w:val="24"/>
          <w:lang w:val="en-US"/>
        </w:rPr>
        <w:t>Journal of Genetic Engineering and Biotechnology</w:t>
      </w:r>
      <w:r w:rsidRPr="005B566E">
        <w:rPr>
          <w:rFonts w:eastAsia="Arial"/>
          <w:sz w:val="24"/>
          <w:szCs w:val="24"/>
          <w:lang w:val="en-US"/>
        </w:rPr>
        <w:t>,</w:t>
      </w:r>
      <w:r w:rsidRPr="4E0D7040">
        <w:rPr>
          <w:rFonts w:eastAsia="Arial"/>
          <w:sz w:val="24"/>
          <w:szCs w:val="24"/>
          <w:lang w:val="en-US"/>
        </w:rPr>
        <w:t xml:space="preserve"> v. 15, n. 1, p. 169–178, 201</w:t>
      </w:r>
      <w:r w:rsidR="1C5CC416" w:rsidRPr="4E0D7040">
        <w:rPr>
          <w:rFonts w:eastAsia="Arial"/>
          <w:sz w:val="24"/>
          <w:szCs w:val="24"/>
          <w:lang w:val="en-US"/>
        </w:rPr>
        <w:t>4</w:t>
      </w:r>
      <w:r w:rsidRPr="4E0D7040">
        <w:rPr>
          <w:rFonts w:eastAsia="Arial"/>
          <w:sz w:val="24"/>
          <w:szCs w:val="24"/>
          <w:lang w:val="en-US"/>
        </w:rPr>
        <w:t xml:space="preserve">. </w:t>
      </w:r>
    </w:p>
    <w:p w14:paraId="6FE31FDF" w14:textId="001C37FF" w:rsidR="4E0D7040" w:rsidRDefault="4E0D7040" w:rsidP="005D4CE3">
      <w:pPr>
        <w:jc w:val="both"/>
        <w:rPr>
          <w:rFonts w:eastAsia="Arial"/>
          <w:sz w:val="24"/>
          <w:szCs w:val="24"/>
          <w:lang w:val="en-US"/>
        </w:rPr>
      </w:pPr>
    </w:p>
    <w:p w14:paraId="0082572F" w14:textId="007F040A" w:rsidR="23D86EA8" w:rsidRDefault="23D86EA8" w:rsidP="005D4CE3">
      <w:pPr>
        <w:jc w:val="both"/>
        <w:rPr>
          <w:sz w:val="24"/>
          <w:szCs w:val="24"/>
          <w:lang w:val="en-US"/>
        </w:rPr>
      </w:pPr>
      <w:r w:rsidRPr="4E0D7040">
        <w:rPr>
          <w:rFonts w:eastAsia="Arial"/>
          <w:sz w:val="24"/>
          <w:szCs w:val="24"/>
        </w:rPr>
        <w:t xml:space="preserve">BEZERRA, Gabrielle Alves. </w:t>
      </w:r>
      <w:r w:rsidRPr="4E0D7040">
        <w:rPr>
          <w:rFonts w:eastAsia="Arial"/>
          <w:b/>
          <w:bCs/>
          <w:sz w:val="24"/>
          <w:szCs w:val="24"/>
        </w:rPr>
        <w:t>Isolamento e seleção de microrganismos de cana-de-açúcar com potencial de promoção de crescimento vegetal.</w:t>
      </w:r>
      <w:r w:rsidRPr="4E0D7040">
        <w:rPr>
          <w:rFonts w:eastAsia="Arial"/>
          <w:sz w:val="24"/>
          <w:szCs w:val="24"/>
        </w:rPr>
        <w:t xml:space="preserve"> 2021. 66 f. Trabalho de Conclusão de Curso (Graduação em Engenharia Agronômica) – Universidade Federal de São Carlos, Araras, 2021.</w:t>
      </w:r>
    </w:p>
    <w:p w14:paraId="0C21569B" w14:textId="45EC743F" w:rsidR="4E0D7040" w:rsidRDefault="7D56AC04" w:rsidP="005D4CE3">
      <w:pPr>
        <w:jc w:val="both"/>
      </w:pPr>
      <w:r w:rsidRPr="4E0D7040">
        <w:rPr>
          <w:sz w:val="24"/>
          <w:szCs w:val="24"/>
          <w:lang w:val="en-US"/>
        </w:rPr>
        <w:t xml:space="preserve">CALVO, P.; NELSON, L.; KLOEPPER, J. W. </w:t>
      </w:r>
      <w:r w:rsidRPr="005B566E">
        <w:rPr>
          <w:b/>
          <w:bCs/>
          <w:sz w:val="24"/>
          <w:szCs w:val="24"/>
          <w:lang w:val="en-US"/>
        </w:rPr>
        <w:t>Agricultural uses of plant biostimulants</w:t>
      </w:r>
      <w:r w:rsidRPr="4E0D7040">
        <w:rPr>
          <w:sz w:val="24"/>
          <w:szCs w:val="24"/>
          <w:lang w:val="en-US"/>
        </w:rPr>
        <w:t xml:space="preserve">. </w:t>
      </w:r>
      <w:r w:rsidRPr="4E0D7040">
        <w:rPr>
          <w:i/>
          <w:iCs/>
          <w:sz w:val="24"/>
          <w:szCs w:val="24"/>
          <w:lang w:val="en-US"/>
        </w:rPr>
        <w:t xml:space="preserve">Plant and </w:t>
      </w:r>
      <w:proofErr w:type="gramStart"/>
      <w:r w:rsidRPr="4E0D7040">
        <w:rPr>
          <w:i/>
          <w:iCs/>
          <w:sz w:val="24"/>
          <w:szCs w:val="24"/>
          <w:lang w:val="en-US"/>
        </w:rPr>
        <w:t>Soil</w:t>
      </w:r>
      <w:proofErr w:type="gramEnd"/>
      <w:r w:rsidRPr="4E0D7040">
        <w:rPr>
          <w:sz w:val="24"/>
          <w:szCs w:val="24"/>
          <w:lang w:val="en-US"/>
        </w:rPr>
        <w:t>, v. 383, n. 1-2, p. 3–41, 2014.</w:t>
      </w:r>
    </w:p>
    <w:p w14:paraId="4831E897" w14:textId="77777777" w:rsidR="007921B8" w:rsidRPr="007921B8" w:rsidRDefault="007921B8" w:rsidP="005D4CE3">
      <w:pPr>
        <w:jc w:val="both"/>
      </w:pPr>
    </w:p>
    <w:p w14:paraId="2D793B74" w14:textId="3DB4D700" w:rsidR="4E0D7040" w:rsidRDefault="3F4A07CD" w:rsidP="005D4CE3">
      <w:pPr>
        <w:jc w:val="both"/>
        <w:rPr>
          <w:rFonts w:eastAsia="Arial"/>
          <w:sz w:val="24"/>
          <w:szCs w:val="24"/>
        </w:rPr>
      </w:pPr>
      <w:r w:rsidRPr="4E0D7040">
        <w:rPr>
          <w:rFonts w:eastAsia="Arial"/>
          <w:sz w:val="24"/>
          <w:szCs w:val="24"/>
        </w:rPr>
        <w:t xml:space="preserve">COUTINHO, Flávia Paiva; SILVA, Jennifer Figueiredo da; SANTANA, Izabela Pinheiro de; FELIX, Wagner Pereira; YANO-MELO, Adriana Mayumi. </w:t>
      </w:r>
      <w:r w:rsidRPr="4E0D7040">
        <w:rPr>
          <w:rFonts w:eastAsia="Arial"/>
          <w:b/>
          <w:bCs/>
          <w:sz w:val="24"/>
          <w:szCs w:val="24"/>
        </w:rPr>
        <w:t xml:space="preserve">Solubilização de fosfatos in vitro por </w:t>
      </w:r>
      <w:r w:rsidRPr="4E0D7040">
        <w:rPr>
          <w:rFonts w:eastAsia="Arial"/>
          <w:b/>
          <w:bCs/>
          <w:i/>
          <w:iCs/>
          <w:sz w:val="24"/>
          <w:szCs w:val="24"/>
        </w:rPr>
        <w:t>Aspergillus brasiliensis</w:t>
      </w:r>
      <w:r w:rsidRPr="4E0D7040">
        <w:rPr>
          <w:rFonts w:eastAsia="Arial"/>
          <w:b/>
          <w:bCs/>
          <w:sz w:val="24"/>
          <w:szCs w:val="24"/>
        </w:rPr>
        <w:t xml:space="preserve"> Varga, Frisvad &amp; Samson na presença de fontes de carbono</w:t>
      </w:r>
      <w:r w:rsidRPr="4E0D7040">
        <w:rPr>
          <w:rFonts w:eastAsia="Arial"/>
          <w:sz w:val="24"/>
          <w:szCs w:val="24"/>
        </w:rPr>
        <w:t xml:space="preserve">. </w:t>
      </w:r>
      <w:r w:rsidRPr="4E0D7040">
        <w:rPr>
          <w:rFonts w:eastAsia="Arial"/>
          <w:i/>
          <w:iCs/>
          <w:sz w:val="24"/>
          <w:szCs w:val="24"/>
        </w:rPr>
        <w:t>Hoehnea</w:t>
      </w:r>
      <w:r w:rsidRPr="4E0D7040">
        <w:rPr>
          <w:rFonts w:eastAsia="Arial"/>
          <w:sz w:val="24"/>
          <w:szCs w:val="24"/>
        </w:rPr>
        <w:t>, Botucatu, v. 41, n. 2, p. 277-282, 2014. DOI: 10.1590/S2236-89062014000200008.</w:t>
      </w:r>
    </w:p>
    <w:p w14:paraId="35D6ED01" w14:textId="77777777" w:rsidR="007921B8" w:rsidRPr="007921B8" w:rsidRDefault="007921B8" w:rsidP="005D4CE3">
      <w:pPr>
        <w:jc w:val="both"/>
        <w:rPr>
          <w:rFonts w:eastAsia="Arial"/>
          <w:sz w:val="24"/>
          <w:szCs w:val="24"/>
        </w:rPr>
      </w:pPr>
    </w:p>
    <w:p w14:paraId="4A7FCFFB" w14:textId="35AE8CF4" w:rsidR="4E0D7040" w:rsidRDefault="038D67EC" w:rsidP="005D4CE3">
      <w:pPr>
        <w:jc w:val="both"/>
        <w:rPr>
          <w:sz w:val="24"/>
          <w:szCs w:val="24"/>
        </w:rPr>
      </w:pPr>
      <w:r w:rsidRPr="4E0D7040">
        <w:rPr>
          <w:sz w:val="24"/>
          <w:szCs w:val="24"/>
          <w:lang w:val="en-US"/>
        </w:rPr>
        <w:t xml:space="preserve">DUCA, D.; LORV, J.; PATTEN, C. L.; ROSE, D.; GLICK, B. R. </w:t>
      </w:r>
      <w:r w:rsidRPr="005B566E">
        <w:rPr>
          <w:b/>
          <w:bCs/>
          <w:sz w:val="24"/>
          <w:szCs w:val="24"/>
          <w:lang w:val="en-US"/>
        </w:rPr>
        <w:t>Indole-3-acetic acid in plant–microbe interactions.</w:t>
      </w:r>
      <w:r w:rsidRPr="4E0D7040">
        <w:rPr>
          <w:sz w:val="24"/>
          <w:szCs w:val="24"/>
          <w:lang w:val="en-US"/>
        </w:rPr>
        <w:t xml:space="preserve"> </w:t>
      </w:r>
      <w:r w:rsidRPr="4E0D7040">
        <w:rPr>
          <w:i/>
          <w:iCs/>
          <w:sz w:val="24"/>
          <w:szCs w:val="24"/>
          <w:lang w:val="en-US"/>
        </w:rPr>
        <w:t>Antonie van Leeuwenhoek</w:t>
      </w:r>
      <w:r w:rsidRPr="4E0D7040">
        <w:rPr>
          <w:sz w:val="24"/>
          <w:szCs w:val="24"/>
          <w:lang w:val="en-US"/>
        </w:rPr>
        <w:t>, v. 106, n. 1, p. 85–125, 2014.</w:t>
      </w:r>
    </w:p>
    <w:p w14:paraId="62B22938" w14:textId="312737D4" w:rsidR="4E0D7040" w:rsidRDefault="4E0D7040" w:rsidP="005D4CE3">
      <w:pPr>
        <w:jc w:val="both"/>
        <w:rPr>
          <w:rFonts w:eastAsia="Arial"/>
          <w:sz w:val="24"/>
          <w:szCs w:val="24"/>
        </w:rPr>
      </w:pPr>
    </w:p>
    <w:p w14:paraId="1513FF34" w14:textId="6D9C80E1" w:rsidR="3F4A07CD" w:rsidRDefault="3F4A07CD" w:rsidP="005D4CE3">
      <w:pPr>
        <w:jc w:val="both"/>
        <w:rPr>
          <w:rFonts w:eastAsia="Arial"/>
          <w:sz w:val="24"/>
          <w:szCs w:val="24"/>
        </w:rPr>
      </w:pPr>
      <w:r w:rsidRPr="4E0D7040">
        <w:rPr>
          <w:rFonts w:eastAsia="Arial"/>
          <w:sz w:val="24"/>
          <w:szCs w:val="24"/>
        </w:rPr>
        <w:t xml:space="preserve">GORDON, S.A.; WEBER, R.P. (1951) </w:t>
      </w:r>
      <w:r w:rsidRPr="005B566E">
        <w:rPr>
          <w:rFonts w:eastAsia="Arial"/>
          <w:b/>
          <w:bCs/>
          <w:sz w:val="24"/>
          <w:szCs w:val="24"/>
        </w:rPr>
        <w:t>Colorimetric Estimation of Indoleacetic Acid.</w:t>
      </w:r>
      <w:r w:rsidRPr="4E0D7040">
        <w:rPr>
          <w:rFonts w:eastAsia="Arial"/>
          <w:sz w:val="24"/>
          <w:szCs w:val="24"/>
        </w:rPr>
        <w:t xml:space="preserve"> </w:t>
      </w:r>
      <w:r w:rsidRPr="005B566E">
        <w:rPr>
          <w:rFonts w:eastAsia="Arial"/>
          <w:i/>
          <w:iCs/>
          <w:sz w:val="24"/>
          <w:szCs w:val="24"/>
        </w:rPr>
        <w:t>Plant Physiology</w:t>
      </w:r>
      <w:r w:rsidRPr="4E0D7040">
        <w:rPr>
          <w:rFonts w:eastAsia="Arial"/>
          <w:sz w:val="24"/>
          <w:szCs w:val="24"/>
        </w:rPr>
        <w:t>, 26, 192-195. https://doi.org/10.1104/pp.26.1.192</w:t>
      </w:r>
    </w:p>
    <w:p w14:paraId="56F9AD0E" w14:textId="77777777" w:rsidR="4E0D7040" w:rsidRDefault="4E0D7040" w:rsidP="005D4CE3">
      <w:pPr>
        <w:jc w:val="both"/>
        <w:rPr>
          <w:rFonts w:eastAsia="Arial"/>
          <w:sz w:val="24"/>
          <w:szCs w:val="24"/>
        </w:rPr>
      </w:pPr>
    </w:p>
    <w:p w14:paraId="0EBDB0D1" w14:textId="46AE5ECA" w:rsidR="097FDDFA" w:rsidRDefault="097FDDFA" w:rsidP="005D4CE3">
      <w:pPr>
        <w:jc w:val="both"/>
      </w:pPr>
      <w:r w:rsidRPr="4E0D7040">
        <w:rPr>
          <w:sz w:val="24"/>
          <w:szCs w:val="24"/>
          <w:lang w:val="en-US"/>
        </w:rPr>
        <w:t xml:space="preserve">ILLMER, P.; SCHINNER, F. </w:t>
      </w:r>
      <w:r w:rsidRPr="005B566E">
        <w:rPr>
          <w:b/>
          <w:bCs/>
          <w:sz w:val="24"/>
          <w:szCs w:val="24"/>
          <w:lang w:val="en-US"/>
        </w:rPr>
        <w:t>Solubilization of inorganic phosphates by microorganisms isolated from forest soils</w:t>
      </w:r>
      <w:r w:rsidRPr="4E0D7040">
        <w:rPr>
          <w:sz w:val="24"/>
          <w:szCs w:val="24"/>
          <w:lang w:val="en-US"/>
        </w:rPr>
        <w:t xml:space="preserve">. </w:t>
      </w:r>
      <w:r w:rsidRPr="4E0D7040">
        <w:rPr>
          <w:i/>
          <w:iCs/>
          <w:sz w:val="24"/>
          <w:szCs w:val="24"/>
          <w:lang w:val="en-US"/>
        </w:rPr>
        <w:t>Soil Biology and Biochemistry</w:t>
      </w:r>
      <w:r w:rsidRPr="4E0D7040">
        <w:rPr>
          <w:sz w:val="24"/>
          <w:szCs w:val="24"/>
          <w:lang w:val="en-US"/>
        </w:rPr>
        <w:t>, v. 27, n. 3, p. 257–263, 1992.</w:t>
      </w:r>
    </w:p>
    <w:p w14:paraId="19C2C303" w14:textId="15CE13FC" w:rsidR="4E0D7040" w:rsidRDefault="4E0D7040" w:rsidP="005D4CE3">
      <w:pPr>
        <w:jc w:val="both"/>
        <w:rPr>
          <w:sz w:val="24"/>
          <w:szCs w:val="24"/>
          <w:lang w:val="en-US"/>
        </w:rPr>
      </w:pPr>
    </w:p>
    <w:p w14:paraId="367BC4D5" w14:textId="3DEFEAEA" w:rsidR="3F4A07CD" w:rsidRDefault="3F4A07CD" w:rsidP="005D4CE3">
      <w:pPr>
        <w:jc w:val="both"/>
        <w:rPr>
          <w:rFonts w:eastAsia="Arial"/>
          <w:sz w:val="24"/>
          <w:szCs w:val="24"/>
        </w:rPr>
      </w:pPr>
      <w:r w:rsidRPr="4E0D7040">
        <w:rPr>
          <w:rFonts w:eastAsia="Arial"/>
          <w:sz w:val="24"/>
          <w:szCs w:val="24"/>
        </w:rPr>
        <w:t xml:space="preserve">INDÚSTRIA BRASILEIRA DE ÁRVORES – IBÁ. </w:t>
      </w:r>
      <w:r w:rsidRPr="005B566E">
        <w:rPr>
          <w:rFonts w:eastAsia="Arial"/>
          <w:b/>
          <w:bCs/>
          <w:sz w:val="24"/>
          <w:szCs w:val="24"/>
        </w:rPr>
        <w:t>Relatório Anual 2024</w:t>
      </w:r>
      <w:r w:rsidRPr="4E0D7040">
        <w:rPr>
          <w:rFonts w:eastAsia="Arial"/>
          <w:sz w:val="24"/>
          <w:szCs w:val="24"/>
        </w:rPr>
        <w:t xml:space="preserve">. São Paulo, 2025. </w:t>
      </w:r>
      <w:r w:rsidRPr="4E0D7040">
        <w:rPr>
          <w:rFonts w:eastAsia="Arial"/>
          <w:sz w:val="24"/>
          <w:szCs w:val="24"/>
        </w:rPr>
        <w:lastRenderedPageBreak/>
        <w:t>Disponível em: https://iba.org/wp-content/uploads/2025/05/relatorio2024.pdf.Acesso em: 13 out. 2025.</w:t>
      </w:r>
    </w:p>
    <w:p w14:paraId="4319C14E" w14:textId="63B400F6" w:rsidR="4E0D7040" w:rsidRDefault="4E0D7040" w:rsidP="005D4CE3">
      <w:pPr>
        <w:jc w:val="both"/>
        <w:rPr>
          <w:sz w:val="24"/>
          <w:szCs w:val="24"/>
          <w:lang w:val="en-US"/>
        </w:rPr>
      </w:pPr>
    </w:p>
    <w:p w14:paraId="05F45DAF" w14:textId="3530573C" w:rsidR="6D5C531D" w:rsidRDefault="6D5C531D" w:rsidP="005D4CE3">
      <w:pPr>
        <w:jc w:val="both"/>
        <w:rPr>
          <w:sz w:val="24"/>
          <w:szCs w:val="24"/>
          <w:lang w:val="en-US"/>
        </w:rPr>
      </w:pPr>
      <w:r w:rsidRPr="4E0D7040">
        <w:rPr>
          <w:sz w:val="24"/>
          <w:szCs w:val="24"/>
          <w:lang w:val="en-US"/>
        </w:rPr>
        <w:t xml:space="preserve">KHAN, M. S.; ZAIDI, A.; AHEMAD, M.; OVES, M.; WANI, P. A. </w:t>
      </w:r>
      <w:r w:rsidRPr="005B566E">
        <w:rPr>
          <w:b/>
          <w:bCs/>
          <w:sz w:val="24"/>
          <w:szCs w:val="24"/>
          <w:lang w:val="en-US"/>
        </w:rPr>
        <w:t>Plant growth promotion by phosphate solubilizing fungi – Current perspective</w:t>
      </w:r>
      <w:r w:rsidRPr="4E0D7040">
        <w:rPr>
          <w:sz w:val="24"/>
          <w:szCs w:val="24"/>
          <w:lang w:val="en-US"/>
        </w:rPr>
        <w:t xml:space="preserve">. </w:t>
      </w:r>
      <w:r w:rsidRPr="4E0D7040">
        <w:rPr>
          <w:i/>
          <w:iCs/>
          <w:sz w:val="24"/>
          <w:szCs w:val="24"/>
          <w:lang w:val="en-US"/>
        </w:rPr>
        <w:t>Archives of Agronomy and Soil Science</w:t>
      </w:r>
      <w:r w:rsidRPr="4E0D7040">
        <w:rPr>
          <w:sz w:val="24"/>
          <w:szCs w:val="24"/>
          <w:lang w:val="en-US"/>
        </w:rPr>
        <w:t>, v. 55, n. 2, p. 125–145, 2009.</w:t>
      </w:r>
    </w:p>
    <w:p w14:paraId="142BE003" w14:textId="45200A4E" w:rsidR="4E0D7040" w:rsidRDefault="4E0D7040" w:rsidP="005D4CE3">
      <w:pPr>
        <w:jc w:val="both"/>
        <w:rPr>
          <w:sz w:val="24"/>
          <w:szCs w:val="24"/>
          <w:lang w:val="en-US"/>
        </w:rPr>
      </w:pPr>
    </w:p>
    <w:p w14:paraId="221790FD" w14:textId="7E911BFB" w:rsidR="75C93014" w:rsidRDefault="75C93014" w:rsidP="005D4CE3">
      <w:pPr>
        <w:jc w:val="both"/>
        <w:rPr>
          <w:rFonts w:eastAsia="Arial"/>
          <w:sz w:val="24"/>
          <w:szCs w:val="24"/>
        </w:rPr>
      </w:pPr>
      <w:r w:rsidRPr="4E0D7040">
        <w:rPr>
          <w:rFonts w:eastAsia="Arial"/>
          <w:sz w:val="24"/>
          <w:szCs w:val="24"/>
        </w:rPr>
        <w:t xml:space="preserve">KHAN, M. S., et al. (2009). </w:t>
      </w:r>
      <w:r w:rsidRPr="005B566E">
        <w:rPr>
          <w:rFonts w:eastAsia="Arial"/>
          <w:b/>
          <w:bCs/>
          <w:sz w:val="24"/>
          <w:szCs w:val="24"/>
        </w:rPr>
        <w:t>Phosphate solubilizing microorganisms: a review</w:t>
      </w:r>
      <w:r w:rsidRPr="4E0D7040">
        <w:rPr>
          <w:rFonts w:eastAsia="Arial"/>
          <w:sz w:val="24"/>
          <w:szCs w:val="24"/>
        </w:rPr>
        <w:t xml:space="preserve">. </w:t>
      </w:r>
      <w:r w:rsidRPr="005B566E">
        <w:rPr>
          <w:rFonts w:eastAsia="Arial"/>
          <w:i/>
          <w:iCs/>
          <w:sz w:val="24"/>
          <w:szCs w:val="24"/>
        </w:rPr>
        <w:t>Journal of Soil Science and Plant Nutrition</w:t>
      </w:r>
      <w:r w:rsidRPr="4E0D7040">
        <w:rPr>
          <w:rFonts w:eastAsia="Arial"/>
          <w:sz w:val="24"/>
          <w:szCs w:val="24"/>
        </w:rPr>
        <w:t>, 9 (2), 165-188.</w:t>
      </w:r>
    </w:p>
    <w:p w14:paraId="5BFFAB7D" w14:textId="37677496" w:rsidR="4E0D7040" w:rsidRDefault="4E0D7040" w:rsidP="005D4CE3">
      <w:pPr>
        <w:jc w:val="both"/>
        <w:rPr>
          <w:sz w:val="24"/>
          <w:szCs w:val="24"/>
          <w:lang w:val="en-US"/>
        </w:rPr>
      </w:pPr>
    </w:p>
    <w:p w14:paraId="0A024482" w14:textId="3CD15848" w:rsidR="6D5C531D" w:rsidRDefault="6D5C531D" w:rsidP="005D4CE3">
      <w:pPr>
        <w:jc w:val="both"/>
        <w:rPr>
          <w:sz w:val="24"/>
          <w:szCs w:val="24"/>
        </w:rPr>
      </w:pPr>
      <w:r w:rsidRPr="4E0D7040">
        <w:rPr>
          <w:sz w:val="24"/>
          <w:szCs w:val="24"/>
        </w:rPr>
        <w:t xml:space="preserve">KUMAR, A.; MAURYA, B. R.; RAGHUWANSHI, R. </w:t>
      </w:r>
      <w:r w:rsidRPr="005B566E">
        <w:rPr>
          <w:b/>
          <w:bCs/>
          <w:sz w:val="24"/>
          <w:szCs w:val="24"/>
          <w:lang w:val="en-US"/>
        </w:rPr>
        <w:t>Isolation and characterization of PGPR and their effect on growth, yield and nutrient content in wheat (</w:t>
      </w:r>
      <w:r w:rsidRPr="005B566E">
        <w:rPr>
          <w:b/>
          <w:bCs/>
          <w:i/>
          <w:iCs/>
          <w:sz w:val="24"/>
          <w:szCs w:val="24"/>
          <w:lang w:val="en-US"/>
        </w:rPr>
        <w:t>Triticum</w:t>
      </w:r>
      <w:r w:rsidRPr="005B566E">
        <w:rPr>
          <w:b/>
          <w:bCs/>
          <w:sz w:val="24"/>
          <w:szCs w:val="24"/>
          <w:lang w:val="en-US"/>
        </w:rPr>
        <w:t xml:space="preserve"> </w:t>
      </w:r>
      <w:r w:rsidRPr="005B566E">
        <w:rPr>
          <w:b/>
          <w:bCs/>
          <w:i/>
          <w:iCs/>
          <w:sz w:val="24"/>
          <w:szCs w:val="24"/>
          <w:lang w:val="en-US"/>
        </w:rPr>
        <w:t>aestivum</w:t>
      </w:r>
      <w:r w:rsidRPr="005B566E">
        <w:rPr>
          <w:b/>
          <w:bCs/>
          <w:sz w:val="24"/>
          <w:szCs w:val="24"/>
          <w:lang w:val="en-US"/>
        </w:rPr>
        <w:t xml:space="preserve"> L.), </w:t>
      </w:r>
      <w:r w:rsidRPr="005B566E">
        <w:rPr>
          <w:i/>
          <w:iCs/>
          <w:sz w:val="24"/>
          <w:szCs w:val="24"/>
          <w:lang w:val="en-US"/>
        </w:rPr>
        <w:t>Biocatalysis and Agricultural Biotechnology</w:t>
      </w:r>
      <w:r w:rsidRPr="4E0D7040">
        <w:rPr>
          <w:sz w:val="24"/>
          <w:szCs w:val="24"/>
          <w:lang w:val="en-US"/>
        </w:rPr>
        <w:t>, v. 3, p. 121–128, 2014.</w:t>
      </w:r>
    </w:p>
    <w:p w14:paraId="431A79C7" w14:textId="039DD5A6" w:rsidR="4E0D7040" w:rsidRDefault="4E0D7040" w:rsidP="005D4CE3">
      <w:pPr>
        <w:jc w:val="both"/>
        <w:rPr>
          <w:rFonts w:eastAsia="Arial"/>
          <w:sz w:val="24"/>
          <w:szCs w:val="24"/>
        </w:rPr>
      </w:pPr>
    </w:p>
    <w:p w14:paraId="4ED75119" w14:textId="1521BE77" w:rsidR="3F4A07CD" w:rsidRDefault="3F4A07CD" w:rsidP="005D4CE3">
      <w:pPr>
        <w:jc w:val="both"/>
        <w:rPr>
          <w:sz w:val="24"/>
          <w:szCs w:val="24"/>
        </w:rPr>
      </w:pPr>
      <w:r w:rsidRPr="4E0D7040">
        <w:rPr>
          <w:rFonts w:eastAsia="Arial"/>
          <w:sz w:val="24"/>
          <w:szCs w:val="24"/>
        </w:rPr>
        <w:t xml:space="preserve">MARCHIORO, L. E. T. </w:t>
      </w:r>
      <w:r w:rsidRPr="4E0D7040">
        <w:rPr>
          <w:rFonts w:eastAsia="Arial"/>
          <w:b/>
          <w:bCs/>
          <w:sz w:val="24"/>
          <w:szCs w:val="24"/>
        </w:rPr>
        <w:t xml:space="preserve">Produção de ácido indol acético e derivados por bactérias </w:t>
      </w:r>
      <w:r w:rsidRPr="4E0D7040">
        <w:rPr>
          <w:b/>
          <w:bCs/>
          <w:sz w:val="24"/>
          <w:szCs w:val="24"/>
        </w:rPr>
        <w:t>fixadoras de nitrogênio</w:t>
      </w:r>
      <w:r w:rsidRPr="4E0D7040">
        <w:rPr>
          <w:sz w:val="24"/>
          <w:szCs w:val="24"/>
        </w:rPr>
        <w:t>. Dissertação (mestrado) – Universidade Federal do Paraná, Setor de Ciências Biológicas, Programa de Pós-graduação em Ciências Biológicas (Microbiologia, Parasitologia e Patologia Básica) 2005.</w:t>
      </w:r>
    </w:p>
    <w:p w14:paraId="001A3897" w14:textId="1A65EFDA" w:rsidR="4E0D7040" w:rsidRDefault="4E0D7040" w:rsidP="005D4CE3">
      <w:pPr>
        <w:jc w:val="both"/>
        <w:rPr>
          <w:sz w:val="24"/>
          <w:szCs w:val="24"/>
        </w:rPr>
      </w:pPr>
    </w:p>
    <w:p w14:paraId="7A3A34E2" w14:textId="04623088" w:rsidR="4E0D7040" w:rsidRPr="007921B8" w:rsidRDefault="1A446C15" w:rsidP="005D4CE3">
      <w:pPr>
        <w:jc w:val="both"/>
        <w:rPr>
          <w:sz w:val="24"/>
          <w:szCs w:val="24"/>
          <w:lang w:val="en-US"/>
        </w:rPr>
      </w:pPr>
      <w:r w:rsidRPr="4E0D7040">
        <w:rPr>
          <w:sz w:val="24"/>
          <w:szCs w:val="24"/>
          <w:lang w:val="en-US"/>
        </w:rPr>
        <w:t xml:space="preserve">MARCHIORO, V. S. (2005). </w:t>
      </w:r>
      <w:r w:rsidRPr="005B566E">
        <w:rPr>
          <w:b/>
          <w:bCs/>
          <w:sz w:val="24"/>
          <w:szCs w:val="24"/>
          <w:lang w:val="en-US"/>
        </w:rPr>
        <w:t>Fisiologia Vegetal.</w:t>
      </w:r>
      <w:r w:rsidRPr="4E0D7040">
        <w:rPr>
          <w:sz w:val="24"/>
          <w:szCs w:val="24"/>
          <w:lang w:val="en-US"/>
        </w:rPr>
        <w:t xml:space="preserve"> São Paulo: Editora UEPG.</w:t>
      </w:r>
    </w:p>
    <w:p w14:paraId="10EA55BE" w14:textId="34892993" w:rsidR="4E0D7040" w:rsidRDefault="4E0D7040" w:rsidP="005D4CE3">
      <w:pPr>
        <w:jc w:val="both"/>
        <w:rPr>
          <w:color w:val="333333"/>
          <w:sz w:val="24"/>
          <w:szCs w:val="24"/>
          <w:lang w:val="en-US"/>
        </w:rPr>
      </w:pPr>
    </w:p>
    <w:p w14:paraId="3E226B6B" w14:textId="7702AC7E" w:rsidR="3F4A07CD" w:rsidRDefault="3F4A07CD" w:rsidP="005D4CE3">
      <w:pPr>
        <w:jc w:val="both"/>
        <w:rPr>
          <w:color w:val="333333"/>
          <w:sz w:val="24"/>
          <w:szCs w:val="24"/>
          <w:lang w:val="en-US"/>
        </w:rPr>
      </w:pPr>
      <w:r w:rsidRPr="4E0D7040">
        <w:rPr>
          <w:color w:val="333333"/>
          <w:sz w:val="24"/>
          <w:szCs w:val="24"/>
          <w:lang w:val="en-US"/>
        </w:rPr>
        <w:t>MENDES, G. O.; FREITAS, A. L. M.; PEREIRA, O. L. et al</w:t>
      </w:r>
      <w:r w:rsidRPr="005B566E">
        <w:rPr>
          <w:b/>
          <w:bCs/>
          <w:color w:val="333333"/>
          <w:sz w:val="24"/>
          <w:szCs w:val="24"/>
          <w:lang w:val="en-US"/>
        </w:rPr>
        <w:t>. Mechanisms of phosphate solubilization by fungal isolates when exposed to different P sources.</w:t>
      </w:r>
      <w:r w:rsidRPr="4E0D7040">
        <w:rPr>
          <w:color w:val="333333"/>
          <w:sz w:val="24"/>
          <w:szCs w:val="24"/>
          <w:lang w:val="en-US"/>
        </w:rPr>
        <w:t xml:space="preserve"> </w:t>
      </w:r>
      <w:r w:rsidRPr="005B566E">
        <w:rPr>
          <w:i/>
          <w:iCs/>
          <w:color w:val="333333"/>
          <w:sz w:val="24"/>
          <w:szCs w:val="24"/>
          <w:lang w:val="en-US"/>
        </w:rPr>
        <w:t>Ann Microbiol</w:t>
      </w:r>
      <w:r w:rsidRPr="4E0D7040">
        <w:rPr>
          <w:b/>
          <w:bCs/>
          <w:i/>
          <w:iCs/>
          <w:color w:val="333333"/>
          <w:sz w:val="24"/>
          <w:szCs w:val="24"/>
          <w:lang w:val="en-US"/>
        </w:rPr>
        <w:t xml:space="preserve">, </w:t>
      </w:r>
      <w:r w:rsidRPr="4E0D7040">
        <w:rPr>
          <w:color w:val="333333"/>
          <w:sz w:val="24"/>
          <w:szCs w:val="24"/>
          <w:lang w:val="en-US"/>
        </w:rPr>
        <w:t>v.64, p. 239–249, 2014.</w:t>
      </w:r>
    </w:p>
    <w:p w14:paraId="146E6F05" w14:textId="08CA8CB0" w:rsidR="4E0D7040" w:rsidRDefault="4E0D7040" w:rsidP="005D4CE3">
      <w:pPr>
        <w:jc w:val="both"/>
        <w:rPr>
          <w:sz w:val="24"/>
          <w:szCs w:val="24"/>
          <w:lang w:val="en-US"/>
        </w:rPr>
      </w:pPr>
    </w:p>
    <w:p w14:paraId="0294D0B8" w14:textId="72EAD7D1" w:rsidR="2B44D476" w:rsidRDefault="2B44D476" w:rsidP="005D4CE3">
      <w:pPr>
        <w:jc w:val="both"/>
        <w:rPr>
          <w:sz w:val="24"/>
          <w:szCs w:val="24"/>
          <w:lang w:val="en-US"/>
        </w:rPr>
      </w:pPr>
      <w:r w:rsidRPr="4E0D7040">
        <w:rPr>
          <w:sz w:val="24"/>
          <w:szCs w:val="24"/>
          <w:lang w:val="en-US"/>
        </w:rPr>
        <w:t xml:space="preserve">OLIVEIRA, C. A.; ALVES, V. M. C.; MARRIEL, I. E.; GOMES, E. A.; SCOTTI, M. R.; CARNEIRO, N. P.; GUIMARÃES, C. T.; SCHAFFERT, R. E.; SÁ, N. M. </w:t>
      </w:r>
      <w:r w:rsidRPr="005B566E">
        <w:rPr>
          <w:b/>
          <w:bCs/>
          <w:sz w:val="24"/>
          <w:szCs w:val="24"/>
          <w:lang w:val="en-US"/>
        </w:rPr>
        <w:t>Phosphate solubilizing microorganisms isolated from rhizosphere of maize cultivated in an oxisol of the Brazilian Cerrado biome.</w:t>
      </w:r>
      <w:r w:rsidRPr="4E0D7040">
        <w:rPr>
          <w:sz w:val="24"/>
          <w:szCs w:val="24"/>
          <w:lang w:val="en-US"/>
        </w:rPr>
        <w:t xml:space="preserve"> </w:t>
      </w:r>
      <w:r w:rsidRPr="4E0D7040">
        <w:rPr>
          <w:i/>
          <w:iCs/>
          <w:sz w:val="24"/>
          <w:szCs w:val="24"/>
          <w:lang w:val="en-US"/>
        </w:rPr>
        <w:t>Soil Biology and Biochemistry</w:t>
      </w:r>
      <w:r w:rsidRPr="4E0D7040">
        <w:rPr>
          <w:sz w:val="24"/>
          <w:szCs w:val="24"/>
          <w:lang w:val="en-US"/>
        </w:rPr>
        <w:t xml:space="preserve">, </w:t>
      </w:r>
      <w:r w:rsidR="01E6BA3E" w:rsidRPr="4E0D7040">
        <w:rPr>
          <w:sz w:val="24"/>
          <w:szCs w:val="24"/>
          <w:lang w:val="en-US"/>
        </w:rPr>
        <w:t xml:space="preserve">v. </w:t>
      </w:r>
      <w:r w:rsidRPr="4E0D7040">
        <w:rPr>
          <w:sz w:val="24"/>
          <w:szCs w:val="24"/>
          <w:lang w:val="en-US"/>
        </w:rPr>
        <w:t>4</w:t>
      </w:r>
      <w:r w:rsidR="3E5E7D08" w:rsidRPr="4E0D7040">
        <w:rPr>
          <w:sz w:val="24"/>
          <w:szCs w:val="24"/>
          <w:lang w:val="en-US"/>
        </w:rPr>
        <w:t>1</w:t>
      </w:r>
      <w:r w:rsidR="5127098B" w:rsidRPr="4E0D7040">
        <w:rPr>
          <w:sz w:val="24"/>
          <w:szCs w:val="24"/>
          <w:lang w:val="en-US"/>
        </w:rPr>
        <w:t xml:space="preserve">, n. </w:t>
      </w:r>
      <w:r w:rsidR="61B69087" w:rsidRPr="4E0D7040">
        <w:rPr>
          <w:sz w:val="24"/>
          <w:szCs w:val="24"/>
          <w:lang w:val="en-US"/>
        </w:rPr>
        <w:t>9</w:t>
      </w:r>
      <w:r w:rsidRPr="4E0D7040">
        <w:rPr>
          <w:sz w:val="24"/>
          <w:szCs w:val="24"/>
          <w:lang w:val="en-US"/>
        </w:rPr>
        <w:t xml:space="preserve">, </w:t>
      </w:r>
      <w:r w:rsidR="2268EA99" w:rsidRPr="4E0D7040">
        <w:rPr>
          <w:sz w:val="24"/>
          <w:szCs w:val="24"/>
          <w:lang w:val="en-US"/>
        </w:rPr>
        <w:t xml:space="preserve">p. </w:t>
      </w:r>
      <w:r w:rsidR="36039648" w:rsidRPr="4E0D7040">
        <w:rPr>
          <w:sz w:val="24"/>
          <w:szCs w:val="24"/>
          <w:lang w:val="en-US"/>
        </w:rPr>
        <w:t>1782</w:t>
      </w:r>
      <w:r w:rsidRPr="4E0D7040">
        <w:rPr>
          <w:sz w:val="24"/>
          <w:szCs w:val="24"/>
          <w:lang w:val="en-US"/>
        </w:rPr>
        <w:t>–</w:t>
      </w:r>
      <w:r w:rsidR="5FEA87DF" w:rsidRPr="4E0D7040">
        <w:rPr>
          <w:sz w:val="24"/>
          <w:szCs w:val="24"/>
          <w:lang w:val="en-US"/>
        </w:rPr>
        <w:t>1787</w:t>
      </w:r>
      <w:r w:rsidR="778233AC" w:rsidRPr="4E0D7040">
        <w:rPr>
          <w:sz w:val="24"/>
          <w:szCs w:val="24"/>
          <w:lang w:val="en-US"/>
        </w:rPr>
        <w:t>, 2009.</w:t>
      </w:r>
    </w:p>
    <w:p w14:paraId="4503A3F6" w14:textId="465BF9A2" w:rsidR="4E0D7040" w:rsidRDefault="4E0D7040" w:rsidP="005D4CE3">
      <w:pPr>
        <w:jc w:val="both"/>
        <w:rPr>
          <w:sz w:val="24"/>
          <w:szCs w:val="24"/>
          <w:lang w:val="en-US"/>
        </w:rPr>
      </w:pPr>
    </w:p>
    <w:p w14:paraId="112C9A06" w14:textId="6FF5D6A2" w:rsidR="735D5B36" w:rsidRDefault="735D5B36" w:rsidP="005D4CE3">
      <w:pPr>
        <w:jc w:val="both"/>
        <w:rPr>
          <w:sz w:val="24"/>
          <w:szCs w:val="24"/>
          <w:lang w:val="en-US"/>
        </w:rPr>
      </w:pPr>
      <w:r w:rsidRPr="4E0D7040">
        <w:rPr>
          <w:sz w:val="24"/>
          <w:szCs w:val="24"/>
          <w:lang w:val="en-US"/>
        </w:rPr>
        <w:t>SPAEPEN, S.</w:t>
      </w:r>
      <w:r w:rsidR="02D58BDE" w:rsidRPr="4E0D7040">
        <w:rPr>
          <w:sz w:val="24"/>
          <w:szCs w:val="24"/>
          <w:lang w:val="en-US"/>
        </w:rPr>
        <w:t xml:space="preserve">; </w:t>
      </w:r>
      <w:r w:rsidRPr="4E0D7040">
        <w:rPr>
          <w:sz w:val="24"/>
          <w:szCs w:val="24"/>
          <w:lang w:val="en-US"/>
        </w:rPr>
        <w:t>VANDERLEYDEN, J.</w:t>
      </w:r>
      <w:r w:rsidR="3B40F892" w:rsidRPr="4E0D7040">
        <w:rPr>
          <w:sz w:val="24"/>
          <w:szCs w:val="24"/>
          <w:lang w:val="en-US"/>
        </w:rPr>
        <w:t xml:space="preserve">; </w:t>
      </w:r>
      <w:r w:rsidRPr="4E0D7040">
        <w:rPr>
          <w:sz w:val="24"/>
          <w:szCs w:val="24"/>
          <w:lang w:val="en-US"/>
        </w:rPr>
        <w:t>REMANS, R</w:t>
      </w:r>
      <w:r w:rsidRPr="005B566E">
        <w:rPr>
          <w:b/>
          <w:bCs/>
          <w:sz w:val="24"/>
          <w:szCs w:val="24"/>
          <w:lang w:val="en-US"/>
        </w:rPr>
        <w:t>. Indole-3-acetic acid in microbial and microorganism–plant signaling</w:t>
      </w:r>
      <w:r w:rsidRPr="4E0D7040">
        <w:rPr>
          <w:sz w:val="24"/>
          <w:szCs w:val="24"/>
          <w:lang w:val="en-US"/>
        </w:rPr>
        <w:t xml:space="preserve">. </w:t>
      </w:r>
      <w:r w:rsidRPr="4E0D7040">
        <w:rPr>
          <w:i/>
          <w:iCs/>
          <w:sz w:val="24"/>
          <w:szCs w:val="24"/>
          <w:lang w:val="en-US"/>
        </w:rPr>
        <w:t>FEMS Microbiology Reviews</w:t>
      </w:r>
      <w:r w:rsidRPr="4E0D7040">
        <w:rPr>
          <w:sz w:val="24"/>
          <w:szCs w:val="24"/>
          <w:lang w:val="en-US"/>
        </w:rPr>
        <w:t>,</w:t>
      </w:r>
      <w:r w:rsidR="165FBE1A" w:rsidRPr="4E0D7040">
        <w:rPr>
          <w:sz w:val="24"/>
          <w:szCs w:val="24"/>
          <w:lang w:val="en-US"/>
        </w:rPr>
        <w:t xml:space="preserve"> v. </w:t>
      </w:r>
      <w:r w:rsidRPr="4E0D7040">
        <w:rPr>
          <w:sz w:val="24"/>
          <w:szCs w:val="24"/>
          <w:lang w:val="en-US"/>
        </w:rPr>
        <w:t>31</w:t>
      </w:r>
      <w:r w:rsidR="76DF930F" w:rsidRPr="4E0D7040">
        <w:rPr>
          <w:sz w:val="24"/>
          <w:szCs w:val="24"/>
          <w:lang w:val="en-US"/>
        </w:rPr>
        <w:t xml:space="preserve">, n. </w:t>
      </w:r>
      <w:r w:rsidRPr="4E0D7040">
        <w:rPr>
          <w:sz w:val="24"/>
          <w:szCs w:val="24"/>
          <w:lang w:val="en-US"/>
        </w:rPr>
        <w:t xml:space="preserve">4, </w:t>
      </w:r>
      <w:r w:rsidR="24C9A591" w:rsidRPr="4E0D7040">
        <w:rPr>
          <w:sz w:val="24"/>
          <w:szCs w:val="24"/>
          <w:lang w:val="en-US"/>
        </w:rPr>
        <w:t xml:space="preserve">p. </w:t>
      </w:r>
      <w:r w:rsidRPr="4E0D7040">
        <w:rPr>
          <w:sz w:val="24"/>
          <w:szCs w:val="24"/>
          <w:lang w:val="en-US"/>
        </w:rPr>
        <w:t>425–448</w:t>
      </w:r>
      <w:r w:rsidR="74F8B377" w:rsidRPr="4E0D7040">
        <w:rPr>
          <w:sz w:val="24"/>
          <w:szCs w:val="24"/>
          <w:lang w:val="en-US"/>
        </w:rPr>
        <w:t>, 2007</w:t>
      </w:r>
      <w:r w:rsidRPr="4E0D7040">
        <w:rPr>
          <w:sz w:val="24"/>
          <w:szCs w:val="24"/>
          <w:lang w:val="en-US"/>
        </w:rPr>
        <w:t>.</w:t>
      </w:r>
    </w:p>
    <w:p w14:paraId="65BC2B13" w14:textId="7D324E32" w:rsidR="735D5B36" w:rsidRDefault="735D5B36" w:rsidP="005D4CE3">
      <w:pPr>
        <w:spacing w:before="240" w:after="240"/>
        <w:jc w:val="both"/>
        <w:rPr>
          <w:sz w:val="24"/>
          <w:szCs w:val="24"/>
        </w:rPr>
      </w:pPr>
      <w:r w:rsidRPr="4E0D7040">
        <w:rPr>
          <w:sz w:val="24"/>
          <w:szCs w:val="24"/>
          <w:lang w:val="en-US"/>
        </w:rPr>
        <w:t>SPAEPEN, S.</w:t>
      </w:r>
      <w:r w:rsidR="4A80A2B5" w:rsidRPr="4E0D7040">
        <w:rPr>
          <w:sz w:val="24"/>
          <w:szCs w:val="24"/>
          <w:lang w:val="en-US"/>
        </w:rPr>
        <w:t>;</w:t>
      </w:r>
      <w:r w:rsidRPr="4E0D7040">
        <w:rPr>
          <w:sz w:val="24"/>
          <w:szCs w:val="24"/>
          <w:lang w:val="en-US"/>
        </w:rPr>
        <w:t xml:space="preserve"> VANDERLEYDEN, J. </w:t>
      </w:r>
      <w:r w:rsidRPr="005B566E">
        <w:rPr>
          <w:b/>
          <w:bCs/>
          <w:sz w:val="24"/>
          <w:szCs w:val="24"/>
          <w:lang w:val="en-US"/>
        </w:rPr>
        <w:t>Auxin and plant–microbe interactions</w:t>
      </w:r>
      <w:r w:rsidRPr="4E0D7040">
        <w:rPr>
          <w:sz w:val="24"/>
          <w:szCs w:val="24"/>
          <w:lang w:val="en-US"/>
        </w:rPr>
        <w:t xml:space="preserve">. </w:t>
      </w:r>
      <w:r w:rsidRPr="4E0D7040">
        <w:rPr>
          <w:i/>
          <w:iCs/>
          <w:sz w:val="24"/>
          <w:szCs w:val="24"/>
          <w:lang w:val="en-US"/>
        </w:rPr>
        <w:t>Cold Spring Harbor Perspectives in Biology</w:t>
      </w:r>
      <w:r w:rsidRPr="4E0D7040">
        <w:rPr>
          <w:sz w:val="24"/>
          <w:szCs w:val="24"/>
          <w:lang w:val="en-US"/>
        </w:rPr>
        <w:t xml:space="preserve">, </w:t>
      </w:r>
      <w:r w:rsidR="7874DDB7" w:rsidRPr="4E0D7040">
        <w:rPr>
          <w:sz w:val="24"/>
          <w:szCs w:val="24"/>
          <w:lang w:val="en-US"/>
        </w:rPr>
        <w:t xml:space="preserve">v. </w:t>
      </w:r>
      <w:r w:rsidRPr="4E0D7040">
        <w:rPr>
          <w:sz w:val="24"/>
          <w:szCs w:val="24"/>
          <w:lang w:val="en-US"/>
        </w:rPr>
        <w:t>3</w:t>
      </w:r>
      <w:r w:rsidR="4D35433F" w:rsidRPr="4E0D7040">
        <w:rPr>
          <w:sz w:val="24"/>
          <w:szCs w:val="24"/>
          <w:lang w:val="en-US"/>
        </w:rPr>
        <w:t xml:space="preserve">, n. </w:t>
      </w:r>
      <w:r w:rsidRPr="4E0D7040">
        <w:rPr>
          <w:sz w:val="24"/>
          <w:szCs w:val="24"/>
          <w:lang w:val="en-US"/>
        </w:rPr>
        <w:t>4, a001438</w:t>
      </w:r>
      <w:r w:rsidR="54D0EA2E" w:rsidRPr="4E0D7040">
        <w:rPr>
          <w:sz w:val="24"/>
          <w:szCs w:val="24"/>
          <w:lang w:val="en-US"/>
        </w:rPr>
        <w:t>, 2011</w:t>
      </w:r>
      <w:r w:rsidRPr="4E0D7040">
        <w:rPr>
          <w:sz w:val="24"/>
          <w:szCs w:val="24"/>
          <w:lang w:val="en-US"/>
        </w:rPr>
        <w:t>.</w:t>
      </w:r>
    </w:p>
    <w:p w14:paraId="0D697C31" w14:textId="12EE12BF" w:rsidR="735D5B36" w:rsidRDefault="735D5B36" w:rsidP="005D4CE3">
      <w:pPr>
        <w:spacing w:before="240" w:after="240"/>
        <w:jc w:val="both"/>
        <w:rPr>
          <w:sz w:val="24"/>
          <w:szCs w:val="24"/>
        </w:rPr>
      </w:pPr>
      <w:r w:rsidRPr="4E0D7040">
        <w:rPr>
          <w:sz w:val="24"/>
          <w:szCs w:val="24"/>
        </w:rPr>
        <w:t>TAIZ, L.</w:t>
      </w:r>
      <w:r w:rsidR="17FA4D6D" w:rsidRPr="4E0D7040">
        <w:rPr>
          <w:sz w:val="24"/>
          <w:szCs w:val="24"/>
        </w:rPr>
        <w:t>;</w:t>
      </w:r>
      <w:r w:rsidRPr="4E0D7040">
        <w:rPr>
          <w:sz w:val="24"/>
          <w:szCs w:val="24"/>
        </w:rPr>
        <w:t xml:space="preserve"> ZEIGER, E.</w:t>
      </w:r>
      <w:r w:rsidR="373B94AF" w:rsidRPr="4E0D7040">
        <w:rPr>
          <w:sz w:val="24"/>
          <w:szCs w:val="24"/>
        </w:rPr>
        <w:t>;</w:t>
      </w:r>
      <w:r w:rsidRPr="4E0D7040">
        <w:rPr>
          <w:sz w:val="24"/>
          <w:szCs w:val="24"/>
        </w:rPr>
        <w:t xml:space="preserve"> MØLLER, I. M.</w:t>
      </w:r>
      <w:r w:rsidR="370A9572" w:rsidRPr="4E0D7040">
        <w:rPr>
          <w:sz w:val="24"/>
          <w:szCs w:val="24"/>
        </w:rPr>
        <w:t xml:space="preserve">; </w:t>
      </w:r>
      <w:r w:rsidRPr="4E0D7040">
        <w:rPr>
          <w:sz w:val="24"/>
          <w:szCs w:val="24"/>
        </w:rPr>
        <w:t xml:space="preserve">MURPHY, A. </w:t>
      </w:r>
      <w:r w:rsidRPr="005B566E">
        <w:rPr>
          <w:b/>
          <w:bCs/>
          <w:sz w:val="24"/>
          <w:szCs w:val="24"/>
        </w:rPr>
        <w:t>Fisiologia e desenvolvimento vegetal</w:t>
      </w:r>
      <w:r w:rsidRPr="4E0D7040">
        <w:rPr>
          <w:sz w:val="24"/>
          <w:szCs w:val="24"/>
        </w:rPr>
        <w:t>. 6ª ed. Porto Alegre: Artmed</w:t>
      </w:r>
      <w:r w:rsidR="5B31147A" w:rsidRPr="4E0D7040">
        <w:rPr>
          <w:sz w:val="24"/>
          <w:szCs w:val="24"/>
        </w:rPr>
        <w:t>, 2017.</w:t>
      </w:r>
    </w:p>
    <w:p w14:paraId="31C6EDCA" w14:textId="49CC86EC" w:rsidR="4E0D7040" w:rsidRDefault="4E0D7040" w:rsidP="4E0D7040">
      <w:pPr>
        <w:spacing w:line="360" w:lineRule="auto"/>
        <w:jc w:val="both"/>
        <w:rPr>
          <w:rFonts w:eastAsia="Arial"/>
          <w:sz w:val="24"/>
          <w:szCs w:val="24"/>
        </w:rPr>
      </w:pPr>
    </w:p>
    <w:p w14:paraId="5930D2B3" w14:textId="7A427701" w:rsidR="4E0D7040" w:rsidRDefault="4E0D7040" w:rsidP="4E0D7040">
      <w:pPr>
        <w:spacing w:line="360" w:lineRule="auto"/>
        <w:jc w:val="both"/>
        <w:rPr>
          <w:rFonts w:eastAsia="Arial"/>
          <w:sz w:val="24"/>
          <w:szCs w:val="24"/>
        </w:rPr>
      </w:pPr>
    </w:p>
    <w:p w14:paraId="7A8FBD16" w14:textId="77777777" w:rsidR="00F341E3" w:rsidRPr="00C65CA4" w:rsidRDefault="00F341E3" w:rsidP="00B6661B">
      <w:pPr>
        <w:spacing w:line="360" w:lineRule="auto"/>
        <w:jc w:val="both"/>
        <w:rPr>
          <w:rFonts w:eastAsia="Arial"/>
          <w:sz w:val="24"/>
          <w:szCs w:val="24"/>
        </w:rPr>
      </w:pPr>
    </w:p>
    <w:sectPr w:rsidR="00F341E3" w:rsidRPr="00C65CA4" w:rsidSect="005A1575">
      <w:headerReference w:type="default" r:id="rId11"/>
      <w:footerReference w:type="default" r:id="rId12"/>
      <w:type w:val="continuous"/>
      <w:pgSz w:w="11910" w:h="16840"/>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348A2" w14:textId="77777777" w:rsidR="001051D5" w:rsidRDefault="001051D5" w:rsidP="005A1575">
      <w:r>
        <w:separator/>
      </w:r>
    </w:p>
  </w:endnote>
  <w:endnote w:type="continuationSeparator" w:id="0">
    <w:p w14:paraId="0000F971" w14:textId="77777777" w:rsidR="001051D5" w:rsidRDefault="001051D5" w:rsidP="005A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E4EA" w14:textId="134574BA" w:rsidR="005A1575" w:rsidRDefault="004B3806">
    <w:pPr>
      <w:pStyle w:val="Rodap"/>
    </w:pPr>
    <w:r>
      <w:rPr>
        <w:noProof/>
      </w:rPr>
      <w:drawing>
        <wp:anchor distT="0" distB="0" distL="114300" distR="114300" simplePos="0" relativeHeight="251658240" behindDoc="0" locked="0" layoutInCell="1" allowOverlap="1" wp14:anchorId="38BD3C9F" wp14:editId="6A9BCEB9">
          <wp:simplePos x="0" y="0"/>
          <wp:positionH relativeFrom="margin">
            <wp:align>left</wp:align>
          </wp:positionH>
          <wp:positionV relativeFrom="page">
            <wp:posOffset>9994265</wp:posOffset>
          </wp:positionV>
          <wp:extent cx="600075" cy="191770"/>
          <wp:effectExtent l="0" t="0" r="0" b="0"/>
          <wp:wrapSquare wrapText="bothSides"/>
          <wp:docPr id="133335861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19177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133CF920" wp14:editId="4948997F">
          <wp:simplePos x="0" y="0"/>
          <wp:positionH relativeFrom="column">
            <wp:posOffset>2644140</wp:posOffset>
          </wp:positionH>
          <wp:positionV relativeFrom="page">
            <wp:posOffset>9987915</wp:posOffset>
          </wp:positionV>
          <wp:extent cx="419100" cy="241935"/>
          <wp:effectExtent l="0" t="0" r="0" b="0"/>
          <wp:wrapSquare wrapText="bothSides"/>
          <wp:docPr id="95454802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0" cy="241935"/>
                  </a:xfrm>
                  <a:prstGeom prst="rect">
                    <a:avLst/>
                  </a:prstGeom>
                  <a:noFill/>
                </pic:spPr>
              </pic:pic>
            </a:graphicData>
          </a:graphic>
          <wp14:sizeRelH relativeFrom="margin">
            <wp14:pctWidth>0</wp14:pctWidth>
          </wp14:sizeRelH>
          <wp14:sizeRelV relativeFrom="margin">
            <wp14:pctHeight>0</wp14:pctHeight>
          </wp14:sizeRelV>
        </wp:anchor>
      </w:drawing>
    </w:r>
    <w:r w:rsidR="005A1575">
      <w:rPr>
        <w:noProof/>
      </w:rPr>
      <w:drawing>
        <wp:anchor distT="0" distB="0" distL="114300" distR="114300" simplePos="0" relativeHeight="251658241" behindDoc="0" locked="0" layoutInCell="1" allowOverlap="1" wp14:anchorId="0D209678" wp14:editId="6C20E5A0">
          <wp:simplePos x="0" y="0"/>
          <wp:positionH relativeFrom="column">
            <wp:posOffset>850900</wp:posOffset>
          </wp:positionH>
          <wp:positionV relativeFrom="page">
            <wp:posOffset>10152380</wp:posOffset>
          </wp:positionV>
          <wp:extent cx="1231265" cy="384175"/>
          <wp:effectExtent l="0" t="0" r="6985" b="0"/>
          <wp:wrapSquare wrapText="bothSides"/>
          <wp:docPr id="121878881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1265" cy="384175"/>
                  </a:xfrm>
                  <a:prstGeom prst="rect">
                    <a:avLst/>
                  </a:prstGeom>
                  <a:noFill/>
                </pic:spPr>
              </pic:pic>
            </a:graphicData>
          </a:graphic>
        </wp:anchor>
      </w:drawing>
    </w:r>
    <w:r w:rsidR="005A1575">
      <w:rPr>
        <w:noProof/>
      </w:rPr>
      <w:drawing>
        <wp:anchor distT="0" distB="0" distL="114300" distR="114300" simplePos="0" relativeHeight="251658243" behindDoc="0" locked="0" layoutInCell="1" allowOverlap="1" wp14:anchorId="31A1BFA6" wp14:editId="2E91DF3C">
          <wp:simplePos x="0" y="0"/>
          <wp:positionH relativeFrom="column">
            <wp:posOffset>3139440</wp:posOffset>
          </wp:positionH>
          <wp:positionV relativeFrom="page">
            <wp:posOffset>10172700</wp:posOffset>
          </wp:positionV>
          <wp:extent cx="542290" cy="384175"/>
          <wp:effectExtent l="0" t="0" r="0" b="0"/>
          <wp:wrapSquare wrapText="bothSides"/>
          <wp:docPr id="202369131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290" cy="384175"/>
                  </a:xfrm>
                  <a:prstGeom prst="rect">
                    <a:avLst/>
                  </a:prstGeom>
                  <a:noFill/>
                </pic:spPr>
              </pic:pic>
            </a:graphicData>
          </a:graphic>
        </wp:anchor>
      </w:drawing>
    </w:r>
    <w:r w:rsidR="005A1575">
      <w:rPr>
        <w:noProof/>
      </w:rPr>
      <w:drawing>
        <wp:anchor distT="0" distB="0" distL="114300" distR="114300" simplePos="0" relativeHeight="251658244" behindDoc="0" locked="0" layoutInCell="1" allowOverlap="1" wp14:anchorId="2AE4657F" wp14:editId="21F15F58">
          <wp:simplePos x="0" y="0"/>
          <wp:positionH relativeFrom="column">
            <wp:posOffset>3910965</wp:posOffset>
          </wp:positionH>
          <wp:positionV relativeFrom="page">
            <wp:posOffset>10176510</wp:posOffset>
          </wp:positionV>
          <wp:extent cx="914400" cy="353695"/>
          <wp:effectExtent l="0" t="0" r="0" b="8255"/>
          <wp:wrapSquare wrapText="bothSides"/>
          <wp:docPr id="12310397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353695"/>
                  </a:xfrm>
                  <a:prstGeom prst="rect">
                    <a:avLst/>
                  </a:prstGeom>
                  <a:noFill/>
                </pic:spPr>
              </pic:pic>
            </a:graphicData>
          </a:graphic>
        </wp:anchor>
      </w:drawing>
    </w:r>
    <w:r w:rsidR="005A1575">
      <w:rPr>
        <w:noProof/>
      </w:rPr>
      <w:drawing>
        <wp:anchor distT="0" distB="0" distL="114300" distR="114300" simplePos="0" relativeHeight="251658245" behindDoc="0" locked="0" layoutInCell="1" allowOverlap="1" wp14:anchorId="5853B3B1" wp14:editId="5C9D517F">
          <wp:simplePos x="0" y="0"/>
          <wp:positionH relativeFrom="column">
            <wp:posOffset>5006340</wp:posOffset>
          </wp:positionH>
          <wp:positionV relativeFrom="page">
            <wp:posOffset>10182225</wp:posOffset>
          </wp:positionV>
          <wp:extent cx="756285" cy="335280"/>
          <wp:effectExtent l="0" t="0" r="5715" b="7620"/>
          <wp:wrapSquare wrapText="bothSides"/>
          <wp:docPr id="1212957140"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33528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1B22B" w14:textId="77777777" w:rsidR="001051D5" w:rsidRDefault="001051D5" w:rsidP="005A1575">
      <w:r>
        <w:separator/>
      </w:r>
    </w:p>
  </w:footnote>
  <w:footnote w:type="continuationSeparator" w:id="0">
    <w:p w14:paraId="6A3BF375" w14:textId="77777777" w:rsidR="001051D5" w:rsidRDefault="001051D5" w:rsidP="005A1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287E9" w14:textId="281CD96B" w:rsidR="005A1575" w:rsidRPr="005A1575" w:rsidRDefault="00177FDF" w:rsidP="005A1575">
    <w:pPr>
      <w:pStyle w:val="Cabealho"/>
      <w:jc w:val="center"/>
    </w:pPr>
    <w:r>
      <w:rPr>
        <w:noProof/>
      </w:rPr>
      <w:drawing>
        <wp:inline distT="0" distB="0" distL="0" distR="0" wp14:anchorId="75CDB71C" wp14:editId="6FF693D2">
          <wp:extent cx="3253105" cy="1610360"/>
          <wp:effectExtent l="0" t="0" r="0" b="0"/>
          <wp:docPr id="1222666444" name="Imagem 1"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66444" name="Imagem 1" descr="Logotipo, nome da empresa&#10;&#10;O conteúdo gerado por IA pode estar incorreto."/>
                  <pic:cNvPicPr>
                    <a:picLocks noChangeAspect="1"/>
                  </pic:cNvPicPr>
                </pic:nvPicPr>
                <pic:blipFill rotWithShape="1">
                  <a:blip r:embed="rId1">
                    <a:extLst>
                      <a:ext uri="{28A0092B-C50C-407E-A947-70E740481C1C}">
                        <a14:useLocalDpi xmlns:a14="http://schemas.microsoft.com/office/drawing/2010/main" val="0"/>
                      </a:ext>
                    </a:extLst>
                  </a:blip>
                  <a:srcRect l="2865" t="33993" r="-2172" b="26667"/>
                  <a:stretch>
                    <a:fillRect/>
                  </a:stretch>
                </pic:blipFill>
                <pic:spPr bwMode="auto">
                  <a:xfrm>
                    <a:off x="0" y="0"/>
                    <a:ext cx="3253105" cy="161036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097"/>
    <w:multiLevelType w:val="hybridMultilevel"/>
    <w:tmpl w:val="F4366B92"/>
    <w:lvl w:ilvl="0" w:tplc="48DEDE6C">
      <w:numFmt w:val="bullet"/>
      <w:lvlText w:val=""/>
      <w:lvlJc w:val="left"/>
      <w:pPr>
        <w:ind w:left="822" w:hanging="360"/>
      </w:pPr>
      <w:rPr>
        <w:rFonts w:ascii="Symbol" w:eastAsia="Symbol" w:hAnsi="Symbol" w:cs="Symbol" w:hint="default"/>
        <w:w w:val="99"/>
        <w:sz w:val="20"/>
        <w:szCs w:val="20"/>
        <w:lang w:val="pt-PT" w:eastAsia="en-US" w:bidi="ar-SA"/>
      </w:rPr>
    </w:lvl>
    <w:lvl w:ilvl="1" w:tplc="67DCBFB4">
      <w:numFmt w:val="bullet"/>
      <w:lvlText w:val="•"/>
      <w:lvlJc w:val="left"/>
      <w:pPr>
        <w:ind w:left="1610" w:hanging="360"/>
      </w:pPr>
      <w:rPr>
        <w:rFonts w:hint="default"/>
        <w:lang w:val="pt-PT" w:eastAsia="en-US" w:bidi="ar-SA"/>
      </w:rPr>
    </w:lvl>
    <w:lvl w:ilvl="2" w:tplc="E18AFBE4">
      <w:numFmt w:val="bullet"/>
      <w:lvlText w:val="•"/>
      <w:lvlJc w:val="left"/>
      <w:pPr>
        <w:ind w:left="2401" w:hanging="360"/>
      </w:pPr>
      <w:rPr>
        <w:rFonts w:hint="default"/>
        <w:lang w:val="pt-PT" w:eastAsia="en-US" w:bidi="ar-SA"/>
      </w:rPr>
    </w:lvl>
    <w:lvl w:ilvl="3" w:tplc="F5CAE5BC">
      <w:numFmt w:val="bullet"/>
      <w:lvlText w:val="•"/>
      <w:lvlJc w:val="left"/>
      <w:pPr>
        <w:ind w:left="3191" w:hanging="360"/>
      </w:pPr>
      <w:rPr>
        <w:rFonts w:hint="default"/>
        <w:lang w:val="pt-PT" w:eastAsia="en-US" w:bidi="ar-SA"/>
      </w:rPr>
    </w:lvl>
    <w:lvl w:ilvl="4" w:tplc="173CB834">
      <w:numFmt w:val="bullet"/>
      <w:lvlText w:val="•"/>
      <w:lvlJc w:val="left"/>
      <w:pPr>
        <w:ind w:left="3982" w:hanging="360"/>
      </w:pPr>
      <w:rPr>
        <w:rFonts w:hint="default"/>
        <w:lang w:val="pt-PT" w:eastAsia="en-US" w:bidi="ar-SA"/>
      </w:rPr>
    </w:lvl>
    <w:lvl w:ilvl="5" w:tplc="4D0EA188">
      <w:numFmt w:val="bullet"/>
      <w:lvlText w:val="•"/>
      <w:lvlJc w:val="left"/>
      <w:pPr>
        <w:ind w:left="4773" w:hanging="360"/>
      </w:pPr>
      <w:rPr>
        <w:rFonts w:hint="default"/>
        <w:lang w:val="pt-PT" w:eastAsia="en-US" w:bidi="ar-SA"/>
      </w:rPr>
    </w:lvl>
    <w:lvl w:ilvl="6" w:tplc="7B6C660E">
      <w:numFmt w:val="bullet"/>
      <w:lvlText w:val="•"/>
      <w:lvlJc w:val="left"/>
      <w:pPr>
        <w:ind w:left="5563" w:hanging="360"/>
      </w:pPr>
      <w:rPr>
        <w:rFonts w:hint="default"/>
        <w:lang w:val="pt-PT" w:eastAsia="en-US" w:bidi="ar-SA"/>
      </w:rPr>
    </w:lvl>
    <w:lvl w:ilvl="7" w:tplc="B296967C">
      <w:numFmt w:val="bullet"/>
      <w:lvlText w:val="•"/>
      <w:lvlJc w:val="left"/>
      <w:pPr>
        <w:ind w:left="6354" w:hanging="360"/>
      </w:pPr>
      <w:rPr>
        <w:rFonts w:hint="default"/>
        <w:lang w:val="pt-PT" w:eastAsia="en-US" w:bidi="ar-SA"/>
      </w:rPr>
    </w:lvl>
    <w:lvl w:ilvl="8" w:tplc="989AD612">
      <w:numFmt w:val="bullet"/>
      <w:lvlText w:val="•"/>
      <w:lvlJc w:val="left"/>
      <w:pPr>
        <w:ind w:left="7145" w:hanging="360"/>
      </w:pPr>
      <w:rPr>
        <w:rFonts w:hint="default"/>
        <w:lang w:val="pt-PT" w:eastAsia="en-US" w:bidi="ar-SA"/>
      </w:rPr>
    </w:lvl>
  </w:abstractNum>
  <w:abstractNum w:abstractNumId="1" w15:restartNumberingAfterBreak="0">
    <w:nsid w:val="34DB30E2"/>
    <w:multiLevelType w:val="hybridMultilevel"/>
    <w:tmpl w:val="64FEDBEC"/>
    <w:lvl w:ilvl="0" w:tplc="9F80976E">
      <w:start w:val="1"/>
      <w:numFmt w:val="bullet"/>
      <w:lvlText w:val=""/>
      <w:lvlJc w:val="left"/>
      <w:pPr>
        <w:ind w:left="720" w:hanging="360"/>
      </w:pPr>
      <w:rPr>
        <w:rFonts w:ascii="Symbol" w:hAnsi="Symbol" w:hint="default"/>
      </w:rPr>
    </w:lvl>
    <w:lvl w:ilvl="1" w:tplc="C7BE3ED8">
      <w:start w:val="1"/>
      <w:numFmt w:val="bullet"/>
      <w:lvlText w:val="o"/>
      <w:lvlJc w:val="left"/>
      <w:pPr>
        <w:ind w:left="1440" w:hanging="360"/>
      </w:pPr>
      <w:rPr>
        <w:rFonts w:ascii="Courier New" w:hAnsi="Courier New" w:hint="default"/>
      </w:rPr>
    </w:lvl>
    <w:lvl w:ilvl="2" w:tplc="79C86634">
      <w:start w:val="1"/>
      <w:numFmt w:val="bullet"/>
      <w:lvlText w:val=""/>
      <w:lvlJc w:val="left"/>
      <w:pPr>
        <w:ind w:left="2160" w:hanging="360"/>
      </w:pPr>
      <w:rPr>
        <w:rFonts w:ascii="Wingdings" w:hAnsi="Wingdings" w:hint="default"/>
      </w:rPr>
    </w:lvl>
    <w:lvl w:ilvl="3" w:tplc="71D0AC02">
      <w:start w:val="1"/>
      <w:numFmt w:val="bullet"/>
      <w:lvlText w:val=""/>
      <w:lvlJc w:val="left"/>
      <w:pPr>
        <w:ind w:left="2880" w:hanging="360"/>
      </w:pPr>
      <w:rPr>
        <w:rFonts w:ascii="Symbol" w:hAnsi="Symbol" w:hint="default"/>
      </w:rPr>
    </w:lvl>
    <w:lvl w:ilvl="4" w:tplc="37D66E32">
      <w:start w:val="1"/>
      <w:numFmt w:val="bullet"/>
      <w:lvlText w:val="o"/>
      <w:lvlJc w:val="left"/>
      <w:pPr>
        <w:ind w:left="3600" w:hanging="360"/>
      </w:pPr>
      <w:rPr>
        <w:rFonts w:ascii="Courier New" w:hAnsi="Courier New" w:hint="default"/>
      </w:rPr>
    </w:lvl>
    <w:lvl w:ilvl="5" w:tplc="17927A44">
      <w:start w:val="1"/>
      <w:numFmt w:val="bullet"/>
      <w:lvlText w:val=""/>
      <w:lvlJc w:val="left"/>
      <w:pPr>
        <w:ind w:left="4320" w:hanging="360"/>
      </w:pPr>
      <w:rPr>
        <w:rFonts w:ascii="Wingdings" w:hAnsi="Wingdings" w:hint="default"/>
      </w:rPr>
    </w:lvl>
    <w:lvl w:ilvl="6" w:tplc="1160060E">
      <w:start w:val="1"/>
      <w:numFmt w:val="bullet"/>
      <w:lvlText w:val=""/>
      <w:lvlJc w:val="left"/>
      <w:pPr>
        <w:ind w:left="5040" w:hanging="360"/>
      </w:pPr>
      <w:rPr>
        <w:rFonts w:ascii="Symbol" w:hAnsi="Symbol" w:hint="default"/>
      </w:rPr>
    </w:lvl>
    <w:lvl w:ilvl="7" w:tplc="9EBE7496">
      <w:start w:val="1"/>
      <w:numFmt w:val="bullet"/>
      <w:lvlText w:val="o"/>
      <w:lvlJc w:val="left"/>
      <w:pPr>
        <w:ind w:left="5760" w:hanging="360"/>
      </w:pPr>
      <w:rPr>
        <w:rFonts w:ascii="Courier New" w:hAnsi="Courier New" w:hint="default"/>
      </w:rPr>
    </w:lvl>
    <w:lvl w:ilvl="8" w:tplc="1CBE1FA0">
      <w:start w:val="1"/>
      <w:numFmt w:val="bullet"/>
      <w:lvlText w:val=""/>
      <w:lvlJc w:val="left"/>
      <w:pPr>
        <w:ind w:left="6480" w:hanging="360"/>
      </w:pPr>
      <w:rPr>
        <w:rFonts w:ascii="Wingdings" w:hAnsi="Wingdings" w:hint="default"/>
      </w:rPr>
    </w:lvl>
  </w:abstractNum>
  <w:abstractNum w:abstractNumId="2" w15:restartNumberingAfterBreak="0">
    <w:nsid w:val="475C4DBB"/>
    <w:multiLevelType w:val="multilevel"/>
    <w:tmpl w:val="48B25A4A"/>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5C760EC3"/>
    <w:multiLevelType w:val="hybridMultilevel"/>
    <w:tmpl w:val="1EBA4FF8"/>
    <w:lvl w:ilvl="0" w:tplc="6FFA5900">
      <w:start w:val="1"/>
      <w:numFmt w:val="bullet"/>
      <w:lvlText w:val=""/>
      <w:lvlJc w:val="left"/>
      <w:pPr>
        <w:ind w:left="720" w:hanging="360"/>
      </w:pPr>
      <w:rPr>
        <w:rFonts w:ascii="Symbol" w:hAnsi="Symbol" w:hint="default"/>
      </w:rPr>
    </w:lvl>
    <w:lvl w:ilvl="1" w:tplc="D31A1498">
      <w:start w:val="1"/>
      <w:numFmt w:val="bullet"/>
      <w:lvlText w:val="o"/>
      <w:lvlJc w:val="left"/>
      <w:pPr>
        <w:ind w:left="1440" w:hanging="360"/>
      </w:pPr>
      <w:rPr>
        <w:rFonts w:ascii="Courier New" w:hAnsi="Courier New" w:hint="default"/>
      </w:rPr>
    </w:lvl>
    <w:lvl w:ilvl="2" w:tplc="8D988C2C">
      <w:start w:val="1"/>
      <w:numFmt w:val="bullet"/>
      <w:lvlText w:val=""/>
      <w:lvlJc w:val="left"/>
      <w:pPr>
        <w:ind w:left="2160" w:hanging="360"/>
      </w:pPr>
      <w:rPr>
        <w:rFonts w:ascii="Wingdings" w:hAnsi="Wingdings" w:hint="default"/>
      </w:rPr>
    </w:lvl>
    <w:lvl w:ilvl="3" w:tplc="202C8A62">
      <w:start w:val="1"/>
      <w:numFmt w:val="bullet"/>
      <w:lvlText w:val=""/>
      <w:lvlJc w:val="left"/>
      <w:pPr>
        <w:ind w:left="2880" w:hanging="360"/>
      </w:pPr>
      <w:rPr>
        <w:rFonts w:ascii="Symbol" w:hAnsi="Symbol" w:hint="default"/>
      </w:rPr>
    </w:lvl>
    <w:lvl w:ilvl="4" w:tplc="58CCDBB6">
      <w:start w:val="1"/>
      <w:numFmt w:val="bullet"/>
      <w:lvlText w:val="o"/>
      <w:lvlJc w:val="left"/>
      <w:pPr>
        <w:ind w:left="3600" w:hanging="360"/>
      </w:pPr>
      <w:rPr>
        <w:rFonts w:ascii="Courier New" w:hAnsi="Courier New" w:hint="default"/>
      </w:rPr>
    </w:lvl>
    <w:lvl w:ilvl="5" w:tplc="779AAEF2">
      <w:start w:val="1"/>
      <w:numFmt w:val="bullet"/>
      <w:lvlText w:val=""/>
      <w:lvlJc w:val="left"/>
      <w:pPr>
        <w:ind w:left="4320" w:hanging="360"/>
      </w:pPr>
      <w:rPr>
        <w:rFonts w:ascii="Wingdings" w:hAnsi="Wingdings" w:hint="default"/>
      </w:rPr>
    </w:lvl>
    <w:lvl w:ilvl="6" w:tplc="F7F033A0">
      <w:start w:val="1"/>
      <w:numFmt w:val="bullet"/>
      <w:lvlText w:val=""/>
      <w:lvlJc w:val="left"/>
      <w:pPr>
        <w:ind w:left="5040" w:hanging="360"/>
      </w:pPr>
      <w:rPr>
        <w:rFonts w:ascii="Symbol" w:hAnsi="Symbol" w:hint="default"/>
      </w:rPr>
    </w:lvl>
    <w:lvl w:ilvl="7" w:tplc="DFE60AD2">
      <w:start w:val="1"/>
      <w:numFmt w:val="bullet"/>
      <w:lvlText w:val="o"/>
      <w:lvlJc w:val="left"/>
      <w:pPr>
        <w:ind w:left="5760" w:hanging="360"/>
      </w:pPr>
      <w:rPr>
        <w:rFonts w:ascii="Courier New" w:hAnsi="Courier New" w:hint="default"/>
      </w:rPr>
    </w:lvl>
    <w:lvl w:ilvl="8" w:tplc="8DFC76F2">
      <w:start w:val="1"/>
      <w:numFmt w:val="bullet"/>
      <w:lvlText w:val=""/>
      <w:lvlJc w:val="left"/>
      <w:pPr>
        <w:ind w:left="6480" w:hanging="360"/>
      </w:pPr>
      <w:rPr>
        <w:rFonts w:ascii="Wingdings" w:hAnsi="Wingdings" w:hint="default"/>
      </w:rPr>
    </w:lvl>
  </w:abstractNum>
  <w:num w:numId="1" w16cid:durableId="443614737">
    <w:abstractNumId w:val="1"/>
  </w:num>
  <w:num w:numId="2" w16cid:durableId="428156984">
    <w:abstractNumId w:val="3"/>
  </w:num>
  <w:num w:numId="3" w16cid:durableId="1456408314">
    <w:abstractNumId w:val="0"/>
  </w:num>
  <w:num w:numId="4" w16cid:durableId="352191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54"/>
    <w:rsid w:val="00030711"/>
    <w:rsid w:val="000436E8"/>
    <w:rsid w:val="00045EBC"/>
    <w:rsid w:val="00047CCE"/>
    <w:rsid w:val="00050A98"/>
    <w:rsid w:val="0006424F"/>
    <w:rsid w:val="000713BA"/>
    <w:rsid w:val="000954D9"/>
    <w:rsid w:val="00096A03"/>
    <w:rsid w:val="00097279"/>
    <w:rsid w:val="000A1B4B"/>
    <w:rsid w:val="000D32C6"/>
    <w:rsid w:val="000D7451"/>
    <w:rsid w:val="000E6288"/>
    <w:rsid w:val="000F0C4E"/>
    <w:rsid w:val="000F3133"/>
    <w:rsid w:val="0010194B"/>
    <w:rsid w:val="001051D5"/>
    <w:rsid w:val="00135027"/>
    <w:rsid w:val="00142AA2"/>
    <w:rsid w:val="001677DC"/>
    <w:rsid w:val="001698E5"/>
    <w:rsid w:val="00177FDF"/>
    <w:rsid w:val="00187EE7"/>
    <w:rsid w:val="00194D09"/>
    <w:rsid w:val="001B172E"/>
    <w:rsid w:val="001B44CB"/>
    <w:rsid w:val="001B7CC8"/>
    <w:rsid w:val="001D4FA5"/>
    <w:rsid w:val="00203A8A"/>
    <w:rsid w:val="002111C9"/>
    <w:rsid w:val="00216FD3"/>
    <w:rsid w:val="00224726"/>
    <w:rsid w:val="0025258F"/>
    <w:rsid w:val="002644B0"/>
    <w:rsid w:val="00286AEA"/>
    <w:rsid w:val="00291290"/>
    <w:rsid w:val="002A35EE"/>
    <w:rsid w:val="002A5948"/>
    <w:rsid w:val="002F3682"/>
    <w:rsid w:val="0031247B"/>
    <w:rsid w:val="00314950"/>
    <w:rsid w:val="00314A1D"/>
    <w:rsid w:val="003153C0"/>
    <w:rsid w:val="0031571D"/>
    <w:rsid w:val="0032207E"/>
    <w:rsid w:val="00335B04"/>
    <w:rsid w:val="00340B04"/>
    <w:rsid w:val="003611B5"/>
    <w:rsid w:val="003646DB"/>
    <w:rsid w:val="00392F7D"/>
    <w:rsid w:val="003949CE"/>
    <w:rsid w:val="003B5F08"/>
    <w:rsid w:val="003D1A2F"/>
    <w:rsid w:val="003D1F44"/>
    <w:rsid w:val="003F3485"/>
    <w:rsid w:val="004016F0"/>
    <w:rsid w:val="00422DD9"/>
    <w:rsid w:val="00457585"/>
    <w:rsid w:val="00481568"/>
    <w:rsid w:val="00497111"/>
    <w:rsid w:val="004B0E47"/>
    <w:rsid w:val="004B3806"/>
    <w:rsid w:val="004C18F5"/>
    <w:rsid w:val="004C2373"/>
    <w:rsid w:val="004C2BA0"/>
    <w:rsid w:val="004E409D"/>
    <w:rsid w:val="004E7DD5"/>
    <w:rsid w:val="00542105"/>
    <w:rsid w:val="00554D9C"/>
    <w:rsid w:val="00556B0B"/>
    <w:rsid w:val="005824D9"/>
    <w:rsid w:val="005A1575"/>
    <w:rsid w:val="005B0F6A"/>
    <w:rsid w:val="005B566E"/>
    <w:rsid w:val="005D4CE3"/>
    <w:rsid w:val="00635DF9"/>
    <w:rsid w:val="006402FF"/>
    <w:rsid w:val="00645BA4"/>
    <w:rsid w:val="00646D4F"/>
    <w:rsid w:val="00663972"/>
    <w:rsid w:val="006669B5"/>
    <w:rsid w:val="006761D5"/>
    <w:rsid w:val="006A46A9"/>
    <w:rsid w:val="006E05ED"/>
    <w:rsid w:val="006E2053"/>
    <w:rsid w:val="006E42A5"/>
    <w:rsid w:val="0072495E"/>
    <w:rsid w:val="007339E5"/>
    <w:rsid w:val="00733F07"/>
    <w:rsid w:val="0073475C"/>
    <w:rsid w:val="007375B3"/>
    <w:rsid w:val="007631A4"/>
    <w:rsid w:val="00767330"/>
    <w:rsid w:val="007701A8"/>
    <w:rsid w:val="007921B8"/>
    <w:rsid w:val="007A3840"/>
    <w:rsid w:val="007B00E2"/>
    <w:rsid w:val="007B01C9"/>
    <w:rsid w:val="007C6422"/>
    <w:rsid w:val="007E6ABF"/>
    <w:rsid w:val="00804383"/>
    <w:rsid w:val="00832591"/>
    <w:rsid w:val="008328BC"/>
    <w:rsid w:val="00836259"/>
    <w:rsid w:val="00876EA0"/>
    <w:rsid w:val="008A6FCC"/>
    <w:rsid w:val="008D49C3"/>
    <w:rsid w:val="008E0DA4"/>
    <w:rsid w:val="00906D59"/>
    <w:rsid w:val="0092107E"/>
    <w:rsid w:val="009301F8"/>
    <w:rsid w:val="00955089"/>
    <w:rsid w:val="00960F13"/>
    <w:rsid w:val="009613E3"/>
    <w:rsid w:val="00962C69"/>
    <w:rsid w:val="009742A5"/>
    <w:rsid w:val="009941F6"/>
    <w:rsid w:val="009A4209"/>
    <w:rsid w:val="009F0E5D"/>
    <w:rsid w:val="00A05D38"/>
    <w:rsid w:val="00A13F07"/>
    <w:rsid w:val="00A23FBA"/>
    <w:rsid w:val="00A359FF"/>
    <w:rsid w:val="00A61080"/>
    <w:rsid w:val="00A762B4"/>
    <w:rsid w:val="00A809A8"/>
    <w:rsid w:val="00AB0CD5"/>
    <w:rsid w:val="00AB3D2C"/>
    <w:rsid w:val="00AB43BE"/>
    <w:rsid w:val="00AB7394"/>
    <w:rsid w:val="00AC075D"/>
    <w:rsid w:val="00AD1D00"/>
    <w:rsid w:val="00B1360A"/>
    <w:rsid w:val="00B354D5"/>
    <w:rsid w:val="00B571D6"/>
    <w:rsid w:val="00B6661B"/>
    <w:rsid w:val="00B7052B"/>
    <w:rsid w:val="00B72DF5"/>
    <w:rsid w:val="00B86F9B"/>
    <w:rsid w:val="00BA7ADD"/>
    <w:rsid w:val="00BB0839"/>
    <w:rsid w:val="00BB3C57"/>
    <w:rsid w:val="00BC657A"/>
    <w:rsid w:val="00BD6EF7"/>
    <w:rsid w:val="00BE2198"/>
    <w:rsid w:val="00BE2D32"/>
    <w:rsid w:val="00C00048"/>
    <w:rsid w:val="00C127D5"/>
    <w:rsid w:val="00C3496D"/>
    <w:rsid w:val="00C4620F"/>
    <w:rsid w:val="00C636D2"/>
    <w:rsid w:val="00C63BFB"/>
    <w:rsid w:val="00C65CA4"/>
    <w:rsid w:val="00C7617D"/>
    <w:rsid w:val="00CA2DCC"/>
    <w:rsid w:val="00CA6113"/>
    <w:rsid w:val="00CA7BE6"/>
    <w:rsid w:val="00CD6875"/>
    <w:rsid w:val="00CE2B1C"/>
    <w:rsid w:val="00D1199B"/>
    <w:rsid w:val="00D1659C"/>
    <w:rsid w:val="00D2753D"/>
    <w:rsid w:val="00D3494C"/>
    <w:rsid w:val="00D8775E"/>
    <w:rsid w:val="00D92637"/>
    <w:rsid w:val="00DA358E"/>
    <w:rsid w:val="00DB5854"/>
    <w:rsid w:val="00DD0522"/>
    <w:rsid w:val="00DE04D3"/>
    <w:rsid w:val="00E40208"/>
    <w:rsid w:val="00E42D79"/>
    <w:rsid w:val="00E50916"/>
    <w:rsid w:val="00E64DD6"/>
    <w:rsid w:val="00E972DA"/>
    <w:rsid w:val="00EB4A3E"/>
    <w:rsid w:val="00EB6B05"/>
    <w:rsid w:val="00EC1E6B"/>
    <w:rsid w:val="00EC79AE"/>
    <w:rsid w:val="00ED218C"/>
    <w:rsid w:val="00F341E3"/>
    <w:rsid w:val="00F35AB6"/>
    <w:rsid w:val="00F46632"/>
    <w:rsid w:val="00F54E15"/>
    <w:rsid w:val="00F55131"/>
    <w:rsid w:val="00F56514"/>
    <w:rsid w:val="00F64C74"/>
    <w:rsid w:val="00F775E5"/>
    <w:rsid w:val="00F87762"/>
    <w:rsid w:val="00F948A7"/>
    <w:rsid w:val="00FC1EAD"/>
    <w:rsid w:val="01E6BA3E"/>
    <w:rsid w:val="02D58BDE"/>
    <w:rsid w:val="02E52C62"/>
    <w:rsid w:val="038D67EC"/>
    <w:rsid w:val="03EB4510"/>
    <w:rsid w:val="04508A38"/>
    <w:rsid w:val="05980AAF"/>
    <w:rsid w:val="0625789C"/>
    <w:rsid w:val="075B5CE3"/>
    <w:rsid w:val="08185373"/>
    <w:rsid w:val="089554DB"/>
    <w:rsid w:val="08EDA516"/>
    <w:rsid w:val="097FDDFA"/>
    <w:rsid w:val="0A66CB9F"/>
    <w:rsid w:val="0D2D8D9E"/>
    <w:rsid w:val="0DFB9638"/>
    <w:rsid w:val="0E2D7B3C"/>
    <w:rsid w:val="1021630D"/>
    <w:rsid w:val="1333A430"/>
    <w:rsid w:val="140C73E3"/>
    <w:rsid w:val="143DF6D6"/>
    <w:rsid w:val="144C8EF9"/>
    <w:rsid w:val="146623BF"/>
    <w:rsid w:val="14820CB9"/>
    <w:rsid w:val="14DC501C"/>
    <w:rsid w:val="1571E997"/>
    <w:rsid w:val="16058028"/>
    <w:rsid w:val="165FBE1A"/>
    <w:rsid w:val="16C081C0"/>
    <w:rsid w:val="16E86F32"/>
    <w:rsid w:val="17FA4D6D"/>
    <w:rsid w:val="193F0F83"/>
    <w:rsid w:val="1A446C15"/>
    <w:rsid w:val="1C5CC416"/>
    <w:rsid w:val="1D9F1D74"/>
    <w:rsid w:val="1F0B4183"/>
    <w:rsid w:val="1FDF6166"/>
    <w:rsid w:val="1FF690A0"/>
    <w:rsid w:val="20836DCB"/>
    <w:rsid w:val="219763E1"/>
    <w:rsid w:val="21EC77E3"/>
    <w:rsid w:val="2268EA99"/>
    <w:rsid w:val="22F9D3B9"/>
    <w:rsid w:val="23329395"/>
    <w:rsid w:val="236564EF"/>
    <w:rsid w:val="23D86EA8"/>
    <w:rsid w:val="24758CE1"/>
    <w:rsid w:val="248187F2"/>
    <w:rsid w:val="24C9A591"/>
    <w:rsid w:val="2580C88E"/>
    <w:rsid w:val="2A823EA9"/>
    <w:rsid w:val="2B44D476"/>
    <w:rsid w:val="2B4F9942"/>
    <w:rsid w:val="2B86C867"/>
    <w:rsid w:val="2C8FECAC"/>
    <w:rsid w:val="2D6E98C5"/>
    <w:rsid w:val="2DD74F2C"/>
    <w:rsid w:val="2E120EA1"/>
    <w:rsid w:val="2F57AA0E"/>
    <w:rsid w:val="2FD89792"/>
    <w:rsid w:val="30271A49"/>
    <w:rsid w:val="30F06984"/>
    <w:rsid w:val="31C0AAB9"/>
    <w:rsid w:val="3261B00D"/>
    <w:rsid w:val="33158D88"/>
    <w:rsid w:val="344B64EE"/>
    <w:rsid w:val="36039648"/>
    <w:rsid w:val="3624F157"/>
    <w:rsid w:val="36AD6303"/>
    <w:rsid w:val="36EE3ECB"/>
    <w:rsid w:val="370A9572"/>
    <w:rsid w:val="373B94AF"/>
    <w:rsid w:val="37663B5C"/>
    <w:rsid w:val="38B9360A"/>
    <w:rsid w:val="3B40F892"/>
    <w:rsid w:val="3D1F0123"/>
    <w:rsid w:val="3E5E7D08"/>
    <w:rsid w:val="3EE40D12"/>
    <w:rsid w:val="3F459A67"/>
    <w:rsid w:val="3F4A07CD"/>
    <w:rsid w:val="3F523111"/>
    <w:rsid w:val="3FF113EA"/>
    <w:rsid w:val="4032F5F9"/>
    <w:rsid w:val="40350A6E"/>
    <w:rsid w:val="41FF9D8D"/>
    <w:rsid w:val="42451AD6"/>
    <w:rsid w:val="44BA2B0F"/>
    <w:rsid w:val="45BD9F4A"/>
    <w:rsid w:val="46B9DB30"/>
    <w:rsid w:val="46CB2BAD"/>
    <w:rsid w:val="473F256D"/>
    <w:rsid w:val="4799F84E"/>
    <w:rsid w:val="47C1B128"/>
    <w:rsid w:val="48380D4C"/>
    <w:rsid w:val="483D283F"/>
    <w:rsid w:val="48677E83"/>
    <w:rsid w:val="497BFBEB"/>
    <w:rsid w:val="4A237AB9"/>
    <w:rsid w:val="4A80A2B5"/>
    <w:rsid w:val="4A9B16C3"/>
    <w:rsid w:val="4CC2643F"/>
    <w:rsid w:val="4D35433F"/>
    <w:rsid w:val="4E0D7040"/>
    <w:rsid w:val="4E0E1A30"/>
    <w:rsid w:val="4EE25784"/>
    <w:rsid w:val="4F99C80C"/>
    <w:rsid w:val="5127098B"/>
    <w:rsid w:val="51BB18ED"/>
    <w:rsid w:val="52747E70"/>
    <w:rsid w:val="5331BB88"/>
    <w:rsid w:val="535CB2FD"/>
    <w:rsid w:val="5367AD17"/>
    <w:rsid w:val="5480618F"/>
    <w:rsid w:val="54D0EA2E"/>
    <w:rsid w:val="55391FDB"/>
    <w:rsid w:val="554E6684"/>
    <w:rsid w:val="56A959C5"/>
    <w:rsid w:val="590BB72E"/>
    <w:rsid w:val="59CA2688"/>
    <w:rsid w:val="59FBC340"/>
    <w:rsid w:val="5B31147A"/>
    <w:rsid w:val="5B329D8E"/>
    <w:rsid w:val="5BB162A3"/>
    <w:rsid w:val="5CA367CE"/>
    <w:rsid w:val="5CD7D969"/>
    <w:rsid w:val="5CE6900C"/>
    <w:rsid w:val="5D6D81D4"/>
    <w:rsid w:val="5D807A65"/>
    <w:rsid w:val="5FEA87DF"/>
    <w:rsid w:val="61B69087"/>
    <w:rsid w:val="623A5D09"/>
    <w:rsid w:val="645163D4"/>
    <w:rsid w:val="648A09D7"/>
    <w:rsid w:val="649ABE72"/>
    <w:rsid w:val="6738D533"/>
    <w:rsid w:val="67AD8EE6"/>
    <w:rsid w:val="6A0A4C5A"/>
    <w:rsid w:val="6B15CF9C"/>
    <w:rsid w:val="6B3A236B"/>
    <w:rsid w:val="6B44E179"/>
    <w:rsid w:val="6B5F85D8"/>
    <w:rsid w:val="6C8AB100"/>
    <w:rsid w:val="6D5C531D"/>
    <w:rsid w:val="6D9CE4DE"/>
    <w:rsid w:val="6F2417E8"/>
    <w:rsid w:val="7118E9F9"/>
    <w:rsid w:val="713F719F"/>
    <w:rsid w:val="71E9CF9B"/>
    <w:rsid w:val="72319757"/>
    <w:rsid w:val="72BB1C32"/>
    <w:rsid w:val="72D34D27"/>
    <w:rsid w:val="735D5B36"/>
    <w:rsid w:val="73C1FDC3"/>
    <w:rsid w:val="73F5335E"/>
    <w:rsid w:val="748AC495"/>
    <w:rsid w:val="74F8B377"/>
    <w:rsid w:val="75C93014"/>
    <w:rsid w:val="76DF930F"/>
    <w:rsid w:val="778233AC"/>
    <w:rsid w:val="7874DDB7"/>
    <w:rsid w:val="7A9F3208"/>
    <w:rsid w:val="7D56AC04"/>
    <w:rsid w:val="7E86CE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BC7DD"/>
  <w15:docId w15:val="{D8162F8B-95B1-234B-AAD4-F4D726640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rPr>
      <w:sz w:val="24"/>
      <w:szCs w:val="24"/>
    </w:rPr>
  </w:style>
  <w:style w:type="paragraph" w:styleId="PargrafodaLista">
    <w:name w:val="List Paragraph"/>
    <w:basedOn w:val="Normal"/>
    <w:uiPriority w:val="34"/>
    <w:qFormat/>
    <w:pPr>
      <w:spacing w:before="120"/>
      <w:ind w:left="821" w:right="115" w:hanging="36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A1575"/>
    <w:pPr>
      <w:tabs>
        <w:tab w:val="center" w:pos="4252"/>
        <w:tab w:val="right" w:pos="8504"/>
      </w:tabs>
    </w:pPr>
  </w:style>
  <w:style w:type="character" w:customStyle="1" w:styleId="CabealhoChar">
    <w:name w:val="Cabeçalho Char"/>
    <w:basedOn w:val="Fontepargpadro"/>
    <w:link w:val="Cabealho"/>
    <w:uiPriority w:val="99"/>
    <w:rsid w:val="005A1575"/>
    <w:rPr>
      <w:rFonts w:ascii="Times New Roman" w:eastAsia="Times New Roman" w:hAnsi="Times New Roman" w:cs="Times New Roman"/>
      <w:lang w:val="pt-PT"/>
    </w:rPr>
  </w:style>
  <w:style w:type="paragraph" w:styleId="Rodap">
    <w:name w:val="footer"/>
    <w:basedOn w:val="Normal"/>
    <w:link w:val="RodapChar"/>
    <w:uiPriority w:val="99"/>
    <w:unhideWhenUsed/>
    <w:rsid w:val="005A1575"/>
    <w:pPr>
      <w:tabs>
        <w:tab w:val="center" w:pos="4252"/>
        <w:tab w:val="right" w:pos="8504"/>
      </w:tabs>
    </w:pPr>
  </w:style>
  <w:style w:type="character" w:customStyle="1" w:styleId="RodapChar">
    <w:name w:val="Rodapé Char"/>
    <w:basedOn w:val="Fontepargpadro"/>
    <w:link w:val="Rodap"/>
    <w:uiPriority w:val="99"/>
    <w:rsid w:val="005A1575"/>
    <w:rPr>
      <w:rFonts w:ascii="Times New Roman" w:eastAsia="Times New Roman" w:hAnsi="Times New Roman" w:cs="Times New Roman"/>
      <w:lang w:val="pt-PT"/>
    </w:rPr>
  </w:style>
  <w:style w:type="character" w:styleId="Hyperlink">
    <w:name w:val="Hyperlink"/>
    <w:basedOn w:val="Fontepargpadro"/>
    <w:uiPriority w:val="99"/>
    <w:unhideWhenUsed/>
    <w:rsid w:val="00216FD3"/>
    <w:rPr>
      <w:color w:val="0000FF" w:themeColor="hyperlink"/>
      <w:u w:val="single"/>
    </w:rPr>
  </w:style>
  <w:style w:type="character" w:styleId="MenoPendente">
    <w:name w:val="Unresolved Mention"/>
    <w:basedOn w:val="Fontepargpadro"/>
    <w:uiPriority w:val="99"/>
    <w:semiHidden/>
    <w:unhideWhenUsed/>
    <w:rsid w:val="00216FD3"/>
    <w:rPr>
      <w:color w:val="605E5C"/>
      <w:shd w:val="clear" w:color="auto" w:fill="E1DFDD"/>
    </w:rPr>
  </w:style>
  <w:style w:type="paragraph" w:customStyle="1" w:styleId="p1">
    <w:name w:val="p1"/>
    <w:basedOn w:val="Normal"/>
    <w:rsid w:val="00E64DD6"/>
    <w:pPr>
      <w:widowControl/>
      <w:autoSpaceDE/>
      <w:autoSpaceDN/>
    </w:pPr>
    <w:rPr>
      <w:rFonts w:ascii="Arial" w:eastAsiaTheme="minorEastAsia" w:hAnsi="Arial" w:cs="Arial"/>
      <w:color w:val="000000"/>
      <w:sz w:val="18"/>
      <w:szCs w:val="18"/>
      <w:lang w:val="pt-BR" w:eastAsia="pt-BR"/>
    </w:rPr>
  </w:style>
  <w:style w:type="character" w:customStyle="1" w:styleId="s1">
    <w:name w:val="s1"/>
    <w:basedOn w:val="Fontepargpadro"/>
    <w:rsid w:val="00E64DD6"/>
    <w:rPr>
      <w:rFonts w:ascii="Arial" w:hAnsi="Arial" w:cs="Arial" w:hint="default"/>
      <w:b w:val="0"/>
      <w:bCs w:val="0"/>
      <w:i w:val="0"/>
      <w:iCs w:val="0"/>
      <w:sz w:val="18"/>
      <w:szCs w:val="18"/>
    </w:rPr>
  </w:style>
  <w:style w:type="character" w:customStyle="1" w:styleId="s2">
    <w:name w:val="s2"/>
    <w:basedOn w:val="Fontepargpadro"/>
    <w:rsid w:val="00E64DD6"/>
    <w:rPr>
      <w:rFonts w:ascii="Arial-BoldMT" w:hAnsi="Arial-BoldMT" w:hint="default"/>
      <w:b/>
      <w:bCs/>
      <w:i w:val="0"/>
      <w:iCs w:val="0"/>
      <w:sz w:val="18"/>
      <w:szCs w:val="18"/>
    </w:rPr>
  </w:style>
  <w:style w:type="table" w:customStyle="1" w:styleId="TableNormal1">
    <w:name w:val="Table Normal1"/>
    <w:uiPriority w:val="2"/>
    <w:semiHidden/>
    <w:unhideWhenUsed/>
    <w:qFormat/>
    <w:rsid w:val="00F55131"/>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anda.ksilva@aluno.uepa.b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png"/><Relationship Id="rId5" Type="http://schemas.openxmlformats.org/officeDocument/2006/relationships/image" Target="media/image9.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3034</Words>
  <Characters>16384</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Lísias Faria</dc:creator>
  <cp:keywords/>
  <dc:description/>
  <cp:lastModifiedBy>amanda1516moraes@gmail.com</cp:lastModifiedBy>
  <cp:revision>2</cp:revision>
  <cp:lastPrinted>2025-10-13T23:18:00Z</cp:lastPrinted>
  <dcterms:created xsi:type="dcterms:W3CDTF">2025-10-30T23:29:00Z</dcterms:created>
  <dcterms:modified xsi:type="dcterms:W3CDTF">2025-10-30T23:29:00Z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Microsoft® Word para Microsoft 365</vt:lpwstr>
  </property>
  <property fmtid="{D5CDD505-2E9C-101B-9397-08002B2CF9AE}" pid="4" name="LastSaved">
    <vt:filetime>2023-08-30T00:00:00Z</vt:filetime>
  </property>
</Properties>
</file>