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:rsidR="00BD7F45" w:rsidRDefault="00135FE4" w14:paraId="089367F2" w14:textId="0FAEE788" w:rsidP="00BD7F45">
      <w:pPr>
        <w:jc w:val="center"/>
        <w:spacing w:after="0" w:line="360" w:lineRule="auto"/>
        <w:rPr>
          <w:b/>
          <w:rFonts w:ascii="Times New Roman" w:cs="Times New Roman" w:eastAsia="Arial" w:hAnsi="Times New Roman"/>
          <w:sz w:val="24"/>
          <w:szCs w:val="24"/>
        </w:rPr>
      </w:pPr>
      <w:r w:rsidRPr="00CE2E1A">
        <w:rPr>
          <w:b/>
          <w:rFonts w:ascii="Times New Roman" w:cs="Times New Roman" w:eastAsia="Arial" w:hAnsi="Times New Roman"/>
          <w:sz w:val="24"/>
          <w:szCs w:val="24"/>
        </w:rPr>
        <w:t>O DESEMPENHO DO COMÉRCIO EM SANTA CATARINA NO PÓS-PANDEMIA: UMA ANÁLISE DE 2020-2024</w:t>
      </w:r>
    </w:p>
    <w:p w:rsidR="00B75EFC" w:rsidRDefault="00B75EFC" w14:paraId="6F00B8BC" w14:textId="77777777" w:rsidP="00B75EFC">
      <w:pPr>
        <w:jc w:val="both"/>
        <w:spacing w:after="0" w:line="240" w:lineRule="auto"/>
        <w:rPr>
          <w:b/>
          <w:rFonts w:ascii="Times New Roman" w:cs="Times New Roman" w:eastAsia="Arial" w:hAnsi="Times New Roman"/>
          <w:sz w:val="24"/>
          <w:szCs w:val="24"/>
        </w:rPr>
      </w:pPr>
    </w:p>
    <w:p w:rsidR="007861B2" w:rsidRDefault="007861B2" w14:paraId="7871087C" w14:textId="77777777" w:rsidP="00B75EFC">
      <w:pPr>
        <w:jc w:val="both"/>
        <w:spacing w:after="0" w:line="240" w:lineRule="auto"/>
        <w:rPr>
          <w:b/>
          <w:rFonts w:ascii="Times New Roman" w:cs="Times New Roman" w:eastAsia="Arial" w:hAnsi="Times New Roman"/>
          <w:sz w:val="24"/>
          <w:szCs w:val="24"/>
        </w:rPr>
      </w:pPr>
    </w:p>
    <w:p w:rsidR="007861B2" w:rsidRDefault="007861B2" w14:paraId="3034E162" w14:textId="77777777" w:rsidP="007861B2">
      <w:pPr>
        <w:jc w:val="right"/>
        <w:spacing w:after="0" w:line="240" w:lineRule="auto"/>
        <w:rPr>
          <w:iCs/>
          <w:rFonts w:ascii="Times New Roman" w:cs="Times New Roman" w:eastAsia="Arial" w:hAnsi="Times New Roman"/>
          <w:sz w:val="24"/>
          <w:szCs w:val="24"/>
        </w:rPr>
      </w:pPr>
      <w:r>
        <w:rPr>
          <w:iCs/>
          <w:rFonts w:ascii="Times New Roman" w:cs="Times New Roman" w:eastAsia="Arial" w:hAnsi="Times New Roman"/>
          <w:sz w:val="24"/>
          <w:szCs w:val="24"/>
        </w:rPr>
        <w:t xml:space="preserve">Rafael </w:t>
      </w:r>
      <w:proofErr w:type="spellStart"/>
      <w:r>
        <w:rPr>
          <w:iCs/>
          <w:rFonts w:ascii="Times New Roman" w:cs="Times New Roman" w:eastAsia="Arial" w:hAnsi="Times New Roman"/>
          <w:sz w:val="24"/>
          <w:szCs w:val="24"/>
        </w:rPr>
        <w:t>Nicolo</w:t>
      </w:r>
      <w:proofErr w:type="spellEnd"/>
      <w:r>
        <w:rPr>
          <w:iCs/>
          <w:rFonts w:ascii="Times New Roman" w:cs="Times New Roman" w:eastAsia="Arial" w:hAnsi="Times New Roman"/>
          <w:sz w:val="24"/>
          <w:szCs w:val="24"/>
        </w:rPr>
        <w:t xml:space="preserve"> Serra Ferreira; UFSC; </w:t>
      </w:r>
    </w:p>
    <w:p w:rsidR="007861B2" w:rsidRDefault="007861B2" w14:paraId="77B7367A" w14:textId="77777777" w:rsidP="007861B2">
      <w:pPr>
        <w:jc w:val="right"/>
        <w:spacing w:after="0" w:line="240" w:lineRule="auto"/>
        <w:rPr>
          <w:iCs/>
          <w:rFonts w:ascii="Times New Roman" w:cs="Times New Roman" w:eastAsia="Arial" w:hAnsi="Times New Roman"/>
          <w:sz w:val="24"/>
          <w:szCs w:val="24"/>
        </w:rPr>
      </w:pPr>
      <w:r>
        <w:rPr>
          <w:iCs/>
          <w:rFonts w:ascii="Times New Roman" w:cs="Times New Roman" w:eastAsia="Arial" w:hAnsi="Times New Roman"/>
          <w:sz w:val="24"/>
          <w:szCs w:val="24"/>
        </w:rPr>
        <w:t>rafaelnserra@gmail.com</w:t>
      </w:r>
    </w:p>
    <w:p w:rsidR="007861B2" w:rsidRDefault="007861B2" w14:paraId="4AB1EA45" w14:textId="77777777" w:rsidP="007861B2">
      <w:pPr>
        <w:jc w:val="right"/>
        <w:spacing w:after="0" w:line="240" w:lineRule="auto"/>
        <w:rPr>
          <w:iCs/>
          <w:rFonts w:ascii="Times New Roman" w:cs="Times New Roman" w:eastAsia="Arial" w:hAnsi="Times New Roman"/>
          <w:sz w:val="24"/>
          <w:szCs w:val="24"/>
        </w:rPr>
      </w:pPr>
      <w:proofErr w:type="spellStart"/>
      <w:r>
        <w:rPr>
          <w:iCs/>
          <w:rFonts w:ascii="Times New Roman" w:cs="Times New Roman" w:eastAsia="Arial" w:hAnsi="Times New Roman"/>
          <w:sz w:val="24"/>
          <w:szCs w:val="24"/>
        </w:rPr>
        <w:t>Samya</w:t>
      </w:r>
      <w:proofErr w:type="spellEnd"/>
      <w:r>
        <w:rPr>
          <w:iCs/>
          <w:rFonts w:ascii="Times New Roman" w:cs="Times New Roman" w:eastAsia="Arial" w:hAnsi="Times New Roman"/>
          <w:sz w:val="24"/>
          <w:szCs w:val="24"/>
        </w:rPr>
        <w:t xml:space="preserve"> Campana; IFSC; </w:t>
      </w:r>
    </w:p>
    <w:p w:rsidR="007861B2" w:rsidRDefault="007861B2" w14:paraId="26752DF6" w14:textId="77777777" w:rsidP="007861B2">
      <w:pPr>
        <w:jc w:val="right"/>
        <w:spacing w:after="0" w:line="240" w:lineRule="auto"/>
        <w:rPr>
          <w:iCs/>
          <w:rFonts w:ascii="Times New Roman" w:cs="Times New Roman" w:eastAsia="Arial" w:hAnsi="Times New Roman"/>
          <w:sz w:val="24"/>
          <w:szCs w:val="24"/>
        </w:rPr>
      </w:pPr>
      <w:r>
        <w:rPr>
          <w:iCs/>
          <w:rFonts w:ascii="Times New Roman" w:cs="Times New Roman" w:eastAsia="Arial" w:hAnsi="Times New Roman"/>
          <w:sz w:val="24"/>
          <w:szCs w:val="24"/>
        </w:rPr>
        <w:t>samyacampana@gmail.com</w:t>
      </w:r>
    </w:p>
    <w:p>
      <w:pPr>
        <w:jc w:val="right"/>
        <w:spacing w:after="0" w:line="240" w:lineRule="auto"/>
      </w:pPr>
      <w:r>
        <w:rPr>
          <w:rFonts w:ascii="Times New Roman"/>
          <w:sz w:val="24"/>
        </w:rPr>
        <w:t>L</w:t>
      </w:r>
      <w:r>
        <w:rPr>
          <w:b w:val="0"/>
          <w:rFonts w:ascii="Times New Roman"/>
          <w:sz w:val="24"/>
        </w:rPr>
        <w:t>auro Mattei;</w:t>
      </w:r>
    </w:p>
    <w:p>
      <w:pPr>
        <w:jc w:val="right"/>
        <w:spacing w:after="0" w:line="240" w:lineRule="auto"/>
      </w:pPr>
      <w:r>
        <w:rPr>
          <w:b w:val="0"/>
          <w:rFonts w:ascii="Times New Roman"/>
          <w:sz w:val="24"/>
        </w:rPr>
        <w:t>l.mattei@ufsc.br</w:t>
      </w:r>
    </w:p>
    <w:p w:rsidR="00D24CB9" w:rsidRDefault="00D24CB9" w14:paraId="621D9517" w14:textId="77777777" w:rsidP="00BD7F45" w:rsidRPr="00CE2E1A">
      <w:pPr>
        <w:jc w:val="center"/>
        <w:spacing w:after="0" w:line="360" w:lineRule="auto"/>
        <w:rPr>
          <w:b/>
          <w:rFonts w:ascii="Times New Roman" w:cs="Times New Roman" w:eastAsia="Arial" w:hAnsi="Times New Roman"/>
          <w:sz w:val="24"/>
          <w:szCs w:val="24"/>
        </w:rPr>
      </w:pPr>
    </w:p>
    <w:p w:rsidR="00BD7F45" w:rsidRDefault="004101E2" w14:paraId="1A0759A0" w14:textId="43F511F1" w:rsidP="00DB2C02">
      <w:pPr>
        <w:spacing w:after="0" w:line="360" w:lineRule="auto"/>
        <w:rPr>
          <w:iCs/>
          <w:rFonts w:ascii="Times New Roman" w:cs="Times New Roman" w:eastAsia="Arial" w:hAnsi="Times New Roman"/>
          <w:sz w:val="24"/>
          <w:szCs w:val="24"/>
        </w:rPr>
      </w:pPr>
      <w:r>
        <w:rPr>
          <w:iCs/>
          <w:rFonts w:ascii="Times New Roman" w:cs="Times New Roman" w:eastAsia="Arial" w:hAnsi="Times New Roman"/>
          <w:sz w:val="24"/>
          <w:szCs w:val="24"/>
        </w:rPr>
        <w:t xml:space="preserve">Área Temática </w:t>
      </w:r>
      <w:proofErr w:type="gramStart"/>
      <w:r w:rsidR="00CB6D84">
        <w:rPr>
          <w:iCs/>
          <w:rFonts w:ascii="Times New Roman" w:cs="Times New Roman" w:eastAsia="Arial" w:hAnsi="Times New Roman"/>
          <w:sz w:val="24"/>
          <w:szCs w:val="24"/>
        </w:rPr>
        <w:t>7</w:t>
      </w:r>
      <w:proofErr w:type="gramEnd"/>
      <w:r w:rsidR="00CB6D84">
        <w:rPr>
          <w:iCs/>
          <w:rFonts w:ascii="Times New Roman" w:cs="Times New Roman" w:eastAsia="Arial" w:hAnsi="Times New Roman"/>
          <w:sz w:val="24"/>
          <w:szCs w:val="24"/>
        </w:rPr>
        <w:t>: Desenvolvimento regional e urbano</w:t>
      </w:r>
    </w:p>
    <w:p w:rsidR="00DB2C02" w:rsidRDefault="00DB2C02" w14:paraId="4D40DAAB" w14:textId="77777777" w:rsidP="00DB2C02">
      <w:pPr>
        <w:spacing w:after="0" w:line="360" w:lineRule="auto"/>
        <w:rPr>
          <w:iCs/>
          <w:rFonts w:ascii="Times New Roman" w:cs="Times New Roman" w:eastAsia="Arial" w:hAnsi="Times New Roman"/>
          <w:sz w:val="24"/>
          <w:szCs w:val="24"/>
        </w:rPr>
      </w:pPr>
    </w:p>
    <w:p w:rsidR="00D24CB9" w:rsidRDefault="00D24CB9" w14:paraId="6AAFDEAA" w14:textId="77777777" w:rsidP="00DB2C02">
      <w:pPr>
        <w:spacing w:after="0" w:line="360" w:lineRule="auto"/>
        <w:rPr>
          <w:iCs/>
          <w:rFonts w:ascii="Times New Roman" w:cs="Times New Roman" w:eastAsia="Arial" w:hAnsi="Times New Roman"/>
          <w:sz w:val="24"/>
          <w:szCs w:val="24"/>
        </w:rPr>
      </w:pPr>
    </w:p>
    <w:p w:rsidR="002016BD" w:rsidRDefault="002016BD" w14:paraId="7097C682" w14:textId="0F69C9AF" w:rsidP="00DB2C02">
      <w:pPr>
        <w:spacing w:after="0" w:line="360" w:lineRule="auto"/>
        <w:rPr>
          <w:b/>
          <w:rFonts w:ascii="Times New Roman" w:cs="Times New Roman" w:eastAsia="Arial" w:hAnsi="Times New Roman"/>
          <w:sz w:val="24"/>
          <w:szCs w:val="24"/>
        </w:rPr>
      </w:pPr>
      <w:r w:rsidRPr="002016BD">
        <w:rPr>
          <w:b/>
          <w:rFonts w:ascii="Times New Roman" w:cs="Times New Roman" w:eastAsia="Arial" w:hAnsi="Times New Roman"/>
          <w:sz w:val="24"/>
          <w:szCs w:val="24"/>
        </w:rPr>
        <w:t>RESUMO</w:t>
      </w:r>
    </w:p>
    <w:p w:rsidR="00D24CB9" w:rsidRDefault="00D24CB9" w14:paraId="454A8F0F" w14:textId="77777777" w:rsidP="00DB2C02">
      <w:pPr>
        <w:spacing w:after="0" w:line="360" w:lineRule="auto"/>
        <w:rPr>
          <w:b/>
          <w:rFonts w:ascii="Times New Roman" w:cs="Times New Roman" w:eastAsia="Arial" w:hAnsi="Times New Roman"/>
          <w:sz w:val="24"/>
          <w:szCs w:val="24"/>
        </w:rPr>
      </w:pPr>
    </w:p>
    <w:p w:rsidR="00D24CB9" w:rsidRDefault="00D24CB9" w14:paraId="75BCABF4" w14:textId="77777777" w:rsidP="00DB2C02">
      <w:pPr>
        <w:spacing w:after="0" w:line="360" w:lineRule="auto"/>
        <w:rPr>
          <w:b/>
          <w:rFonts w:ascii="Times New Roman" w:cs="Times New Roman" w:eastAsia="Arial" w:hAnsi="Times New Roman"/>
          <w:sz w:val="24"/>
          <w:szCs w:val="24"/>
        </w:rPr>
      </w:pPr>
    </w:p>
    <w:p w:rsidR="00D24CB9" w:rsidRDefault="00682B0D" w14:paraId="11FC1DB1" w14:textId="54C7D8A7" w:rsidP="00682B0D" w:rsidRPr="00682B0D">
      <w:pPr>
        <w:jc w:val="both"/>
        <w:spacing w:after="0" w:line="240" w:lineRule="auto"/>
        <w:rPr>
          <w:b/>
          <w:rFonts w:ascii="Times New Roman" w:cs="Times New Roman" w:hAnsi="Times New Roman"/>
          <w:sz w:val="24"/>
          <w:szCs w:val="24"/>
        </w:rPr>
      </w:pPr>
      <w:r w:rsidRPr="00682B0D">
        <w:rPr>
          <w:rStyle w:val="Forte"/>
          <w:b w:val="0"/>
          <w:color w:val="222222"/>
          <w:rFonts w:ascii="Times New Roman" w:cs="Times New Roman" w:hAnsi="Times New Roman"/>
          <w:sz w:val="24"/>
          <w:szCs w:val="24"/>
          <w:shd w:fill="FFFFFF" w:color="auto" w:val="clear"/>
        </w:rPr>
        <w:t xml:space="preserve">O artigo analisa a evolução do comércio varejista em Santa Catarina, com foco na evolução do setor no período pós-pandêmico. Durante a pandemia (2020-2022), o setor enfrentou uma retração acentuada, especialmente nos segmentos dependentes de crédito, como vestuário, calçados e bens duráveis. Em contrapartida, setores essenciais, como supermercados e farmácias, demonstraram maior resiliência, sustentados pelo consumo básico das famílias. A recuperação do setor foi marcada por desigualdades, com os segmentos sendo impactados de formas distintas às condições pandêmicas e econômicas. Políticas de estímulo à demanda, como o auxílio emergencial, e a </w:t>
      </w:r>
      <w:proofErr w:type="gramStart"/>
      <w:r w:rsidRPr="00682B0D">
        <w:rPr>
          <w:rStyle w:val="Forte"/>
          <w:b w:val="0"/>
          <w:color w:val="222222"/>
          <w:rFonts w:ascii="Times New Roman" w:cs="Times New Roman" w:hAnsi="Times New Roman"/>
          <w:sz w:val="24"/>
          <w:szCs w:val="24"/>
          <w:shd w:fill="FFFFFF" w:color="auto" w:val="clear"/>
        </w:rPr>
        <w:t>flexibilização</w:t>
      </w:r>
      <w:proofErr w:type="gramEnd"/>
      <w:r w:rsidRPr="00682B0D">
        <w:rPr>
          <w:rStyle w:val="Forte"/>
          <w:b w:val="0"/>
          <w:color w:val="222222"/>
          <w:rFonts w:ascii="Times New Roman" w:cs="Times New Roman" w:hAnsi="Times New Roman"/>
          <w:sz w:val="24"/>
          <w:szCs w:val="24"/>
          <w:shd w:fill="FFFFFF" w:color="auto" w:val="clear"/>
        </w:rPr>
        <w:t xml:space="preserve"> das restrições sanitárias foram determinantes para a retomada parcial das atividades. No período pós-pandêmico (2023-2024), o comércio consolidou sua trajetória de retomada, impulsionado pela melhoria macroeconômica do país, o que favoreceu atividades de diversos setores. Contudo, quando a política monetária se tornou mais restritiva passaram a ocorrer impactos negativos, especialmente dos segmentos mais dependentes de crédito. Contudo, a digitalização do varejo e a crescente demanda por infraestrutura tecnológica foram determinantes para o desempenho positivo de certos setores. O estudo conclui que, embora o comércio catarinense tenha apresentado resiliência e superado, em alguns momentos, a média nacional, desafios persistem, especialmente relacionados ao custo do crédito e ao alto endividamento das famílias. O futuro do setor depende da evolução da política monetária, do crescimento da renda e da recuperação da confiança do consumidor.</w:t>
      </w:r>
    </w:p>
    <w:p w:rsidR="00D24CB9" w:rsidRDefault="00D24CB9" w14:paraId="33F58139" w14:textId="77777777" w:rsidP="00D24CB9">
      <w:pPr>
        <w:spacing w:after="0" w:line="360" w:lineRule="auto"/>
        <w:rPr>
          <w:rFonts w:ascii="Times New Roman" w:cs="Times New Roman" w:hAnsi="Times New Roman"/>
          <w:sz w:val="24"/>
          <w:szCs w:val="24"/>
        </w:rPr>
      </w:pPr>
    </w:p>
    <w:p w:rsidR="00953BFC" w:rsidRDefault="00953BFC" w14:paraId="1D1801A2" w14:textId="77777777" w:rsidP="00D24CB9">
      <w:pPr>
        <w:spacing w:after="0" w:line="360" w:lineRule="auto"/>
        <w:rPr>
          <w:rFonts w:ascii="Times New Roman" w:cs="Times New Roman" w:hAnsi="Times New Roman"/>
          <w:sz w:val="24"/>
          <w:szCs w:val="24"/>
        </w:rPr>
      </w:pPr>
    </w:p>
    <w:p w:rsidR="00953BFC" w:rsidRDefault="00953BFC" w14:paraId="40F3CAEA" w14:textId="77777777" w:rsidP="00953BFC">
      <w:pPr>
        <w:spacing w:after="0" w:line="360" w:lineRule="auto"/>
        <w:rPr>
          <w:rFonts w:ascii="Times New Roman" w:cs="Times New Roman" w:hAnsi="Times New Roman"/>
          <w:sz w:val="24"/>
          <w:szCs w:val="24"/>
        </w:rPr>
      </w:pPr>
      <w:r>
        <w:rPr>
          <w:b/>
          <w:rFonts w:ascii="Times New Roman" w:cs="Times New Roman" w:eastAsia="Arial" w:hAnsi="Times New Roman"/>
          <w:sz w:val="24"/>
          <w:szCs w:val="24"/>
        </w:rPr>
        <w:t xml:space="preserve">Palavras-chave: </w:t>
      </w:r>
      <w:r>
        <w:rPr>
          <w:rFonts w:ascii="Times New Roman" w:cs="Times New Roman" w:hAnsi="Times New Roman"/>
          <w:sz w:val="24"/>
          <w:szCs w:val="24"/>
        </w:rPr>
        <w:t>Comércio varejista; Santa Catarina; Pandemia de Covid-19.</w:t>
      </w:r>
    </w:p>
    <w:p w:rsidR="00953BFC" w:rsidRDefault="00953BFC" w14:paraId="3D03742D" w14:textId="77777777" w:rsidP="00D24CB9">
      <w:pPr>
        <w:spacing w:after="0" w:line="360" w:lineRule="auto"/>
        <w:rPr>
          <w:rFonts w:ascii="Times New Roman" w:cs="Times New Roman" w:hAnsi="Times New Roman"/>
          <w:sz w:val="24"/>
          <w:szCs w:val="24"/>
        </w:rPr>
      </w:pPr>
    </w:p>
    <w:p w:rsidR="00953BFC" w:rsidRDefault="00953BFC" w14:paraId="63BC52B0" w14:textId="77777777" w:rsidP="00D24CB9" w:rsidRPr="00BD7F45">
      <w:pPr>
        <w:spacing w:after="0" w:line="360" w:lineRule="auto"/>
        <w:rPr>
          <w:rFonts w:ascii="Times New Roman" w:cs="Times New Roman" w:hAnsi="Times New Roman"/>
          <w:sz w:val="24"/>
          <w:szCs w:val="24"/>
        </w:rPr>
      </w:pPr>
    </w:p>
    <w:p w:rsidR="002016BD" w:rsidRDefault="002016BD" w14:paraId="389D1C18" w14:textId="33F7FDAD" w:rsidP="00D24CB9">
      <w:pPr>
        <w:spacing w:after="0" w:line="360" w:lineRule="auto"/>
        <w:rPr>
          <w:b/>
          <w:rFonts w:ascii="Times New Roman" w:cs="Times New Roman" w:eastAsia="Arial" w:hAnsi="Times New Roman"/>
          <w:sz w:val="24"/>
          <w:szCs w:val="24"/>
        </w:rPr>
      </w:pPr>
      <w:r w:rsidRPr="002016BD">
        <w:rPr>
          <w:b/>
          <w:rFonts w:ascii="Times New Roman" w:cs="Times New Roman" w:eastAsia="Arial" w:hAnsi="Times New Roman"/>
          <w:sz w:val="24"/>
          <w:szCs w:val="24"/>
        </w:rPr>
        <w:t>INTRODUÇÃO</w:t>
      </w:r>
    </w:p>
    <w:p w:rsidR="00D24CB9" w:rsidRDefault="00D24CB9" w14:paraId="04118515" w14:textId="77777777" w:rsidP="00D24CB9">
      <w:pPr>
        <w:spacing w:after="0" w:line="360" w:lineRule="auto"/>
        <w:rPr>
          <w:b/>
          <w:rFonts w:ascii="Times New Roman" w:cs="Times New Roman" w:eastAsia="Arial" w:hAnsi="Times New Roman"/>
          <w:sz w:val="24"/>
          <w:szCs w:val="24"/>
        </w:rPr>
      </w:pPr>
    </w:p>
    <w:p w:rsidR="00D24CB9" w:rsidRDefault="00D24CB9" w14:paraId="6C6B47D6" w14:textId="77777777" w:rsidP="00D24CB9" w:rsidRPr="002016BD">
      <w:pPr>
        <w:spacing w:after="0" w:line="360" w:lineRule="auto"/>
        <w:rPr>
          <w:b/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0C2DD6B1" w14:textId="77777777" w:rsidP="00682B0D" w:rsidRPr="00CE2E1A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 xml:space="preserve">O comércio catarinense representa um dos eixos centrais da economia estadual, caracterizando-se por sua elevada dinâmica e </w:t>
      </w:r>
      <w:r w:rsidRPr="00CE2E1A">
        <w:rPr>
          <w:rFonts w:ascii="Times New Roman" w:cs="Times New Roman" w:eastAsia="Arial" w:hAnsi="Times New Roman"/>
          <w:sz w:val="24"/>
          <w:szCs w:val="24"/>
        </w:rPr>
        <w:t>sensibilidade às oscilações macroeconômicas. Antes da pandemia de Covid-19, o setor já enfrentava desafios cíclicos, determinados por fatores como a renda das famílias, a política monetária e o nível de emprego. A crise sanitária de 2020 intensificou esses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desafios, provocando quedas expressivas no volume de vendas, fechamento temporário de estabelecimentos e mudanças estruturais nos padrões de consumo.</w:t>
      </w:r>
    </w:p>
    <w:p w:rsidR="009F4A22" w:rsidRDefault="001B74D8" w14:paraId="5591F53A" w14:textId="77777777" w:rsidP="00682B0D" w:rsidRPr="00CE2E1A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Contudo, a recuperação do setor não foi homogênea: enquanto algumas atividades conseguiram se adaptar rap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idamente, outras enfrentaram dificuldades prolongadas para retomar seus níveis 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pré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>-pandemia. Esse comportamento desigual levanta questões sobre quais fatores impulsionaram a retomada em determinados segmentos e quais restringiram a recuperação de outros. A</w:t>
      </w:r>
      <w:r w:rsidRPr="00CE2E1A">
        <w:rPr>
          <w:rFonts w:ascii="Times New Roman" w:cs="Times New Roman" w:eastAsia="Arial" w:hAnsi="Times New Roman"/>
          <w:sz w:val="24"/>
          <w:szCs w:val="24"/>
        </w:rPr>
        <w:t>lém disso, o pós-pandemia trouxe novos desafios, como taxas de juros elevadas, inflação moderada e mudanças nos hábitos de consumo, exigindo uma reconfiguração do comércio catarinense diante desse novo cenário econômico.</w:t>
      </w:r>
    </w:p>
    <w:p w:rsidR="00501127" w:rsidRDefault="001B74D8" w14:paraId="272CA3A8" w14:textId="768F22D1" w:rsidP="00682B0D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Este artigo busca analisar a evoluç</w:t>
      </w:r>
      <w:r w:rsidRPr="00CE2E1A">
        <w:rPr>
          <w:rFonts w:ascii="Times New Roman" w:cs="Times New Roman" w:eastAsia="Arial" w:hAnsi="Times New Roman"/>
          <w:sz w:val="24"/>
          <w:szCs w:val="24"/>
        </w:rPr>
        <w:t>ão do comércio catarinense entre os anos de 2020 e 2024, abordando os impactos da pandemia e as dinâmicas do período pós-pandêmico, com base em análises do NECAT-UFSC e dados da Pesquisa Mensal do Comércio (PMC) do IBGE. O estudo examina os efeitos da cris</w:t>
      </w:r>
      <w:r w:rsidRPr="00CE2E1A">
        <w:rPr>
          <w:rFonts w:ascii="Times New Roman" w:cs="Times New Roman" w:eastAsia="Arial" w:hAnsi="Times New Roman"/>
          <w:sz w:val="24"/>
          <w:szCs w:val="24"/>
        </w:rPr>
        <w:t>e sanitária entre 2020 e 2022 (Seção 1) e seus desdobramentos em 2023 e 2024 (Seção 2), apresentando um panorama da adaptação do setor comercial às novas condições econômicas e às tendências que podem influenciar seu desempenho futuro.</w:t>
      </w:r>
    </w:p>
    <w:p w:rsidR="00D24CB9" w:rsidRDefault="00D24CB9" w14:paraId="63714FCE" w14:textId="77777777" w:rsidP="00BD7F45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D24CB9" w:rsidRDefault="00D24CB9" w14:paraId="0D0F6CE1" w14:textId="77777777" w:rsidP="00BD7F45" w:rsidRPr="00CE2E1A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BD7F45" w:rsidRDefault="001B74D8" w14:paraId="08F7E423" w14:textId="28F7CDAF" w:rsidP="00D24CB9">
      <w:pPr>
        <w:jc w:val="both"/>
        <w:spacing w:after="0" w:line="360" w:lineRule="auto"/>
        <w:rPr>
          <w:bCs/>
          <w:b/>
          <w:rFonts w:ascii="Times New Roman" w:cs="Times New Roman" w:eastAsia="Arial" w:hAnsi="Times New Roman"/>
          <w:sz w:val="24"/>
          <w:szCs w:val="24"/>
        </w:rPr>
      </w:pPr>
      <w:proofErr w:type="gramStart"/>
      <w:r w:rsidRPr="00CE2E1A">
        <w:rPr>
          <w:bCs/>
          <w:b/>
          <w:rFonts w:ascii="Times New Roman" w:cs="Times New Roman" w:eastAsia="Arial" w:hAnsi="Times New Roman"/>
          <w:sz w:val="24"/>
          <w:szCs w:val="24"/>
        </w:rPr>
        <w:t>1</w:t>
      </w:r>
      <w:proofErr w:type="gramEnd"/>
      <w:r w:rsidRPr="00CE2E1A">
        <w:rPr>
          <w:bCs/>
          <w:b/>
          <w:rFonts w:ascii="Times New Roman" w:cs="Times New Roman" w:eastAsia="Arial" w:hAnsi="Times New Roman"/>
          <w:sz w:val="24"/>
          <w:szCs w:val="24"/>
        </w:rPr>
        <w:t xml:space="preserve"> BREVES NOTAS SOBRE</w:t>
      </w:r>
      <w:r w:rsidRPr="00CE2E1A">
        <w:rPr>
          <w:bCs/>
          <w:b/>
          <w:rFonts w:ascii="Times New Roman" w:cs="Times New Roman" w:eastAsia="Arial" w:hAnsi="Times New Roman"/>
          <w:sz w:val="24"/>
          <w:szCs w:val="24"/>
        </w:rPr>
        <w:t xml:space="preserve"> O COMÉRCIO CATARINENSE DURANTE A PANDEMIA: 2020-2022</w:t>
      </w:r>
    </w:p>
    <w:p w:rsidR="00D24CB9" w:rsidRDefault="00D24CB9" w14:paraId="23ED9176" w14:textId="77777777" w:rsidP="00D24CB9">
      <w:pPr>
        <w:jc w:val="both"/>
        <w:spacing w:after="0" w:line="360" w:lineRule="auto"/>
        <w:rPr>
          <w:bCs/>
          <w:b/>
          <w:rFonts w:ascii="Times New Roman" w:cs="Times New Roman" w:eastAsia="Arial" w:hAnsi="Times New Roman"/>
          <w:sz w:val="24"/>
          <w:szCs w:val="24"/>
        </w:rPr>
      </w:pPr>
    </w:p>
    <w:p w:rsidR="00682B0D" w:rsidRDefault="00682B0D" w14:paraId="5C8B8D7D" w14:textId="77777777" w:rsidP="00D24CB9" w:rsidRPr="00CE2E1A">
      <w:pPr>
        <w:jc w:val="both"/>
        <w:spacing w:after="0" w:line="360" w:lineRule="auto"/>
        <w:rPr>
          <w:bCs/>
          <w:b/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1607656E" w14:textId="275EE57D" w:rsidP="00682B0D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A pandemia da Covid-19 (2020-2022) impôs desafios sem precedentes ao comércio catarinense, provocando um choque negativo de demanda devido à restrição de mobilidade e à incerteza econômica devido às res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trições sanitárias impostas em março de 2020. Houve redução acentuada do volume de vendas, sobretudo nos </w:t>
      </w:r>
      <w:r w:rsidRPr="00CE2E1A">
        <w:rPr>
          <w:rFonts w:ascii="Times New Roman" w:cs="Times New Roman" w:eastAsia="Arial" w:hAnsi="Times New Roman"/>
          <w:sz w:val="24"/>
          <w:szCs w:val="24"/>
        </w:rPr>
        <w:t>segmentos dependentes do atendimento presencial, como vestuário, calçados e bens duráveis, enquanto atividades essenciais, como supermercados e farmáci</w:t>
        <w:lastRenderedPageBreak/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as, demonstraram maior resiliência, impulsionadas pela rigidez da demanda por bens de consumo básico. O que se seguiu, portanto, foi uma recuperação heterogênea, que variou conforme as especificidades de cada segmento, relacionadas ao redimensionamento do 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comportamento do consumidor. (Elias, 2020; 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>, 2021; Rosa &amp; Silva, 2021).</w:t>
      </w:r>
    </w:p>
    <w:p w:rsidR="00D24CB9" w:rsidRDefault="00D24CB9" w14:paraId="6D55F790" w14:textId="77777777" w:rsidP="00BD7F45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D24CB9" w:rsidRDefault="00D24CB9" w14:paraId="160733F2" w14:textId="77777777" w:rsidP="00BD7F45" w:rsidRPr="00CE2E1A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34CAF258" w14:textId="6F826A8D" w:rsidP="00D24CB9">
      <w:pPr>
        <w:jc w:val="both"/>
        <w:spacing w:after="0" w:line="360" w:lineRule="auto"/>
        <w:rPr>
          <w:b/>
          <w:rFonts w:ascii="Times New Roman" w:cs="Times New Roman" w:eastAsia="Arial" w:hAnsi="Times New Roman"/>
          <w:sz w:val="24"/>
          <w:szCs w:val="24"/>
        </w:rPr>
      </w:pPr>
      <w:r w:rsidRPr="00CE2E1A">
        <w:rPr>
          <w:b/>
          <w:rFonts w:ascii="Times New Roman" w:cs="Times New Roman" w:eastAsia="Arial" w:hAnsi="Times New Roman"/>
          <w:sz w:val="24"/>
          <w:szCs w:val="24"/>
        </w:rPr>
        <w:t xml:space="preserve">1.1 Os efeitos da pandemia </w:t>
      </w:r>
      <w:r w:rsidR="00135FE4">
        <w:rPr>
          <w:b/>
          <w:rFonts w:ascii="Times New Roman" w:cs="Times New Roman" w:eastAsia="Arial" w:hAnsi="Times New Roman"/>
          <w:sz w:val="24"/>
          <w:szCs w:val="24"/>
        </w:rPr>
        <w:t xml:space="preserve">no comércio catarinense em 2020: </w:t>
      </w:r>
      <w:r w:rsidRPr="00CE2E1A">
        <w:rPr>
          <w:b/>
          <w:rFonts w:ascii="Times New Roman" w:cs="Times New Roman" w:eastAsia="Arial" w:hAnsi="Times New Roman"/>
          <w:sz w:val="24"/>
          <w:szCs w:val="24"/>
        </w:rPr>
        <w:t>queda acentuada e reação sustenta</w:t>
      </w:r>
      <w:r w:rsidR="00135FE4">
        <w:rPr>
          <w:b/>
          <w:rFonts w:ascii="Times New Roman" w:cs="Times New Roman" w:eastAsia="Arial" w:hAnsi="Times New Roman"/>
          <w:sz w:val="24"/>
          <w:szCs w:val="24"/>
        </w:rPr>
        <w:t xml:space="preserve">da nas políticas emergenciais, </w:t>
      </w:r>
      <w:r w:rsidRPr="00CE2E1A">
        <w:rPr>
          <w:b/>
          <w:rFonts w:ascii="Times New Roman" w:cs="Times New Roman" w:eastAsia="Arial" w:hAnsi="Times New Roman"/>
          <w:sz w:val="24"/>
          <w:szCs w:val="24"/>
        </w:rPr>
        <w:t xml:space="preserve">mas diferenciada nos </w:t>
      </w:r>
      <w:proofErr w:type="gramStart"/>
      <w:r w:rsidRPr="00CE2E1A">
        <w:rPr>
          <w:b/>
          <w:rFonts w:ascii="Times New Roman" w:cs="Times New Roman" w:eastAsia="Arial" w:hAnsi="Times New Roman"/>
          <w:sz w:val="24"/>
          <w:szCs w:val="24"/>
        </w:rPr>
        <w:t>segmentos</w:t>
      </w:r>
      <w:proofErr w:type="gramEnd"/>
    </w:p>
    <w:p w:rsidR="00D24CB9" w:rsidRDefault="00D24CB9" w14:paraId="1896F9A9" w14:textId="77777777" w:rsidP="00D24CB9">
      <w:pPr>
        <w:jc w:val="both"/>
        <w:spacing w:after="0" w:line="360" w:lineRule="auto"/>
        <w:rPr>
          <w:b/>
          <w:rFonts w:ascii="Times New Roman" w:cs="Times New Roman" w:eastAsia="Arial" w:hAnsi="Times New Roman"/>
          <w:sz w:val="24"/>
          <w:szCs w:val="24"/>
        </w:rPr>
      </w:pPr>
    </w:p>
    <w:p w:rsidR="00D24CB9" w:rsidRDefault="00D24CB9" w14:paraId="72F48A07" w14:textId="77777777" w:rsidP="00D24CB9" w:rsidRPr="00CE2E1A">
      <w:pPr>
        <w:jc w:val="both"/>
        <w:spacing w:after="0" w:line="360" w:lineRule="auto"/>
        <w:rPr>
          <w:b/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68BFFB73" w14:textId="77777777" w:rsidP="00682B0D" w:rsidRPr="00CE2E1A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 xml:space="preserve">O Gráfico </w:t>
      </w:r>
      <w:proofErr w:type="gramStart"/>
      <w:r w:rsidRPr="00CE2E1A">
        <w:rPr>
          <w:rFonts w:ascii="Times New Roman" w:cs="Times New Roman" w:eastAsia="Arial" w:hAnsi="Times New Roman"/>
          <w:sz w:val="24"/>
          <w:szCs w:val="24"/>
        </w:rPr>
        <w:t>1</w:t>
      </w:r>
      <w:proofErr w:type="gramEnd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 traz a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variação mês/mesmo mês do ano anterior (M/M-12), que permite analisar o impacto da pandemia e a reação de forma clara, comparando o desempenho mês a mês sem perder de vista a sazonalidade do comércio. Ainda, o tipo de índice selecionado foi o Volume de Ve</w:t>
      </w:r>
      <w:r w:rsidRPr="00CE2E1A">
        <w:rPr>
          <w:rFonts w:ascii="Times New Roman" w:cs="Times New Roman" w:eastAsia="Arial" w:hAnsi="Times New Roman"/>
          <w:sz w:val="24"/>
          <w:szCs w:val="24"/>
        </w:rPr>
        <w:t>ndas, que possibilita analisar o impacto da pandemia sobre o consumo real, auxiliando a identificar se a recuperação foi quantitativa ou apenas inflacionária</w:t>
      </w:r>
    </w:p>
    <w:p w:rsidR="009F4A22" w:rsidRDefault="001B74D8" w14:paraId="281E50AE" w14:textId="77777777" w:rsidP="00682B0D" w:rsidRPr="00CE2E1A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A situação do comércio varejista ampliado em março e abril de 2020 foi retração de -12,5% e -19,8% em Santa Catarina, respectivamente, enquanto o Brasil apresentou quedas de -6,4% e -27,4%, reafirmando o impacto imediato e inicial das medidas de isolamento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social adotadas no início da pandemia de COVID-19, conforme demonstram diversas publicações recentes do NECAT (Elias, 2020; 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, 2021; 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Testoni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>, 2024, 2024a, 2024b, 2024c, 2024d, 2024e, 2024f, 2024g; Rosa &amp; Testoni, 2024; Testoni &amp; Ferreira, 2024; Ferr</w:t>
      </w:r>
      <w:r w:rsidRPr="00CE2E1A">
        <w:rPr>
          <w:rFonts w:ascii="Times New Roman" w:cs="Times New Roman" w:eastAsia="Arial" w:hAnsi="Times New Roman"/>
          <w:sz w:val="24"/>
          <w:szCs w:val="24"/>
        </w:rPr>
        <w:t>eira, 2024). Embora abril tenha registrado uma queda menos intensa em SC do que no país, há que se levar em consideração o impacto inicial da pandemia mais forte no estado em março, o que pode ser explicado pela adoção de medidas restritivas mais duras por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parte do governo catarinense ainda em meados de março (Elias, 2020).</w:t>
      </w:r>
    </w:p>
    <w:p w:rsidR="009F4A22" w:rsidRDefault="001B74D8" w14:paraId="2E09FE40" w14:textId="77777777" w:rsidP="00682B0D" w:rsidRPr="00CE2E1A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Setores específicos foram particularmente afetados, tanto em nível estadual quanto nacional: Livros, jornais e papelaria (SC: -73,9% | BR: -69%), Equipamentos de escritório e informática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(SC: -55,7% | BR: -28,4%),</w:t>
      </w:r>
      <w:proofErr w:type="gramStart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  </w:t>
      </w:r>
      <w:proofErr w:type="gramEnd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Veículos e peças (SC: -47,3% | BR: -36,2%) e 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e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 Tecidos, vestuário e calçados (SC: -46,7% | BR: -69%) (Elias, 2020). Santa 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Catarina demonstrou maior reação nos meses seguintes, com uma recuperação superior à nacional já em maio </w:t>
        <w:lastRenderedPageBreak/>
      </w:r>
      <w:r w:rsidRPr="00CE2E1A">
        <w:rPr>
          <w:rFonts w:ascii="Times New Roman" w:cs="Times New Roman" w:eastAsia="Arial" w:hAnsi="Times New Roman"/>
          <w:sz w:val="24"/>
          <w:szCs w:val="24"/>
        </w:rPr>
        <w:t>(-3,3% contra -16%) e junho (+9,1% contra -2,3%).</w:t>
      </w:r>
    </w:p>
    <w:p w:rsidR="009F4A22" w:rsidRDefault="001B74D8" w14:paraId="506BAB53" w14:textId="77777777" w:rsidP="00682B0D" w:rsidRPr="00CE2E1A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No segundo semestre de 2020, a recuperação foi expressiva, mas houve uma desaceleração no final do ano. A reabertura gradual da economia e o retorno tímido dos consumidores às lojas físicas permitiram que o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setor superasse o nível 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pré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-pandemia, no entanto, não foi um crescimento sustentado, haja vista a acomodação do setor, e foi de maneira desigual entre os segmentos (Elias, 2020; 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>, 2021). Por um lado</w:t>
      </w:r>
      <w:proofErr w:type="gramStart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  </w:t>
      </w:r>
      <w:proofErr w:type="gramEnd"/>
      <w:r w:rsidRPr="00CE2E1A">
        <w:rPr>
          <w:rFonts w:ascii="Times New Roman" w:cs="Times New Roman" w:eastAsia="Arial" w:hAnsi="Times New Roman"/>
          <w:sz w:val="24"/>
          <w:szCs w:val="24"/>
        </w:rPr>
        <w:t>ocorreu uma redistribuição da demanda entre os s</w:t>
      </w:r>
      <w:r w:rsidRPr="00CE2E1A">
        <w:rPr>
          <w:rFonts w:ascii="Times New Roman" w:cs="Times New Roman" w:eastAsia="Arial" w:hAnsi="Times New Roman"/>
          <w:sz w:val="24"/>
          <w:szCs w:val="24"/>
        </w:rPr>
        <w:t>etores e, por outro, houve um acréscimo da demanda em outros setores (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>, 2021).  Assim, no acumulado do ano, Santa Catarina registrou desempenho superior à média nacional (+5,6% contra +1,2%), mas puxado pelo crescimento de hipermercados, farmácias e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materiais de construção, que compensaram as perdas em segmentos como livros e equipamentos para escritório. (Elias, 2020). </w:t>
      </w:r>
    </w:p>
    <w:p w:rsidR="004101E2" w:rsidRDefault="001B74D8" w14:paraId="5A73D90F" w14:textId="295AF4E2" w:rsidP="00682B0D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Tanto o comércio catarinense quanto o nacional tiveram seu ciclo de reação associado aos programas de apoio aos desempregados e dem</w:t>
      </w:r>
      <w:r w:rsidRPr="00CE2E1A">
        <w:rPr>
          <w:rFonts w:ascii="Times New Roman" w:cs="Times New Roman" w:eastAsia="Arial" w:hAnsi="Times New Roman"/>
          <w:sz w:val="24"/>
          <w:szCs w:val="24"/>
        </w:rPr>
        <w:t>ais consumidores, impulsionado por políticas de estímulo à demanda implementadas pelo governo federal, como o auxílio emergencial, e pela flexibilização das restrições impostas pela pandemia (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, 2021; Rosa &amp; Silva, 2021; 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, 2022; 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Testoni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>, 2024,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2024a, 2024b, 2024c, 2024d, 2024e, 2024f, 2024g; Rosa &amp; Testoni, 2024; Testoni &amp; Ferreira, 2024; Ferreira, 2024)</w:t>
      </w:r>
      <w:r w:rsidRPr="00CE2E1A">
        <w:rPr>
          <w:rFonts w:ascii="Times New Roman" w:cs="Times New Roman" w:eastAsia="Arial" w:hAnsi="Times New Roman"/>
          <w:sz w:val="24"/>
          <w:szCs w:val="24"/>
          <w:vertAlign w:val="superscript"/>
        </w:rPr>
        <w:footnoteReference w:id="1"/>
      </w:r>
      <w:r w:rsidRPr="00CE2E1A">
        <w:rPr>
          <w:rFonts w:ascii="Times New Roman" w:cs="Times New Roman" w:eastAsia="Arial" w:hAnsi="Times New Roman"/>
          <w:sz w:val="24"/>
          <w:szCs w:val="24"/>
        </w:rPr>
        <w:t>. Em Santa Catarina, a retomada foi particularmente intensa, como mostra o Gráfico 1, com crescimento superior à média nacional na maior parte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do segundo semestre. A partir de outubro, contudo, houve uma desaceleração no ritmo de crescimento, embora o volume de vendas tenha se mantido acima dos níveis 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pré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>-pandemia. Assim, a reação foi positiva, mas marcada por oscilações e perda de fôlego nos úl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timos meses de 2020 (Gráfico </w:t>
      </w:r>
      <w:proofErr w:type="gramStart"/>
      <w:r w:rsidRPr="00CE2E1A">
        <w:rPr>
          <w:rFonts w:ascii="Times New Roman" w:cs="Times New Roman" w:eastAsia="Arial" w:hAnsi="Times New Roman"/>
          <w:sz w:val="24"/>
          <w:szCs w:val="24"/>
        </w:rPr>
        <w:t>1</w:t>
      </w:r>
      <w:proofErr w:type="gramEnd"/>
      <w:r w:rsidRPr="00CE2E1A">
        <w:rPr>
          <w:rFonts w:ascii="Times New Roman" w:cs="Times New Roman" w:eastAsia="Arial" w:hAnsi="Times New Roman"/>
          <w:sz w:val="24"/>
          <w:szCs w:val="24"/>
        </w:rPr>
        <w:t>).</w:t>
      </w:r>
    </w:p>
    <w:p w:rsidR="00EC7508" w:rsidRDefault="00EC7508" w14:paraId="1B29E00A" w14:textId="77777777" w:rsidP="00304956">
      <w:pPr>
        <w:jc w:val="both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304956" w:rsidRDefault="00304956" w14:paraId="3AF36035" w14:textId="77777777" w:rsidP="00304956">
      <w:pPr>
        <w:jc w:val="both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53BFC" w:rsidRDefault="00953BFC" w14:paraId="4ABD286B" w14:textId="77777777" w:rsidP="00304956">
      <w:pPr>
        <w:jc w:val="both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53BFC" w:rsidRDefault="00953BFC" w14:paraId="55C45BB9" w14:textId="77777777" w:rsidP="00304956">
      <w:pPr>
        <w:jc w:val="both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53BFC" w:rsidRDefault="00953BFC" w14:paraId="68FFB3A7" w14:textId="77777777" w:rsidP="00304956">
      <w:pPr>
        <w:jc w:val="both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53BFC" w:rsidRDefault="00953BFC" w14:paraId="349BF9A4" w14:textId="77777777" w:rsidP="00304956" w:rsidRPr="00CE2E1A">
      <w:pPr>
        <w:jc w:val="both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05799738" w14:textId="77777777" w:rsidP="005B1184" w:rsidRPr="00044686">
      <w:pPr>
        <w:jc w:val="center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bCs/>
          <w:b/>
          <w:rFonts w:ascii="Times New Roman" w:cs="Times New Roman" w:eastAsia="Arial" w:hAnsi="Times New Roman"/>
          <w:sz w:val="24"/>
          <w:szCs w:val="24"/>
        </w:rPr>
        <w:t xml:space="preserve">Gráfico </w:t>
        <w:lastRenderedPageBreak/>
      </w:r>
      <w:proofErr w:type="gramStart"/>
      <w:r w:rsidRPr="00CE2E1A">
        <w:rPr>
          <w:bCs/>
          <w:b/>
          <w:rFonts w:ascii="Times New Roman" w:cs="Times New Roman" w:eastAsia="Arial" w:hAnsi="Times New Roman"/>
          <w:sz w:val="24"/>
          <w:szCs w:val="24"/>
        </w:rPr>
        <w:t>1</w:t>
      </w:r>
      <w:proofErr w:type="gramEnd"/>
      <w:r w:rsidRPr="00CE2E1A">
        <w:rPr>
          <w:bCs/>
          <w:b/>
          <w:rFonts w:ascii="Times New Roman" w:cs="Times New Roman" w:eastAsia="Arial" w:hAnsi="Times New Roman"/>
          <w:sz w:val="24"/>
          <w:szCs w:val="24"/>
        </w:rPr>
        <w:t xml:space="preserve">: </w:t>
      </w:r>
      <w:r w:rsidRPr="00044686">
        <w:rPr>
          <w:rFonts w:ascii="Times New Roman" w:cs="Times New Roman" w:eastAsia="Arial" w:hAnsi="Times New Roman"/>
          <w:sz w:val="24"/>
          <w:szCs w:val="24"/>
        </w:rPr>
        <w:t>Variação MM-12 (%) do Volume de Vendas do Comércio Varejista Ampliado durante a Pandemia do Covid-19, 2020-2022, Brasil e Santa Catarina (2022 = base 100).</w:t>
      </w:r>
    </w:p>
    <w:p w:rsidR="009F4A22" w:rsidRDefault="001B74D8" w14:paraId="24AAF49F" w14:textId="77777777" w:rsidP="00BD7F45" w:rsidRPr="00CE2E1A">
      <w:pPr>
        <w:jc w:val="center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noProof/>
        </w:rPr>
        <w:drawing>
          <wp:inline distB="114300" distL="114300" distR="114300" distT="114300" wp14:anchorId="5A9B2AFD" wp14:editId="1390AD5B">
            <wp:extent cx="4523740" cy="1924050"/>
            <wp:effectExtent l="0" t="0" r="0" b="0"/>
            <wp:docPr id="165755852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2583" cy="1923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F4A22" w:rsidRDefault="001B74D8" w14:paraId="709A2B21" w14:textId="662ECE9C" w:rsidP="00BD7F45">
      <w:pPr>
        <w:jc w:val="center"/>
        <w:spacing w:line="360" w:lineRule="auto"/>
        <w:rPr>
          <w:rFonts w:ascii="Times New Roman" w:cs="Times New Roman" w:eastAsia="Arial" w:hAnsi="Times New Roman"/>
          <w:sz w:val="20"/>
          <w:szCs w:val="20"/>
        </w:rPr>
      </w:pPr>
      <w:r w:rsidRPr="00CE2E1A">
        <w:rPr>
          <w:rFonts w:ascii="Times New Roman" w:cs="Times New Roman" w:eastAsia="Arial" w:hAnsi="Times New Roman"/>
          <w:sz w:val="20"/>
          <w:szCs w:val="20"/>
        </w:rPr>
        <w:t>Fonte: PMC-IBGE. Elaboração: NECAT/UFSC.</w:t>
      </w:r>
    </w:p>
    <w:p w:rsidR="00D24CB9" w:rsidRDefault="00D24CB9" w14:paraId="11E0F527" w14:textId="77777777" w:rsidP="00304956">
      <w:pPr>
        <w:spacing w:line="360" w:lineRule="auto"/>
        <w:rPr>
          <w:rFonts w:ascii="Times New Roman" w:cs="Times New Roman" w:eastAsia="Arial" w:hAnsi="Times New Roman"/>
          <w:sz w:val="20"/>
          <w:szCs w:val="20"/>
        </w:rPr>
      </w:pPr>
    </w:p>
    <w:p w:rsidR="00953BFC" w:rsidRDefault="00953BFC" w14:paraId="5EC4D89A" w14:textId="77777777" w:rsidP="00304956" w:rsidRPr="00CE2E1A">
      <w:pPr>
        <w:spacing w:line="360" w:lineRule="auto"/>
        <w:rPr>
          <w:rFonts w:ascii="Times New Roman" w:cs="Times New Roman" w:eastAsia="Arial" w:hAnsi="Times New Roman"/>
          <w:sz w:val="20"/>
          <w:szCs w:val="20"/>
        </w:rPr>
      </w:pPr>
    </w:p>
    <w:p w:rsidR="009F4A22" w:rsidRDefault="001B74D8" w14:paraId="65758E91" w14:textId="77777777" w:rsidP="00682B0D" w:rsidRPr="00CE2E1A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 xml:space="preserve">O Gráfico </w:t>
      </w:r>
      <w:proofErr w:type="gramStart"/>
      <w:r w:rsidRPr="00CE2E1A">
        <w:rPr>
          <w:rFonts w:ascii="Times New Roman" w:cs="Times New Roman" w:eastAsia="Arial" w:hAnsi="Times New Roman"/>
          <w:sz w:val="24"/>
          <w:szCs w:val="24"/>
        </w:rPr>
        <w:t>2</w:t>
      </w:r>
      <w:proofErr w:type="gramEnd"/>
      <w:r w:rsidRPr="00CE2E1A">
        <w:rPr>
          <w:rFonts w:ascii="Times New Roman" w:cs="Times New Roman" w:eastAsia="Arial" w:hAnsi="Times New Roman"/>
          <w:sz w:val="24"/>
          <w:szCs w:val="24"/>
        </w:rPr>
        <w:t>, que traz o índice do volume de vendas do comércio varejista ampliado no mês/mesmo mês do ano anterior (M/M-12), permite analisar o impacto da pandemia sobre o consumo real, ajudando a identificar se a recuperação foi quantitativa ou apenas inf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lacionária. Também são confirmados os impactos da pandemia e as reações imediatas, especialmente os efeitos da adoção e a posterior retirada de políticas de estímulo à demanda a partir de 2021. </w:t>
      </w:r>
    </w:p>
    <w:p w:rsidR="00D24CB9" w:rsidRDefault="001B74D8" w14:paraId="11647065" w14:textId="70BFE327" w:rsidP="00682B0D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Em abril de 2020, com o choque da pandemia, o volume de venda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s em SC caiu para 66,9 pontos, enquanto o Brasil chegou a 67,3, refletindo as restrições sanitárias. O comércio nacional superou seu nível 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pré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>-pandemia em agosto de 2020 (102,8), enquanto SC alcançou marca semelhante apenas em outubro (102,2). E os fechame</w:t>
      </w:r>
      <w:r w:rsidRPr="00CE2E1A">
        <w:rPr>
          <w:rFonts w:ascii="Times New Roman" w:cs="Times New Roman" w:eastAsia="Arial" w:hAnsi="Times New Roman"/>
          <w:sz w:val="24"/>
          <w:szCs w:val="24"/>
        </w:rPr>
        <w:t>ntos do volume de vendas foram expressivos, de 111,16 no estado e 120,75 no Brasil.</w:t>
      </w:r>
    </w:p>
    <w:p w:rsidR="00EC7508" w:rsidRDefault="00EC7508" w14:paraId="10ED5B0D" w14:textId="77777777" w:rsidP="00304956">
      <w:pPr>
        <w:jc w:val="both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304956" w:rsidRDefault="00304956" w14:paraId="25BE9BA9" w14:textId="77777777" w:rsidP="00304956">
      <w:pPr>
        <w:jc w:val="both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53BFC" w:rsidRDefault="00953BFC" w14:paraId="40B6657C" w14:textId="77777777" w:rsidP="00304956">
      <w:pPr>
        <w:jc w:val="both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53BFC" w:rsidRDefault="00953BFC" w14:paraId="30602236" w14:textId="77777777" w:rsidP="00304956">
      <w:pPr>
        <w:jc w:val="both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53BFC" w:rsidRDefault="00953BFC" w14:paraId="730D3520" w14:textId="77777777" w:rsidP="00304956">
      <w:pPr>
        <w:jc w:val="both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53BFC" w:rsidRDefault="00953BFC" w14:paraId="5CBBFFB7" w14:textId="77777777" w:rsidP="00304956">
      <w:pPr>
        <w:jc w:val="both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53BFC" w:rsidRDefault="00953BFC" w14:paraId="334DE952" w14:textId="77777777" w:rsidP="00304956" w:rsidRPr="00CE2E1A">
      <w:pPr>
        <w:jc w:val="both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2EDB6276" w14:textId="77777777" w:rsidP="00D24CB9" w:rsidRPr="00CE2E1A">
      <w:pPr>
        <w:jc w:val="center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044686">
        <w:rPr>
          <w:bCs/>
          <w:b/>
          <w:rFonts w:ascii="Times New Roman" w:cs="Times New Roman" w:eastAsia="Arial" w:hAnsi="Times New Roman"/>
          <w:sz w:val="24"/>
          <w:szCs w:val="24"/>
        </w:rPr>
        <w:t xml:space="preserve">Gráfico </w:t>
        <w:lastRenderedPageBreak/>
      </w:r>
      <w:proofErr w:type="gramStart"/>
      <w:r w:rsidRPr="00044686">
        <w:rPr>
          <w:bCs/>
          <w:b/>
          <w:rFonts w:ascii="Times New Roman" w:cs="Times New Roman" w:eastAsia="Arial" w:hAnsi="Times New Roman"/>
          <w:sz w:val="24"/>
          <w:szCs w:val="24"/>
        </w:rPr>
        <w:t>2</w:t>
      </w:r>
      <w:proofErr w:type="gramEnd"/>
      <w:r w:rsidRPr="00CE2E1A">
        <w:rPr>
          <w:rFonts w:ascii="Times New Roman" w:cs="Times New Roman" w:eastAsia="Arial" w:hAnsi="Times New Roman"/>
          <w:sz w:val="24"/>
          <w:szCs w:val="24"/>
        </w:rPr>
        <w:t>: Índice de Volume de Vendas (MM-12 %) no Comércio Varejista Ampliado, 2020-2022, Brasil e Santa Catarina (2022= base 100).</w:t>
      </w:r>
    </w:p>
    <w:p w:rsidR="009F4A22" w:rsidRDefault="001B74D8" w14:paraId="315D1CCA" w14:textId="77777777" w:rsidP="00BD7F45" w:rsidRPr="00CE2E1A">
      <w:pPr>
        <w:jc w:val="center"/>
        <w:spacing w:after="0" w:line="360" w:lineRule="auto"/>
        <w:rPr>
          <w:rFonts w:ascii="Times New Roman" w:cs="Times New Roman" w:hAnsi="Times New Roman"/>
          <w:sz w:val="24"/>
          <w:szCs w:val="24"/>
        </w:rPr>
      </w:pPr>
      <w:r>
        <w:rPr>
          <w:noProof/>
        </w:rPr>
        <w:drawing>
          <wp:inline distB="114300" distL="114300" distR="114300" distT="114300" wp14:anchorId="0D56E8F1" wp14:editId="5A33290F">
            <wp:extent cx="5399405" cy="2705100"/>
            <wp:effectExtent l="0" t="0" r="0" b="0"/>
            <wp:docPr id="165755852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F4A22" w:rsidRDefault="001B74D8" w14:paraId="430CA7CB" w14:textId="72722C75" w:rsidP="00BD7F45">
      <w:pPr>
        <w:jc w:val="center"/>
        <w:spacing w:line="360" w:lineRule="auto"/>
        <w:rPr>
          <w:rFonts w:ascii="Times New Roman" w:cs="Times New Roman" w:eastAsia="Arial" w:hAnsi="Times New Roman"/>
          <w:sz w:val="20"/>
          <w:szCs w:val="20"/>
        </w:rPr>
      </w:pPr>
      <w:r w:rsidRPr="00044686">
        <w:rPr>
          <w:rFonts w:ascii="Times New Roman" w:cs="Times New Roman" w:eastAsia="Arial" w:hAnsi="Times New Roman"/>
          <w:sz w:val="20"/>
          <w:szCs w:val="20"/>
        </w:rPr>
        <w:t xml:space="preserve">Fonte: PMC-IBGE. Elaboração: </w:t>
      </w:r>
      <w:r w:rsidRPr="00044686">
        <w:rPr>
          <w:rFonts w:ascii="Times New Roman" w:cs="Times New Roman" w:eastAsia="Arial" w:hAnsi="Times New Roman"/>
          <w:sz w:val="20"/>
          <w:szCs w:val="20"/>
        </w:rPr>
        <w:t>NECAT/UFSC.</w:t>
      </w:r>
    </w:p>
    <w:p w:rsidR="00D24CB9" w:rsidRDefault="00D24CB9" w14:paraId="55389BAC" w14:textId="77777777" w:rsidP="00BD7F45">
      <w:pPr>
        <w:jc w:val="center"/>
        <w:spacing w:line="360" w:lineRule="auto"/>
        <w:rPr>
          <w:rFonts w:ascii="Times New Roman" w:cs="Times New Roman" w:eastAsia="Arial" w:hAnsi="Times New Roman"/>
          <w:sz w:val="20"/>
          <w:szCs w:val="20"/>
        </w:rPr>
      </w:pPr>
    </w:p>
    <w:p w:rsidR="00D24CB9" w:rsidRDefault="00D24CB9" w14:paraId="77B8EC2C" w14:textId="77777777" w:rsidP="00BD7F45" w:rsidRPr="00044686">
      <w:pPr>
        <w:jc w:val="center"/>
        <w:spacing w:line="360" w:lineRule="auto"/>
        <w:rPr>
          <w:rFonts w:ascii="Times New Roman" w:cs="Times New Roman" w:eastAsia="Arial" w:hAnsi="Times New Roman"/>
          <w:sz w:val="20"/>
          <w:szCs w:val="20"/>
        </w:rPr>
      </w:pPr>
    </w:p>
    <w:p w:rsidR="009F4A22" w:rsidRDefault="001B74D8" w14:paraId="578DFC1F" w14:textId="77777777" w:rsidP="00D24CB9">
      <w:pPr>
        <w:jc w:val="both"/>
        <w:spacing w:after="0" w:line="360" w:lineRule="auto"/>
        <w:rPr>
          <w:b/>
          <w:rFonts w:ascii="Times New Roman" w:cs="Times New Roman" w:eastAsia="Arial" w:hAnsi="Times New Roman"/>
          <w:sz w:val="24"/>
          <w:szCs w:val="24"/>
        </w:rPr>
      </w:pPr>
      <w:r w:rsidRPr="00CE2E1A">
        <w:rPr>
          <w:b/>
          <w:rFonts w:ascii="Times New Roman" w:cs="Times New Roman" w:eastAsia="Arial" w:hAnsi="Times New Roman"/>
          <w:sz w:val="24"/>
          <w:szCs w:val="24"/>
        </w:rPr>
        <w:t xml:space="preserve">1.2 A recuperação tímida durante a pandemia: instabilidade em 2021 e crescimento com freios em 2022 </w:t>
      </w:r>
    </w:p>
    <w:p w:rsidR="00D24CB9" w:rsidRDefault="00D24CB9" w14:paraId="687CADD9" w14:textId="77777777" w:rsidP="00D24CB9">
      <w:pPr>
        <w:jc w:val="both"/>
        <w:spacing w:after="0" w:line="360" w:lineRule="auto"/>
        <w:rPr>
          <w:b/>
          <w:rFonts w:ascii="Times New Roman" w:cs="Times New Roman" w:eastAsia="Arial" w:hAnsi="Times New Roman"/>
          <w:sz w:val="24"/>
          <w:szCs w:val="24"/>
        </w:rPr>
      </w:pPr>
    </w:p>
    <w:p w:rsidR="00D24CB9" w:rsidRDefault="00D24CB9" w14:paraId="12264ADB" w14:textId="77777777" w:rsidP="00D24CB9" w:rsidRPr="00CE2E1A">
      <w:pPr>
        <w:jc w:val="both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7D0E283F" w14:textId="77777777" w:rsidP="00682B0D" w:rsidRPr="00CE2E1A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 xml:space="preserve">A evolução do comércio catarinense ao longo dos anos seguintes, 2022 e 2023, demonstrada pelos dados dos Gráficos </w:t>
      </w:r>
      <w:proofErr w:type="gramStart"/>
      <w:r w:rsidRPr="00CE2E1A">
        <w:rPr>
          <w:rFonts w:ascii="Times New Roman" w:cs="Times New Roman" w:eastAsia="Arial" w:hAnsi="Times New Roman"/>
          <w:sz w:val="24"/>
          <w:szCs w:val="24"/>
        </w:rPr>
        <w:t>1</w:t>
      </w:r>
      <w:proofErr w:type="gramEnd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 e 2, afirma uma recuperação importante, embora tímida, e com oscilações ao longo do período, desempenho que reflete tanto a resiliência econ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ômica local ao contexto macroeconômico adverso quanto fatores estruturais locais como a diversificação da atividade produtiva e a rápida adaptação do comércio ao ambiente digital. </w:t>
      </w:r>
    </w:p>
    <w:p w:rsidR="009F4A22" w:rsidRDefault="001B74D8" w14:paraId="3F725DD5" w14:textId="239402C8" w:rsidP="00682B0D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As principais observações são as seguintes.</w:t>
      </w:r>
    </w:p>
    <w:p w:rsidR="00D24CB9" w:rsidRDefault="00D24CB9" w14:paraId="09061D5E" w14:textId="77777777" w:rsidP="00BD7F45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D24CB9" w:rsidRDefault="00D24CB9" w14:paraId="4AA165F5" w14:textId="77777777" w:rsidP="00BD7F45" w:rsidRPr="00044686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4030815B" w14:textId="38F30A91" w:rsidP="00D24CB9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after="0" w:line="360" w:lineRule="auto"/>
        <w:rPr>
          <w:color w:val="000000"/>
          <w:rFonts w:ascii="Times New Roman" w:cs="Times New Roman" w:eastAsia="Arial" w:hAnsi="Times New Roman"/>
          <w:sz w:val="24"/>
          <w:szCs w:val="24"/>
        </w:rPr>
      </w:pPr>
      <w:r w:rsidRPr="00CE2E1A">
        <w:rPr>
          <w:b/>
          <w:color w:val="000000"/>
          <w:rFonts w:ascii="Times New Roman" w:cs="Times New Roman" w:eastAsia="Arial" w:hAnsi="Times New Roman"/>
          <w:sz w:val="24"/>
          <w:szCs w:val="24"/>
        </w:rPr>
        <w:t>2021 como ano de forte reação p</w:t>
      </w:r>
      <w:r w:rsidRPr="00CE2E1A">
        <w:rPr>
          <w:b/>
          <w:color w:val="000000"/>
          <w:rFonts w:ascii="Times New Roman" w:cs="Times New Roman" w:eastAsia="Arial" w:hAnsi="Times New Roman"/>
          <w:sz w:val="24"/>
          <w:szCs w:val="24"/>
        </w:rPr>
        <w:t xml:space="preserve">ositiva, mas </w:t>
      </w:r>
      <w:r w:rsidRPr="00CE2E1A">
        <w:rPr>
          <w:b/>
          <w:rFonts w:ascii="Times New Roman" w:cs="Times New Roman" w:eastAsia="Arial" w:hAnsi="Times New Roman"/>
          <w:sz w:val="24"/>
          <w:szCs w:val="24"/>
        </w:rPr>
        <w:t xml:space="preserve">de </w:t>
      </w:r>
      <w:r w:rsidRPr="00CE2E1A">
        <w:rPr>
          <w:b/>
          <w:color w:val="000000"/>
          <w:rFonts w:ascii="Times New Roman" w:cs="Times New Roman" w:eastAsia="Arial" w:hAnsi="Times New Roman"/>
          <w:sz w:val="24"/>
          <w:szCs w:val="24"/>
        </w:rPr>
        <w:t xml:space="preserve">fortes </w:t>
      </w:r>
      <w:proofErr w:type="gramStart"/>
      <w:r w:rsidRPr="00CE2E1A">
        <w:rPr>
          <w:b/>
          <w:color w:val="000000"/>
          <w:rFonts w:ascii="Times New Roman" w:cs="Times New Roman" w:eastAsia="Arial" w:hAnsi="Times New Roman"/>
          <w:sz w:val="24"/>
          <w:szCs w:val="24"/>
        </w:rPr>
        <w:t>oscilações</w:t>
      </w:r>
      <w:proofErr w:type="gramEnd"/>
      <w:r w:rsidRPr="00CE2E1A">
        <w:rPr>
          <w:color w:val="000000"/>
          <w:rFonts w:ascii="Times New Roman" w:cs="Times New Roman" w:eastAsia="Arial" w:hAnsi="Times New Roman"/>
          <w:sz w:val="24"/>
          <w:szCs w:val="24"/>
        </w:rPr>
        <w:t xml:space="preserve"> </w:t>
      </w:r>
    </w:p>
    <w:p w:rsidR="00D24CB9" w:rsidRDefault="00D24CB9" w14:paraId="2CD1346F" w14:textId="77777777" w:rsidP="00D24CB9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after="0" w:line="360" w:lineRule="auto"/>
        <w:rPr>
          <w:color w:val="000000"/>
          <w:rFonts w:ascii="Times New Roman" w:cs="Times New Roman" w:eastAsia="Arial" w:hAnsi="Times New Roman"/>
          <w:sz w:val="24"/>
          <w:szCs w:val="24"/>
        </w:rPr>
      </w:pPr>
    </w:p>
    <w:p w:rsidR="00D24CB9" w:rsidRDefault="00D24CB9" w14:paraId="70D5444A" w14:textId="77777777" w:rsidP="00D24CB9" w:rsidRPr="00044686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after="0" w:line="360" w:lineRule="auto"/>
        <w:rPr>
          <w:color w:val="000000"/>
          <w:rFonts w:ascii="Times New Roman" w:cs="Times New Roman" w:eastAsia="Arial" w:hAnsi="Times New Roman"/>
          <w:sz w:val="24"/>
          <w:szCs w:val="24"/>
        </w:rPr>
      </w:pPr>
    </w:p>
    <w:p w:rsidR="009F4A22" w:rsidRDefault="00501127" w14:paraId="1FDF4EE3" w14:textId="300F7183" w:rsidP="00682B0D" w:rsidRPr="00CE2E1A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Em 2021 </w:t>
        <w:lastRenderedPageBreak/>
      </w:r>
      <w:r w:rsidR="001B74D8" w:rsidRPr="00CE2E1A">
        <w:rPr>
          <w:rFonts w:ascii="Times New Roman" w:cs="Times New Roman" w:eastAsia="Arial" w:hAnsi="Times New Roman"/>
          <w:sz w:val="24"/>
          <w:szCs w:val="24"/>
        </w:rPr>
        <w:t>houve uma trajetória de expansão vacilante entre quedas e altas no volume de vendas (</w:t>
      </w:r>
      <w:proofErr w:type="spellStart"/>
      <w:r w:rsidR="001B74D8"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="001B74D8" w:rsidRPr="00CE2E1A">
        <w:rPr>
          <w:rFonts w:ascii="Times New Roman" w:cs="Times New Roman" w:eastAsia="Arial" w:hAnsi="Times New Roman"/>
          <w:sz w:val="24"/>
          <w:szCs w:val="24"/>
        </w:rPr>
        <w:t>, 2021). No primeiro semestre, o comércio catarinense apresentou uma recuperação expressiva, impulsionada pela vacinação</w:t>
      </w:r>
      <w:r w:rsidR="001B74D8" w:rsidRPr="00CE2E1A">
        <w:rPr>
          <w:rFonts w:ascii="Times New Roman" w:cs="Times New Roman" w:eastAsia="Arial" w:hAnsi="Times New Roman"/>
          <w:sz w:val="24"/>
          <w:szCs w:val="24"/>
        </w:rPr>
        <w:t xml:space="preserve"> e pelo retorno gradual do consumo presencial (Rosa &amp; Silva, 2021). Houve picos de crescimento em março (+26%), abril (+36,1%) e maio (+17,5%), acompanhando a tendência nacional (+9,8% em março, +40,9% em abril e +26,3% em maio) (Gráfico 1), refletindo, a </w:t>
      </w:r>
      <w:r w:rsidR="001B74D8" w:rsidRPr="00CE2E1A">
        <w:rPr>
          <w:rFonts w:ascii="Times New Roman" w:cs="Times New Roman" w:eastAsia="Arial" w:hAnsi="Times New Roman"/>
          <w:sz w:val="24"/>
          <w:szCs w:val="24"/>
        </w:rPr>
        <w:t>base de comparação baixa de 2020 (</w:t>
      </w:r>
      <w:proofErr w:type="spellStart"/>
      <w:r w:rsidR="001B74D8"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="001B74D8" w:rsidRPr="00CE2E1A">
        <w:rPr>
          <w:rFonts w:ascii="Times New Roman" w:cs="Times New Roman" w:eastAsia="Arial" w:hAnsi="Times New Roman"/>
          <w:sz w:val="24"/>
          <w:szCs w:val="24"/>
        </w:rPr>
        <w:t xml:space="preserve">, 2021) e os efeitos residuais do auxílio emergencial (Rosa &amp; Silva, 2021).  </w:t>
      </w:r>
    </w:p>
    <w:p w:rsidR="009F4A22" w:rsidRDefault="001B74D8" w14:paraId="54E2113D" w14:textId="77777777" w:rsidP="00682B0D" w:rsidRPr="00CE2E1A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De outro lado, no segundo semestre de 2021, observou-se uma desaceleração no comércio catarinense, caracterizada por variações mensais in</w:t>
      </w:r>
      <w:r w:rsidRPr="00CE2E1A">
        <w:rPr>
          <w:rFonts w:ascii="Times New Roman" w:cs="Times New Roman" w:eastAsia="Arial" w:hAnsi="Times New Roman"/>
          <w:sz w:val="24"/>
          <w:szCs w:val="24"/>
        </w:rPr>
        <w:t>stáveis e desempenho inferior ao observado na primeira metade do ano, dificultando a sustentação da recuperação (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, 2021). Conforme o Gráfico 1 foram registrados os maiores níveis negativos em outubro (-3,7 em SC contra -7 no Brasil). </w:t>
      </w:r>
    </w:p>
    <w:p w:rsidR="009F4A22" w:rsidRDefault="001B74D8" w14:paraId="7FBC2287" w14:textId="77777777" w:rsidP="00682B0D" w:rsidRPr="00CE2E1A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Com relação ao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índice do volume de vendas (Gráfico 2), a trajetória de recuperação do comércio catarinense foi de oscilações, acompanhando o cenário nacional, refletindo a vacinação e a reabertura econômica. Em julho, SC superou o Brasil (109,3 vs. 107,0), picos que pod</w:t>
      </w:r>
      <w:r w:rsidRPr="00CE2E1A">
        <w:rPr>
          <w:rFonts w:ascii="Times New Roman" w:cs="Times New Roman" w:eastAsia="Arial" w:hAnsi="Times New Roman"/>
          <w:sz w:val="24"/>
          <w:szCs w:val="24"/>
        </w:rPr>
        <w:t>em estar associados ao avanço da vacinação, à flexibilização das restrições e ao aumento da demanda por bens duráveis (Rosa &amp; Silva, 2021). No final do ano, em novembro e dezembro de 2021, observa-se a melhora do setor comercial catarinense e nacional (SC: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105,45 e 114,28 vs. Brasil: 106,34 e 117,47, respectivamente), indicando um aquecimento generalizado do comércio varejista ampliado, associado à uma melhora do mercado de trabalho e ao desempenho de materiais de construção e automóveis (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>, 2022). No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entanto, a oscilação no estado foi mais forte do que no Brasil, considerando o tamanho e particularidades regionais.</w:t>
      </w:r>
    </w:p>
    <w:p w:rsidR="009F4A22" w:rsidRDefault="001B74D8" w14:paraId="6F859F48" w14:textId="77777777" w:rsidP="00682B0D" w:rsidRPr="00CE2E1A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 (2022) também levantou que, no acumulado, o volume de vendas em Santa Catarina encerrou 2021 com alta de 8,6%, superando a média n</w:t>
      </w:r>
      <w:r w:rsidRPr="00CE2E1A">
        <w:rPr>
          <w:rFonts w:ascii="Times New Roman" w:cs="Times New Roman" w:eastAsia="Arial" w:hAnsi="Times New Roman"/>
          <w:sz w:val="24"/>
          <w:szCs w:val="24"/>
        </w:rPr>
        <w:t>acional de 4,5%, mas que esse desempenho foi desigual ao longo do período: no primeiro semestre, o estado registrou um avanço de 12,7%, enquanto no segundo semestre houve desaceleração, resultando em uma retração de -1,7%, refletindo o impacto de variáveis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econômicas adversas como elevação da inflação, retração do consumo e o aumento do custo do crédito, além do fim da política de estímulos à demanda. O desempenho das atividades do comércio em 2021 também foi desigual. Enquanto veículos (+26%) e materiais d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e construção cresceram, móveis e eletrodomésticos retraíram (-9,5%), 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impactados pela queda da renda e pelo alto custo do crédito (Rosa &amp; Silva, 2021; </w:t>
        <w:lastRenderedPageBreak/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>, 2022).</w:t>
      </w:r>
    </w:p>
    <w:p w:rsidR="009F4A22" w:rsidRDefault="001B74D8" w14:paraId="52C58BA2" w14:textId="2AE47B11" w:rsidP="00682B0D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Portanto, embora o comércio catarinense tenha encerrado 2021 com um saldo positivo, os dad</w:t>
      </w:r>
      <w:r w:rsidRPr="00CE2E1A">
        <w:rPr>
          <w:rFonts w:ascii="Times New Roman" w:cs="Times New Roman" w:eastAsia="Arial" w:hAnsi="Times New Roman"/>
          <w:sz w:val="24"/>
          <w:szCs w:val="24"/>
        </w:rPr>
        <w:t>os indicam que a trajetória foi marcada por desafios e instabilidades, refletindo não apenas a recuperação pós-pandemia, mas também os impactos das condições macroeconômicas sobre o consumo e a atividade comercial, com o primeiro semestre positivo e o segu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ndo, negativo, além de desequilíbrios </w:t>
      </w:r>
      <w:proofErr w:type="gramStart"/>
      <w:r w:rsidRPr="00CE2E1A">
        <w:rPr>
          <w:rFonts w:ascii="Times New Roman" w:cs="Times New Roman" w:eastAsia="Arial" w:hAnsi="Times New Roman"/>
          <w:sz w:val="24"/>
          <w:szCs w:val="24"/>
        </w:rPr>
        <w:t>no desempenhos</w:t>
      </w:r>
      <w:proofErr w:type="gramEnd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 das atividades.</w:t>
      </w:r>
    </w:p>
    <w:p w:rsidR="00D24CB9" w:rsidRDefault="00D24CB9" w14:paraId="41234545" w14:textId="77777777" w:rsidP="00BD7F45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D24CB9" w:rsidRDefault="00D24CB9" w14:paraId="0125425C" w14:textId="77777777" w:rsidP="00BD7F45" w:rsidRPr="00CE2E1A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0495D58B" w14:textId="71ABDC38" w:rsidP="00D24CB9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after="0" w:line="360" w:lineRule="auto"/>
        <w:rPr>
          <w:color w:val="000000"/>
          <w:rFonts w:ascii="Times New Roman" w:cs="Times New Roman" w:eastAsia="Arial" w:hAnsi="Times New Roman"/>
          <w:sz w:val="24"/>
          <w:szCs w:val="24"/>
        </w:rPr>
      </w:pPr>
      <w:r w:rsidRPr="00CE2E1A">
        <w:rPr>
          <w:b/>
          <w:color w:val="000000"/>
          <w:rFonts w:ascii="Times New Roman" w:cs="Times New Roman" w:eastAsia="Arial" w:hAnsi="Times New Roman"/>
          <w:sz w:val="24"/>
          <w:szCs w:val="24"/>
        </w:rPr>
        <w:t>Desaceleração gradual em 2022</w:t>
      </w:r>
      <w:r w:rsidRPr="00CE2E1A">
        <w:rPr>
          <w:color w:val="000000"/>
          <w:rFonts w:ascii="Times New Roman" w:cs="Times New Roman" w:eastAsia="Arial" w:hAnsi="Times New Roman"/>
          <w:sz w:val="24"/>
          <w:szCs w:val="24"/>
        </w:rPr>
        <w:t xml:space="preserve"> </w:t>
      </w:r>
    </w:p>
    <w:p w:rsidR="00D24CB9" w:rsidRDefault="00D24CB9" w14:paraId="0D6F722E" w14:textId="77777777" w:rsidP="00D24CB9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after="0" w:line="360" w:lineRule="auto"/>
        <w:rPr>
          <w:color w:val="000000"/>
          <w:rFonts w:ascii="Times New Roman" w:cs="Times New Roman" w:eastAsia="Arial" w:hAnsi="Times New Roman"/>
          <w:sz w:val="24"/>
          <w:szCs w:val="24"/>
        </w:rPr>
      </w:pPr>
    </w:p>
    <w:p w:rsidR="00D24CB9" w:rsidRDefault="00D24CB9" w14:paraId="077C0F61" w14:textId="77777777" w:rsidP="00D24CB9" w:rsidRPr="00044686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spacing w:after="0" w:line="360" w:lineRule="auto"/>
        <w:rPr>
          <w:color w:val="000000"/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032DFB42" w14:textId="77777777" w:rsidP="00682B0D" w:rsidRPr="00CE2E1A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Em 2022, o comércio catarinense desacelerou, acompanhando a tendência nacional, devido à alta dos juros, à retirada de estímulos econômicos e à recuperação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lenta do mercado de trabalho (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 2022b, 2022c, </w:t>
      </w:r>
      <w:proofErr w:type="gramStart"/>
      <w:r w:rsidRPr="00CE2E1A">
        <w:rPr>
          <w:rFonts w:ascii="Times New Roman" w:cs="Times New Roman" w:eastAsia="Arial" w:hAnsi="Times New Roman"/>
          <w:sz w:val="24"/>
          <w:szCs w:val="24"/>
        </w:rPr>
        <w:t>2022d</w:t>
      </w:r>
      <w:proofErr w:type="gramEnd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, 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 &amp; Rosa, 2023). Em julho, SC registrou queda de -8%, indicando menor dinamismo no setor (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>, 2022b).</w:t>
      </w:r>
    </w:p>
    <w:p w:rsidR="009F4A22" w:rsidRDefault="001B74D8" w14:paraId="160CCA94" w14:textId="77777777" w:rsidP="00682B0D" w:rsidRPr="00CE2E1A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O comércio catarinense entrou em uma fase de acomodação, com oscilações e crescimen</w:t>
      </w:r>
      <w:r w:rsidRPr="00CE2E1A">
        <w:rPr>
          <w:rFonts w:ascii="Times New Roman" w:cs="Times New Roman" w:eastAsia="Arial" w:hAnsi="Times New Roman"/>
          <w:sz w:val="24"/>
          <w:szCs w:val="24"/>
        </w:rPr>
        <w:t>to mais fracos do que em 2021 (Gráfico 2). O ano começou com SC à frente do Brasil em janeiro e fevereiro (94,76 e 90,06 vs. 93,19 e 88,86), mas as trajetórias convergiram, e, a partir de maio, o Brasil registrou números ligeiramente superiores. No segundo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semestre, SC demonstrou resiliência, superando o Brasil em julho (100,55 vs. 99,69), mas os mercados se mantiveram próximos até dezembro (116,61 vs. 116,73). Isso reflete o impacto dos juros altos, da inflação e da demanda interna enfraquecida. Isso refle</w:t>
      </w:r>
      <w:r w:rsidRPr="00CE2E1A">
        <w:rPr>
          <w:rFonts w:ascii="Times New Roman" w:cs="Times New Roman" w:eastAsia="Arial" w:hAnsi="Times New Roman"/>
          <w:sz w:val="24"/>
          <w:szCs w:val="24"/>
        </w:rPr>
        <w:t>te que o setor comercial catarinense acompanhou a média nacional, de crescimento moderado, impactado por juros altos, inflação e demanda interna enfraquecida.</w:t>
      </w:r>
    </w:p>
    <w:p w:rsidR="009F4A22" w:rsidRDefault="001B74D8" w14:paraId="03C43AB5" w14:textId="77777777" w:rsidP="00682B0D" w:rsidRPr="00CE2E1A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 xml:space="preserve">No crescimento acumulado desde fevereiro de 2020, ou seja, após quase três anos desde a 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pré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>-pande</w:t>
      </w:r>
      <w:r w:rsidRPr="00CE2E1A">
        <w:rPr>
          <w:rFonts w:ascii="Times New Roman" w:cs="Times New Roman" w:eastAsia="Arial" w:hAnsi="Times New Roman"/>
          <w:sz w:val="24"/>
          <w:szCs w:val="24"/>
        </w:rPr>
        <w:t>mia, o comércio catarinense atingiu 10,3%, o que revela que o setor conseguiu manter uma trajetória positiva durante a pandemia (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 &amp; Rosa, 2023). No entanto, no acumulado do ano, o volume de vendas subiu 2,5%, enquanto o Brasil registrou retração de 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-0,6%, sendo essa a menor variação positiva desde 2016, o que refletiu a fraca expansão da renda, o aumento do endividamento das famílias, a 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priorização de gastos em bens essenciais e os juros altos, elementos que impactaram bens duráveis como material de </w:t>
        <w:lastRenderedPageBreak/>
      </w:r>
      <w:r w:rsidRPr="00CE2E1A">
        <w:rPr>
          <w:rFonts w:ascii="Times New Roman" w:cs="Times New Roman" w:eastAsia="Arial" w:hAnsi="Times New Roman"/>
          <w:sz w:val="24"/>
          <w:szCs w:val="24"/>
        </w:rPr>
        <w:t>construção (-9%) e vestuário (-9,6%) (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 &amp; Rosa, 2023). Por outro lado, segundo os autores, outros setores tiveram resultados positivos: livros e papelaria (20%), e, impulsionados pela desoneração fiscal no 2º semestre, combustíveis e lubrificantes (1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4,7%). </w:t>
      </w:r>
    </w:p>
    <w:p w:rsidR="009F4A22" w:rsidRDefault="001B74D8" w14:paraId="1A0CD8F2" w14:textId="77777777" w:rsidP="00682B0D" w:rsidRPr="00CE2E1A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Assim, pode-se dizer que, em 2022, apesar da inflação mais baixa e da queda do desemprego, o cenário macroeconômico limitou um crescimento mais forte do setor (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 &amp; Rosa, 2023). </w:t>
      </w:r>
    </w:p>
    <w:p w:rsidR="009F4A22" w:rsidRDefault="001B74D8" w14:paraId="79EB6F50" w14:textId="77777777" w:rsidP="00682B0D" w:rsidRPr="00CE2E1A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Portanto, a partir da análise inicial desses dados, o comércio c</w:t>
      </w:r>
      <w:r w:rsidRPr="00CE2E1A">
        <w:rPr>
          <w:rFonts w:ascii="Times New Roman" w:cs="Times New Roman" w:eastAsia="Arial" w:hAnsi="Times New Roman"/>
          <w:sz w:val="24"/>
          <w:szCs w:val="24"/>
        </w:rPr>
        <w:t>atarinense revela no período 2020-2022 resiliência na recuperação do setor, oscilações fortes e alguns momentos em que seu desempenho esteve abaixo da média nacional. Os fatores estruturais da economia catarinense, tais como, maior diversificação produtiva</w:t>
      </w:r>
      <w:r w:rsidRPr="00CE2E1A">
        <w:rPr>
          <w:rFonts w:ascii="Times New Roman" w:cs="Times New Roman" w:eastAsia="Arial" w:hAnsi="Times New Roman"/>
          <w:sz w:val="24"/>
          <w:szCs w:val="24"/>
        </w:rPr>
        <w:t>, contribuíram para mitigar os impactos da pandemia, mas a trajetória de retomada no setor foi marcada por oscilação mais expressiva do que no mercado nacional.</w:t>
      </w:r>
    </w:p>
    <w:p w:rsidR="009F4A22" w:rsidRDefault="001B74D8" w14:paraId="02416C94" w14:textId="692C4767" w:rsidP="00682B0D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 xml:space="preserve">O período pandêmico pode ser dividido em três fases principais, visíveis nos dados de SC: (i) </w:t>
      </w:r>
      <w:r w:rsidRPr="00CE2E1A">
        <w:rPr>
          <w:rFonts w:ascii="Times New Roman" w:cs="Times New Roman" w:eastAsia="Arial" w:hAnsi="Times New Roman"/>
          <w:sz w:val="24"/>
          <w:szCs w:val="24"/>
        </w:rPr>
        <w:t>de retração abrupta e reação impulsionada por políticas emergenciais em 2020; (</w:t>
      </w:r>
      <w:proofErr w:type="spellStart"/>
      <w:proofErr w:type="gramStart"/>
      <w:r w:rsidRPr="00CE2E1A">
        <w:rPr>
          <w:rFonts w:ascii="Times New Roman" w:cs="Times New Roman" w:eastAsia="Arial" w:hAnsi="Times New Roman"/>
          <w:sz w:val="24"/>
          <w:szCs w:val="24"/>
        </w:rPr>
        <w:t>ii</w:t>
      </w:r>
      <w:proofErr w:type="spellEnd"/>
      <w:proofErr w:type="gramEnd"/>
      <w:r w:rsidRPr="00CE2E1A">
        <w:rPr>
          <w:rFonts w:ascii="Times New Roman" w:cs="Times New Roman" w:eastAsia="Arial" w:hAnsi="Times New Roman"/>
          <w:sz w:val="24"/>
          <w:szCs w:val="24"/>
        </w:rPr>
        <w:t>) de recuperação relativa, pois desigual, condicionada à condições macroeconômicas, em 2021; e (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iii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>) de retomada mais sustentada em 2022, ainda marcada por desafios estruturai</w:t>
      </w:r>
      <w:r w:rsidRPr="00CE2E1A">
        <w:rPr>
          <w:rFonts w:ascii="Times New Roman" w:cs="Times New Roman" w:eastAsia="Arial" w:hAnsi="Times New Roman"/>
          <w:sz w:val="24"/>
          <w:szCs w:val="24"/>
        </w:rPr>
        <w:t>s como juros elevados, inflação moderada e mudanças nos hábitos de consumo. É importante enfatizar que a recuperação não ocorreu de maneira homogênea entre atividades do comércio, evidenciando que fatores como digitalização, mudanças nos padrões de consumo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e políticas e variáveis macroeconômicas tiveram papeis centrais na dinâmica do setor. Enquanto algumas atividades conseguiram se adaptar rapidamente, outras encontraram dificuldades para retornar aos níveis 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pré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>-pandemia. Esse processo de transformação est</w:t>
      </w:r>
      <w:r w:rsidRPr="00CE2E1A">
        <w:rPr>
          <w:rFonts w:ascii="Times New Roman" w:cs="Times New Roman" w:eastAsia="Arial" w:hAnsi="Times New Roman"/>
          <w:sz w:val="24"/>
          <w:szCs w:val="24"/>
        </w:rPr>
        <w:t>rutural do comércio catarinense será analisado na próxima seção, com foco nos anos de 2023 e 2024.</w:t>
      </w:r>
    </w:p>
    <w:p w:rsidR="00D24CB9" w:rsidRDefault="00D24CB9" w14:paraId="658A8B12" w14:textId="77777777" w:rsidP="00BD7F45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D24CB9" w:rsidRDefault="00D24CB9" w14:paraId="0F062E00" w14:textId="77777777" w:rsidP="00BD7F45" w:rsidRPr="00CE2E1A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49810DDD" w14:textId="62BC2C62" w:rsidP="00D24CB9">
      <w:pPr>
        <w:jc w:val="both"/>
        <w:spacing w:after="0" w:line="360" w:lineRule="auto"/>
        <w:rPr>
          <w:bCs/>
          <w:b/>
          <w:rFonts w:ascii="Times New Roman" w:cs="Times New Roman" w:eastAsia="Arial" w:hAnsi="Times New Roman"/>
          <w:sz w:val="24"/>
          <w:szCs w:val="24"/>
          <w:smallCaps/>
        </w:rPr>
      </w:pPr>
      <w:proofErr w:type="gramStart"/>
      <w:r w:rsidRPr="00044686">
        <w:rPr>
          <w:bCs/>
          <w:b/>
          <w:rFonts w:ascii="Times New Roman" w:cs="Times New Roman" w:eastAsia="Arial" w:hAnsi="Times New Roman"/>
          <w:sz w:val="24"/>
          <w:szCs w:val="24"/>
          <w:smallCaps/>
        </w:rPr>
        <w:t>2</w:t>
      </w:r>
      <w:proofErr w:type="gramEnd"/>
      <w:r w:rsidRPr="00044686">
        <w:rPr>
          <w:bCs/>
          <w:b/>
          <w:rFonts w:ascii="Times New Roman" w:cs="Times New Roman" w:eastAsia="Arial" w:hAnsi="Times New Roman"/>
          <w:sz w:val="24"/>
          <w:szCs w:val="24"/>
          <w:smallCaps/>
        </w:rPr>
        <w:t xml:space="preserve"> O COMÉRCIO CATARINENSE NO PÓS-PANDEMIA: 2023-2024</w:t>
      </w:r>
    </w:p>
    <w:p w:rsidR="00D24CB9" w:rsidRDefault="00D24CB9" w14:paraId="7B1F5E29" w14:textId="77777777" w:rsidP="00D24CB9">
      <w:pPr>
        <w:jc w:val="both"/>
        <w:spacing w:after="0" w:line="360" w:lineRule="auto"/>
        <w:rPr>
          <w:bCs/>
          <w:b/>
          <w:rFonts w:ascii="Times New Roman" w:cs="Times New Roman" w:eastAsia="Arial" w:hAnsi="Times New Roman"/>
          <w:sz w:val="24"/>
          <w:szCs w:val="24"/>
          <w:smallCaps/>
        </w:rPr>
      </w:pPr>
    </w:p>
    <w:p w:rsidR="00D24CB9" w:rsidRDefault="00D24CB9" w14:paraId="7D6C3284" w14:textId="77777777" w:rsidP="00D24CB9" w:rsidRPr="00044686">
      <w:pPr>
        <w:jc w:val="both"/>
        <w:spacing w:after="0" w:line="360" w:lineRule="auto"/>
        <w:rPr>
          <w:bCs/>
          <w:b/>
          <w:rFonts w:ascii="Times New Roman" w:cs="Times New Roman" w:eastAsia="Arial" w:hAnsi="Times New Roman"/>
          <w:sz w:val="24"/>
          <w:szCs w:val="24"/>
          <w:smallCaps/>
        </w:rPr>
      </w:pPr>
    </w:p>
    <w:p w:rsidR="009F4A22" w:rsidRDefault="001B74D8" w14:paraId="76FDA8E1" w14:textId="77777777" w:rsidP="00682B0D" w:rsidRPr="00CE2E1A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 xml:space="preserve">Esta seção está dividida em duas subseções, uma para 2023 e outra para 2024. Em cada uma delas, o foco 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analítico foram os principais movimentos observados no </w:t>
      </w:r>
      <w:r w:rsidRPr="00CE2E1A">
        <w:rPr>
          <w:rFonts w:ascii="Times New Roman" w:cs="Times New Roman" w:eastAsia="Arial" w:hAnsi="Times New Roman"/>
          <w:sz w:val="24"/>
          <w:szCs w:val="24"/>
        </w:rPr>
        <w:t>comércio catarinense durante esses dois anos e as análises feitas mês a mês, conforme os artigos do blog e informativo do NECAT/UFSC e dados da PMC-IBGE.</w:t>
        <w:lastRenderedPageBreak/>
      </w:r>
    </w:p>
    <w:p w:rsidR="009F4A22" w:rsidRDefault="001B74D8" w14:paraId="7C44B885" w14:textId="77777777" w:rsidP="00682B0D" w:rsidRPr="00CE2E1A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Inicialmente é interessante observar os dados d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o Gráfico 3 que trazem a variações acumuladas do comércio catarinense do ano, que mostram o quanto o comércio catarinense cresceu (ou retraiu) em comparação ao mesmo período do ano anterior, e as variações acumuladas em 12 meses, que permitem acompanhar a </w:t>
      </w:r>
      <w:r w:rsidRPr="00CE2E1A">
        <w:rPr>
          <w:rFonts w:ascii="Times New Roman" w:cs="Times New Roman" w:eastAsia="Arial" w:hAnsi="Times New Roman"/>
          <w:sz w:val="24"/>
          <w:szCs w:val="24"/>
        </w:rPr>
        <w:t>trajetória de crescimento ao longo dos anos, suavizando flutuações mensais.</w:t>
      </w:r>
    </w:p>
    <w:p w:rsidR="009F4A22" w:rsidRDefault="001B74D8" w14:paraId="7367BF06" w14:textId="77777777" w:rsidP="00682B0D" w:rsidRPr="00CE2E1A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Em 2023, o comércio catarinense apresentou um crescimento moderado, encerrando o ano com uma variação acumulada de +3,6%, superior ao desempenho de 2022 (+2,5%). No entanto, a traj</w:t>
      </w:r>
      <w:r w:rsidRPr="00CE2E1A">
        <w:rPr>
          <w:rFonts w:ascii="Times New Roman" w:cs="Times New Roman" w:eastAsia="Arial" w:hAnsi="Times New Roman"/>
          <w:sz w:val="24"/>
          <w:szCs w:val="24"/>
        </w:rPr>
        <w:t>etória ao longo do ano foi instável, com crescimento mais acelerado no primeiro trimestre, impulsionado pela confiança na demanda por bens de maior valor agregado, e desaceleração entre maio e julho devido à inflação persistente e as taxas de juros elevada</w:t>
      </w:r>
      <w:r w:rsidRPr="00CE2E1A">
        <w:rPr>
          <w:rFonts w:ascii="Times New Roman" w:cs="Times New Roman" w:eastAsia="Arial" w:hAnsi="Times New Roman"/>
          <w:sz w:val="24"/>
          <w:szCs w:val="24"/>
        </w:rPr>
        <w:t>s. A recuperação nos últimos meses indica uma adaptação do varejo às novas condições econômicas e uma retomada gradual da demanda. O indicador de variação acumulada em 12 meses seguiu uma tendência semelhante, atingindo seu menor valor em junho (0,9%), mas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demonstrando recuperação no final do ano (3,6% em dezembro).</w:t>
      </w:r>
    </w:p>
    <w:p w:rsidR="009F4A22" w:rsidRDefault="001B74D8" w14:paraId="6E183AFE" w14:textId="77777777" w:rsidP="00682B0D" w:rsidRPr="00CE2E1A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Os dados acumulados de 2024 sugerem uma recuperação mais robusta do comércio catarinense. A variação acumulada no ano apresentou um salto significativo, alcançando +7,2% em dezembro, sugerindo u</w:t>
      </w:r>
      <w:r w:rsidRPr="00CE2E1A">
        <w:rPr>
          <w:rFonts w:ascii="Times New Roman" w:cs="Times New Roman" w:eastAsia="Arial" w:hAnsi="Times New Roman"/>
          <w:sz w:val="24"/>
          <w:szCs w:val="24"/>
        </w:rPr>
        <w:t>m ritmo de crescimento bem mais acelerado que o registrado nos anos anteriores. Já a variação acumulada em 12 meses seguiu trajetória semelhante, subindo gradativamente ao longo do ano e fechando em 7,2%.</w:t>
      </w:r>
    </w:p>
    <w:p w:rsidR="009F4A22" w:rsidRDefault="001B74D8" w14:paraId="329C1F2E" w14:textId="77777777" w:rsidP="00682B0D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Os primeiros meses de 2024 mostraram oscilações, co</w:t>
      </w:r>
      <w:r w:rsidRPr="00CE2E1A">
        <w:rPr>
          <w:rFonts w:ascii="Times New Roman" w:cs="Times New Roman" w:eastAsia="Arial" w:hAnsi="Times New Roman"/>
          <w:sz w:val="24"/>
          <w:szCs w:val="24"/>
        </w:rPr>
        <w:t>m forte crescimento em fevereiro (+6,6%) e abril (+5,6%), indicando um reaquecimento da atividade comercial. Esse movimento pode estar relacionado à melhora no cenário macroeconômico, com redução dos impactos da inflação sobre o poder de compra das família</w:t>
      </w:r>
      <w:r w:rsidRPr="00CE2E1A">
        <w:rPr>
          <w:rFonts w:ascii="Times New Roman" w:cs="Times New Roman" w:eastAsia="Arial" w:hAnsi="Times New Roman"/>
          <w:sz w:val="24"/>
          <w:szCs w:val="24"/>
        </w:rPr>
        <w:t>s e maior dinamismo do mercado de trabalho. Se essa tendência de alta for sustentada nos próximos meses de 2025, 2024 pode consolidar-se como um ano de retomada mais consistente para o comércio catarinense, com recuperação dos segmentos mais afetados nos a</w:t>
      </w:r>
      <w:r w:rsidRPr="00CE2E1A">
        <w:rPr>
          <w:rFonts w:ascii="Times New Roman" w:cs="Times New Roman" w:eastAsia="Arial" w:hAnsi="Times New Roman"/>
          <w:sz w:val="24"/>
          <w:szCs w:val="24"/>
        </w:rPr>
        <w:t>nos anteriores e uma expansão mais estável ao longo do tempo.</w:t>
      </w:r>
    </w:p>
    <w:p w:rsidR="004101E2" w:rsidRDefault="004101E2" w14:paraId="1A5200B6" w14:textId="77777777" w:rsidP="00BD7F45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4101E2" w:rsidRDefault="004101E2" w14:paraId="56F20F2C" w14:textId="77777777" w:rsidP="00BD7F45" w:rsidRPr="00CE2E1A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2A64F9C2" w14:textId="77777777" w:rsidP="005B1184" w:rsidRPr="00CE2E1A">
      <w:pPr>
        <w:jc w:val="center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044686">
        <w:rPr>
          <w:bCs/>
          <w:b/>
          <w:rFonts w:ascii="Times New Roman" w:cs="Times New Roman" w:eastAsia="Arial" w:hAnsi="Times New Roman"/>
          <w:sz w:val="24"/>
          <w:szCs w:val="24"/>
        </w:rPr>
        <w:t xml:space="preserve">Gráfico </w:t>
        <w:lastRenderedPageBreak/>
      </w:r>
      <w:proofErr w:type="gramStart"/>
      <w:r w:rsidRPr="00044686">
        <w:rPr>
          <w:bCs/>
          <w:b/>
          <w:rFonts w:ascii="Times New Roman" w:cs="Times New Roman" w:eastAsia="Arial" w:hAnsi="Times New Roman"/>
          <w:sz w:val="24"/>
          <w:szCs w:val="24"/>
        </w:rPr>
        <w:t>3</w:t>
      </w:r>
      <w:proofErr w:type="gramEnd"/>
      <w:r w:rsidRPr="00044686">
        <w:rPr>
          <w:bCs/>
          <w:b/>
          <w:rFonts w:ascii="Times New Roman" w:cs="Times New Roman" w:eastAsia="Arial" w:hAnsi="Times New Roman"/>
          <w:sz w:val="24"/>
          <w:szCs w:val="24"/>
        </w:rPr>
        <w:t>: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Variações acumuladas do comércio catarinense no ano (em relação ao mesmo período do ano anterior) e em 12 meses (em relação ao período anterior de 12 meses, jan.2020 a dez. 2024 (%), </w:t>
      </w:r>
      <w:r w:rsidRPr="00CE2E1A">
        <w:rPr>
          <w:rFonts w:ascii="Times New Roman" w:cs="Times New Roman" w:eastAsia="Arial" w:hAnsi="Times New Roman"/>
          <w:sz w:val="24"/>
          <w:szCs w:val="24"/>
        </w:rPr>
        <w:t>Santa Catarina, (2022= base 100).</w:t>
      </w:r>
    </w:p>
    <w:p w:rsidR="009F4A22" w:rsidRDefault="001B74D8" w14:paraId="7ECE5D57" w14:textId="77777777" w:rsidP="00BD7F45" w:rsidRPr="00CE2E1A">
      <w:pPr>
        <w:jc w:val="center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noProof/>
        </w:rPr>
        <w:drawing>
          <wp:inline distB="114300" distL="114300" distR="114300" distT="114300" wp14:anchorId="77BB1789" wp14:editId="5F82E2F8">
            <wp:extent cx="5229225" cy="2619375"/>
            <wp:effectExtent l="0" t="0" r="0" b="0"/>
            <wp:docPr id="165755853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61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1127" w:rsidRDefault="001B74D8" w14:paraId="7CA5EFD9" w14:textId="3F06EBC7" w:rsidP="00BD7F45">
      <w:pPr>
        <w:jc w:val="center"/>
        <w:spacing w:line="360" w:lineRule="auto"/>
        <w:rPr>
          <w:rFonts w:ascii="Times New Roman" w:cs="Times New Roman" w:eastAsia="Arial" w:hAnsi="Times New Roman"/>
          <w:sz w:val="20"/>
          <w:szCs w:val="20"/>
        </w:rPr>
      </w:pPr>
      <w:r w:rsidRPr="00044686">
        <w:rPr>
          <w:rFonts w:ascii="Times New Roman" w:cs="Times New Roman" w:eastAsia="Arial" w:hAnsi="Times New Roman"/>
          <w:sz w:val="20"/>
          <w:szCs w:val="20"/>
        </w:rPr>
        <w:t>Fonte: PMC-IBGE. Elaboração: NECAT/UFSC.</w:t>
      </w:r>
    </w:p>
    <w:p w:rsidR="00D24CB9" w:rsidRDefault="00D24CB9" w14:paraId="3ADAFA40" w14:textId="77777777" w:rsidP="00BD7F45">
      <w:pPr>
        <w:jc w:val="center"/>
        <w:spacing w:line="360" w:lineRule="auto"/>
        <w:rPr>
          <w:rFonts w:ascii="Times New Roman" w:cs="Times New Roman" w:eastAsia="Arial" w:hAnsi="Times New Roman"/>
          <w:sz w:val="20"/>
          <w:szCs w:val="20"/>
        </w:rPr>
      </w:pPr>
    </w:p>
    <w:p w:rsidR="00D24CB9" w:rsidRDefault="00D24CB9" w14:paraId="7DBF2C4F" w14:textId="77777777" w:rsidP="00D24CB9" w:rsidRPr="00044686">
      <w:pPr>
        <w:jc w:val="center"/>
        <w:spacing w:after="0" w:line="360" w:lineRule="auto"/>
        <w:rPr>
          <w:rFonts w:ascii="Times New Roman" w:cs="Times New Roman" w:eastAsia="Arial" w:hAnsi="Times New Roman"/>
          <w:sz w:val="20"/>
          <w:szCs w:val="20"/>
        </w:rPr>
      </w:pPr>
    </w:p>
    <w:p w:rsidR="005B1184" w:rsidRDefault="001B74D8" w14:paraId="178A4F8B" w14:textId="301A404B" w:rsidP="005B1184">
      <w:pPr>
        <w:jc w:val="both"/>
        <w:spacing w:after="0" w:line="360" w:lineRule="auto"/>
        <w:rPr>
          <w:b/>
          <w:rFonts w:ascii="Times New Roman" w:cs="Times New Roman" w:eastAsia="Arial" w:hAnsi="Times New Roman"/>
          <w:sz w:val="24"/>
          <w:szCs w:val="24"/>
        </w:rPr>
      </w:pPr>
      <w:r w:rsidRPr="00CE2E1A">
        <w:rPr>
          <w:b/>
          <w:rFonts w:ascii="Times New Roman" w:cs="Times New Roman" w:eastAsia="Arial" w:hAnsi="Times New Roman"/>
          <w:sz w:val="24"/>
          <w:szCs w:val="24"/>
        </w:rPr>
        <w:t>2.1 O comportamento do comércio em Santa Catarina no ano de 2023</w:t>
      </w:r>
    </w:p>
    <w:p w:rsidR="005B1184" w:rsidRDefault="005B1184" w14:paraId="6FB28405" w14:textId="77777777" w:rsidP="005B1184">
      <w:pPr>
        <w:jc w:val="both"/>
        <w:spacing w:after="0" w:line="360" w:lineRule="auto"/>
        <w:rPr>
          <w:b/>
          <w:rFonts w:ascii="Times New Roman" w:cs="Times New Roman" w:eastAsia="Arial" w:hAnsi="Times New Roman"/>
          <w:sz w:val="24"/>
          <w:szCs w:val="24"/>
        </w:rPr>
      </w:pPr>
    </w:p>
    <w:p w:rsidR="005B1184" w:rsidRDefault="005B1184" w14:paraId="2E7FB8F7" w14:textId="77777777" w:rsidP="005B1184" w:rsidRPr="00CE2E1A">
      <w:pPr>
        <w:jc w:val="both"/>
        <w:spacing w:after="0" w:line="360" w:lineRule="auto"/>
        <w:rPr>
          <w:b/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0E11FF28" w14:textId="0EF9924A" w:rsidP="00682B0D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O ano de 2023 marcou a consolidação da recuperação do comércio catarinense, impulsionada pelo fim das restrições s</w:t>
      </w:r>
      <w:r w:rsidRPr="00CE2E1A">
        <w:rPr>
          <w:rFonts w:ascii="Times New Roman" w:cs="Times New Roman" w:eastAsia="Arial" w:hAnsi="Times New Roman"/>
          <w:sz w:val="24"/>
          <w:szCs w:val="24"/>
        </w:rPr>
        <w:t>anitárias e pela reabertura completa da economia. Apesar da retomada, desafios persistiram, tais como inflação, juros elevados e endividamento das famílias, restringindo o consumo de bens duráveis, enquanto setores essenciais, como supermercados e farmácia</w:t>
      </w:r>
      <w:r w:rsidRPr="00CE2E1A">
        <w:rPr>
          <w:rFonts w:ascii="Times New Roman" w:cs="Times New Roman" w:eastAsia="Arial" w:hAnsi="Times New Roman"/>
          <w:sz w:val="24"/>
          <w:szCs w:val="24"/>
        </w:rPr>
        <w:t>s, mantiveram um crescimento estável (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Testoni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>, 2024).</w:t>
      </w:r>
    </w:p>
    <w:p w:rsidR="005B1184" w:rsidRDefault="005B1184" w14:paraId="3AE3221A" w14:textId="77777777" w:rsidP="00BD7F45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5B1184" w:rsidRDefault="005B1184" w14:paraId="36A00D99" w14:textId="77777777" w:rsidP="00BD7F45" w:rsidRPr="00CE2E1A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63766856" w14:textId="77777777" w:rsidP="005B1184">
      <w:pPr>
        <w:spacing w:after="0" w:line="360" w:lineRule="auto"/>
        <w:rPr>
          <w:bCs/>
          <w:b/>
          <w:rFonts w:ascii="Times New Roman" w:cs="Times New Roman" w:eastAsia="Arial" w:hAnsi="Times New Roman"/>
          <w:sz w:val="24"/>
          <w:szCs w:val="24"/>
        </w:rPr>
      </w:pPr>
      <w:r w:rsidRPr="00044686">
        <w:rPr>
          <w:bCs/>
          <w:b/>
          <w:rFonts w:ascii="Times New Roman" w:cs="Times New Roman" w:eastAsia="Arial" w:hAnsi="Times New Roman"/>
          <w:sz w:val="24"/>
          <w:szCs w:val="24"/>
        </w:rPr>
        <w:t>2.2.1 Evolução geral do comércio catarinense em 2023</w:t>
      </w:r>
    </w:p>
    <w:p w:rsidR="005B1184" w:rsidRDefault="005B1184" w14:paraId="35366B5E" w14:textId="77777777" w:rsidP="005B1184">
      <w:pPr>
        <w:spacing w:after="0" w:line="360" w:lineRule="auto"/>
        <w:rPr>
          <w:bCs/>
          <w:b/>
          <w:rFonts w:ascii="Times New Roman" w:cs="Times New Roman" w:eastAsia="Arial" w:hAnsi="Times New Roman"/>
          <w:sz w:val="24"/>
          <w:szCs w:val="24"/>
        </w:rPr>
      </w:pPr>
    </w:p>
    <w:p w:rsidR="005B1184" w:rsidRDefault="005B1184" w14:paraId="03C1C540" w14:textId="77777777" w:rsidP="005B1184" w:rsidRPr="00044686">
      <w:pPr>
        <w:spacing w:after="0" w:line="360" w:lineRule="auto"/>
        <w:rPr>
          <w:bCs/>
          <w:b/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508D9E08" w14:textId="77777777" w:rsidP="00682B0D" w:rsidRPr="00CE2E1A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 xml:space="preserve">O Gráfico </w:t>
      </w:r>
      <w:proofErr w:type="gramStart"/>
      <w:r w:rsidRPr="00CE2E1A">
        <w:rPr>
          <w:rFonts w:ascii="Times New Roman" w:cs="Times New Roman" w:eastAsia="Arial" w:hAnsi="Times New Roman"/>
          <w:sz w:val="24"/>
          <w:szCs w:val="24"/>
        </w:rPr>
        <w:t>4</w:t>
      </w:r>
      <w:proofErr w:type="gramEnd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 a seguir traz a variação mensal de 2023 do volume de vendas no comércio varejista ampliado em relação ao mesmo mês do ano anterior. O 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comércio catarinense iniciou o ano em alta, com crescimento de 8,1% em janeiro, muito acima do </w:t>
      </w:r>
      <w:r w:rsidRPr="00CE2E1A">
        <w:rPr>
          <w:rFonts w:ascii="Times New Roman" w:cs="Times New Roman" w:eastAsia="Arial" w:hAnsi="Times New Roman"/>
          <w:sz w:val="24"/>
          <w:szCs w:val="24"/>
        </w:rPr>
        <w:t>Brasil (+0,5%) (</w:t>
        <w:lastRenderedPageBreak/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>, 2023a). Em fevereiro, o ritmo desacelerou (+1%), enquanto o país registrou leve retração (-1,1%) (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>, 2023b). O trimestre fechou co</w:t>
      </w:r>
      <w:r w:rsidRPr="00CE2E1A">
        <w:rPr>
          <w:rFonts w:ascii="Times New Roman" w:cs="Times New Roman" w:eastAsia="Arial" w:hAnsi="Times New Roman"/>
          <w:sz w:val="24"/>
          <w:szCs w:val="24"/>
        </w:rPr>
        <w:t>m nova alta em março (+7,4% em SC e +7,3% no Brasil), impulsionada pela confiança do consumidor e pelo aumento da demanda por bens de maior valor agregado (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>, 2023a, 2023c).</w:t>
      </w:r>
    </w:p>
    <w:p w:rsidR="009F4A22" w:rsidRDefault="001B74D8" w14:paraId="63F47D3C" w14:textId="77777777" w:rsidP="00682B0D" w:rsidRPr="00CE2E1A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O segundo trimestre trouxe oscilações mais intensas. Abril e maio registrara</w:t>
      </w:r>
      <w:r w:rsidRPr="00CE2E1A">
        <w:rPr>
          <w:rFonts w:ascii="Times New Roman" w:cs="Times New Roman" w:eastAsia="Arial" w:hAnsi="Times New Roman"/>
          <w:sz w:val="24"/>
          <w:szCs w:val="24"/>
        </w:rPr>
        <w:t>m quedas (-2,4% e -2,5%, respectivamente), enquanto o Brasil teve desempenho positivo, ainda que modesto (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>, 2023d, 2023e). A política monetária restritiva e a inflação em 12 meses reduziram o poder de compra, levando as famílias de menor renda a pri</w:t>
      </w:r>
      <w:r w:rsidRPr="00CE2E1A">
        <w:rPr>
          <w:rFonts w:ascii="Times New Roman" w:cs="Times New Roman" w:eastAsia="Arial" w:hAnsi="Times New Roman"/>
          <w:sz w:val="24"/>
          <w:szCs w:val="24"/>
        </w:rPr>
        <w:t>orizar bens essenciais (Testoni, 2024).</w:t>
      </w:r>
    </w:p>
    <w:p w:rsidR="00682B0D" w:rsidRDefault="001B74D8" w14:paraId="57A34ED4" w14:textId="7CCAC4A1" w:rsidP="00EC7508" w:rsidRPr="00EC7508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No segundo semestre de 2023, Santa Catarina retomou o crescimento, impulsionado pelo turismo e pelo mercado de trabalho aquecido, em contrapartida, o Brasil manteve crescimento mais estável, sem oscilações significat</w:t>
      </w:r>
      <w:r w:rsidRPr="00CE2E1A">
        <w:rPr>
          <w:rFonts w:ascii="Times New Roman" w:cs="Times New Roman" w:eastAsia="Arial" w:hAnsi="Times New Roman"/>
          <w:sz w:val="24"/>
          <w:szCs w:val="24"/>
        </w:rPr>
        <w:t>ivas (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Testoni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, 2024; 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, 2023). As vendas cresceram sucessivamente: setembro (+7,2%), outubro (+6,7%) e novembro (+8,1%), superando a média nacional (Gráfico </w:t>
      </w:r>
      <w:proofErr w:type="gramStart"/>
      <w:r w:rsidRPr="00CE2E1A">
        <w:rPr>
          <w:rFonts w:ascii="Times New Roman" w:cs="Times New Roman" w:eastAsia="Arial" w:hAnsi="Times New Roman"/>
          <w:sz w:val="24"/>
          <w:szCs w:val="24"/>
        </w:rPr>
        <w:t>4</w:t>
      </w:r>
      <w:proofErr w:type="gramEnd"/>
      <w:r w:rsidRPr="00CE2E1A">
        <w:rPr>
          <w:rFonts w:ascii="Times New Roman" w:cs="Times New Roman" w:eastAsia="Arial" w:hAnsi="Times New Roman"/>
          <w:sz w:val="24"/>
          <w:szCs w:val="24"/>
        </w:rPr>
        <w:t>).</w:t>
      </w:r>
    </w:p>
    <w:p w:rsidR="00304956" w:rsidRDefault="00304956" w14:paraId="01675748" w14:textId="77777777" w:rsidP="005B1184">
      <w:pPr>
        <w:jc w:val="center"/>
        <w:spacing w:after="0" w:line="360" w:lineRule="auto"/>
        <w:rPr>
          <w:bCs/>
          <w:b/>
          <w:rFonts w:ascii="Times New Roman" w:cs="Times New Roman" w:eastAsia="Arial" w:hAnsi="Times New Roman"/>
          <w:sz w:val="24"/>
          <w:szCs w:val="24"/>
        </w:rPr>
      </w:pPr>
    </w:p>
    <w:p w:rsidR="00953BFC" w:rsidRDefault="00953BFC" w14:paraId="4EFCC076" w14:textId="77777777" w:rsidP="005B1184">
      <w:pPr>
        <w:jc w:val="center"/>
        <w:spacing w:after="0" w:line="360" w:lineRule="auto"/>
        <w:rPr>
          <w:bCs/>
          <w:b/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18C18DB8" w14:textId="77777777" w:rsidP="00304956" w:rsidRPr="00CE2E1A">
      <w:pPr>
        <w:jc w:val="center"/>
        <w:spacing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044686">
        <w:rPr>
          <w:bCs/>
          <w:b/>
          <w:rFonts w:ascii="Times New Roman" w:cs="Times New Roman" w:eastAsia="Arial" w:hAnsi="Times New Roman"/>
          <w:sz w:val="24"/>
          <w:szCs w:val="24"/>
        </w:rPr>
        <w:t xml:space="preserve">Gráfico </w:t>
      </w:r>
      <w:proofErr w:type="gramStart"/>
      <w:r w:rsidRPr="00044686">
        <w:rPr>
          <w:bCs/>
          <w:b/>
          <w:rFonts w:ascii="Times New Roman" w:cs="Times New Roman" w:eastAsia="Arial" w:hAnsi="Times New Roman"/>
          <w:sz w:val="24"/>
          <w:szCs w:val="24"/>
        </w:rPr>
        <w:t>4</w:t>
      </w:r>
      <w:proofErr w:type="gramEnd"/>
      <w:r w:rsidRPr="00044686">
        <w:rPr>
          <w:bCs/>
          <w:b/>
          <w:rFonts w:ascii="Times New Roman" w:cs="Times New Roman" w:eastAsia="Arial" w:hAnsi="Times New Roman"/>
          <w:sz w:val="24"/>
          <w:szCs w:val="24"/>
        </w:rPr>
        <w:t>: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Variação MM-12 (%) do Volume de Vendas do Comércio Varejista Ampliado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durante a Pandemia, 2023, Brasil e Santa Catarina (2022 = base 100).</w:t>
      </w:r>
    </w:p>
    <w:p w:rsidR="009F4A22" w:rsidRDefault="001B74D8" w14:paraId="54669D4A" w14:textId="77777777" w:rsidP="00BD7F45" w:rsidRPr="00CE2E1A">
      <w:pPr>
        <w:jc w:val="center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noProof/>
        </w:rPr>
        <w:drawing>
          <wp:inline distB="114300" distL="114300" distR="114300" distT="114300" wp14:anchorId="3B4A3C34" wp14:editId="436854F4">
            <wp:extent cx="4994910" cy="2461260"/>
            <wp:effectExtent l="0" t="0" r="0" b="0"/>
            <wp:docPr id="165755852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523" cy="2464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F4A22" w:rsidRDefault="001B74D8" w14:paraId="2C818286" w14:textId="00407DCA" w:rsidP="00BD7F45">
      <w:pPr>
        <w:jc w:val="center"/>
        <w:spacing w:line="360" w:lineRule="auto"/>
        <w:rPr>
          <w:rFonts w:ascii="Times New Roman" w:cs="Times New Roman" w:eastAsia="Arial" w:hAnsi="Times New Roman"/>
          <w:sz w:val="20"/>
          <w:szCs w:val="20"/>
        </w:rPr>
      </w:pPr>
      <w:r w:rsidRPr="00044686">
        <w:rPr>
          <w:rFonts w:ascii="Times New Roman" w:cs="Times New Roman" w:eastAsia="Arial" w:hAnsi="Times New Roman"/>
          <w:sz w:val="20"/>
          <w:szCs w:val="20"/>
        </w:rPr>
        <w:t>Fonte: PMC-IBGE. Elaboração: NECAT/UFSC.</w:t>
      </w:r>
    </w:p>
    <w:p w:rsidR="005B1184" w:rsidRDefault="005B1184" w14:paraId="3E21D8FC" w14:textId="77777777" w:rsidP="00BD7F45">
      <w:pPr>
        <w:jc w:val="center"/>
        <w:spacing w:line="360" w:lineRule="auto"/>
        <w:rPr>
          <w:rFonts w:ascii="Times New Roman" w:cs="Times New Roman" w:eastAsia="Arial" w:hAnsi="Times New Roman"/>
          <w:sz w:val="20"/>
          <w:szCs w:val="20"/>
        </w:rPr>
      </w:pPr>
    </w:p>
    <w:p w:rsidR="005B1184" w:rsidRDefault="005B1184" w14:paraId="338E1922" w14:textId="77777777" w:rsidP="00BD7F45" w:rsidRPr="00044686">
      <w:pPr>
        <w:jc w:val="center"/>
        <w:spacing w:line="360" w:lineRule="auto"/>
        <w:rPr>
          <w:rFonts w:ascii="Times New Roman" w:cs="Times New Roman" w:eastAsia="Arial" w:hAnsi="Times New Roman"/>
          <w:sz w:val="20"/>
          <w:szCs w:val="20"/>
        </w:rPr>
      </w:pPr>
    </w:p>
    <w:p w:rsidR="009F4A22" w:rsidRDefault="001B74D8" w14:paraId="029AA53E" w14:textId="45265D10" w:rsidP="00682B0D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 xml:space="preserve">Ao analisar-se o Gráfico </w:t>
        <w:lastRenderedPageBreak/>
      </w:r>
      <w:proofErr w:type="gramStart"/>
      <w:r w:rsidRPr="00CE2E1A">
        <w:rPr>
          <w:rFonts w:ascii="Times New Roman" w:cs="Times New Roman" w:eastAsia="Arial" w:hAnsi="Times New Roman"/>
          <w:sz w:val="24"/>
          <w:szCs w:val="24"/>
        </w:rPr>
        <w:t>5</w:t>
      </w:r>
      <w:proofErr w:type="gramEnd"/>
      <w:r w:rsidRPr="00CE2E1A">
        <w:rPr>
          <w:rFonts w:ascii="Times New Roman" w:cs="Times New Roman" w:eastAsia="Arial" w:hAnsi="Times New Roman"/>
          <w:sz w:val="24"/>
          <w:szCs w:val="24"/>
        </w:rPr>
        <w:t>, que traz o índice do volume de vendas, de janeiro a dezembro, observa-se que Santa Catarina manteve, ao longo do an</w:t>
      </w:r>
      <w:r w:rsidRPr="00CE2E1A">
        <w:rPr>
          <w:rFonts w:ascii="Times New Roman" w:cs="Times New Roman" w:eastAsia="Arial" w:hAnsi="Times New Roman"/>
          <w:sz w:val="24"/>
          <w:szCs w:val="24"/>
        </w:rPr>
        <w:t>o, um patamar superior ao Brasil, fechando dezembro com 124,3 pontos, enquanto o Brasil atingiu 116,6. Esse desempenho reflete uma consolidação do crescimento do comércio catarinense no pós-pandemia, mas também marca um distanciamento do comportamento obse</w:t>
      </w:r>
      <w:r w:rsidRPr="00CE2E1A">
        <w:rPr>
          <w:rFonts w:ascii="Times New Roman" w:cs="Times New Roman" w:eastAsia="Arial" w:hAnsi="Times New Roman"/>
          <w:sz w:val="24"/>
          <w:szCs w:val="24"/>
        </w:rPr>
        <w:t>rvado nos anos anteriores.</w:t>
      </w:r>
    </w:p>
    <w:p w:rsidR="004101E2" w:rsidRDefault="004101E2" w14:paraId="3D7218BB" w14:textId="77777777" w:rsidP="00BD7F45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4101E2" w:rsidRDefault="004101E2" w14:paraId="5D2B82CB" w14:textId="77777777" w:rsidP="00BD7F45" w:rsidRPr="00CE2E1A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01C1F5BF" w14:textId="77777777" w:rsidP="005B1184" w:rsidRPr="00CE2E1A">
      <w:pPr>
        <w:jc w:val="center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044686">
        <w:rPr>
          <w:bCs/>
          <w:b/>
          <w:rFonts w:ascii="Times New Roman" w:cs="Times New Roman" w:eastAsia="Arial" w:hAnsi="Times New Roman"/>
          <w:sz w:val="24"/>
          <w:szCs w:val="24"/>
        </w:rPr>
        <w:t xml:space="preserve">Gráfico </w:t>
      </w:r>
      <w:proofErr w:type="gramStart"/>
      <w:r w:rsidRPr="00044686">
        <w:rPr>
          <w:bCs/>
          <w:b/>
          <w:rFonts w:ascii="Times New Roman" w:cs="Times New Roman" w:eastAsia="Arial" w:hAnsi="Times New Roman"/>
          <w:sz w:val="24"/>
          <w:szCs w:val="24"/>
        </w:rPr>
        <w:t>5</w:t>
      </w:r>
      <w:proofErr w:type="gramEnd"/>
      <w:r w:rsidRPr="00CE2E1A">
        <w:rPr>
          <w:rFonts w:ascii="Times New Roman" w:cs="Times New Roman" w:eastAsia="Arial" w:hAnsi="Times New Roman"/>
          <w:sz w:val="24"/>
          <w:szCs w:val="24"/>
        </w:rPr>
        <w:t>: Índice de Volume de Vendas (MM-12 %) no Comércio Varejista Ampliado, 2023, Brasil e Santa Catarina (2022= base 100).</w:t>
      </w:r>
    </w:p>
    <w:p w:rsidR="009F4A22" w:rsidRDefault="001B74D8" w14:paraId="7A4D8507" w14:textId="6BCD0EDF" w:rsidP="00BD7F45" w:rsidRPr="00CE2E1A">
      <w:pPr>
        <w:jc w:val="center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noProof/>
        </w:rPr>
        <w:drawing>
          <wp:inline distB="114300" distL="114300" distR="114300" distT="114300" wp14:anchorId="228F9C5B" wp14:editId="5ADDDA88">
            <wp:extent cx="4800600" cy="1885950"/>
            <wp:effectExtent l="0" t="0" r="0" b="0"/>
            <wp:docPr id="16575585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8291" cy="1888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1184" w:rsidRDefault="001B74D8" w14:paraId="606534A6" w14:textId="272DC119" w:rsidP="005B1184">
      <w:pPr>
        <w:jc w:val="center"/>
        <w:spacing w:after="0" w:line="360" w:lineRule="auto"/>
        <w:rPr>
          <w:rFonts w:ascii="Times New Roman" w:cs="Times New Roman" w:eastAsia="Arial" w:hAnsi="Times New Roman"/>
          <w:sz w:val="20"/>
          <w:szCs w:val="20"/>
        </w:rPr>
      </w:pPr>
      <w:r w:rsidRPr="00044686">
        <w:rPr>
          <w:rFonts w:ascii="Times New Roman" w:cs="Times New Roman" w:eastAsia="Arial" w:hAnsi="Times New Roman"/>
          <w:sz w:val="20"/>
          <w:szCs w:val="20"/>
        </w:rPr>
        <w:t>Fonte: PMC-IBGE. Elaboração: NECAT/UFSC.</w:t>
      </w:r>
    </w:p>
    <w:p w:rsidR="005B1184" w:rsidRDefault="005B1184" w14:paraId="2155AE48" w14:textId="77777777" w:rsidP="005B1184">
      <w:pPr>
        <w:jc w:val="center"/>
        <w:spacing w:after="0" w:line="360" w:lineRule="auto"/>
        <w:rPr>
          <w:rFonts w:ascii="Times New Roman" w:cs="Times New Roman" w:eastAsia="Arial" w:hAnsi="Times New Roman"/>
          <w:sz w:val="20"/>
          <w:szCs w:val="20"/>
        </w:rPr>
      </w:pPr>
    </w:p>
    <w:p w:rsidR="005B1184" w:rsidRDefault="005B1184" w14:paraId="6F0BBD98" w14:textId="77777777" w:rsidP="005B1184" w:rsidRPr="00501127">
      <w:pPr>
        <w:jc w:val="center"/>
        <w:spacing w:after="0" w:line="360" w:lineRule="auto"/>
        <w:rPr>
          <w:rFonts w:ascii="Times New Roman" w:cs="Times New Roman" w:eastAsia="Arial" w:hAnsi="Times New Roman"/>
          <w:sz w:val="20"/>
          <w:szCs w:val="20"/>
        </w:rPr>
      </w:pPr>
    </w:p>
    <w:p w:rsidR="005B1184" w:rsidRDefault="001B74D8" w14:paraId="25A1B8AC" w14:textId="0D1B4E59" w:rsidP="005B1184">
      <w:pPr>
        <w:spacing w:after="0" w:line="360" w:lineRule="auto"/>
        <w:rPr>
          <w:bCs/>
          <w:b/>
          <w:rFonts w:ascii="Times New Roman" w:cs="Times New Roman" w:eastAsia="Arial" w:hAnsi="Times New Roman"/>
          <w:sz w:val="24"/>
          <w:szCs w:val="24"/>
        </w:rPr>
      </w:pPr>
      <w:r w:rsidRPr="00044686">
        <w:rPr>
          <w:bCs/>
          <w:b/>
          <w:rFonts w:ascii="Times New Roman" w:cs="Times New Roman" w:eastAsia="Arial" w:hAnsi="Times New Roman"/>
          <w:sz w:val="24"/>
          <w:szCs w:val="24"/>
        </w:rPr>
        <w:t xml:space="preserve">2.1.2 Fatores que influenciaram o comércio e desempenho </w:t>
      </w:r>
      <w:r w:rsidRPr="00044686">
        <w:rPr>
          <w:bCs/>
          <w:b/>
          <w:rFonts w:ascii="Times New Roman" w:cs="Times New Roman" w:eastAsia="Arial" w:hAnsi="Times New Roman"/>
          <w:sz w:val="24"/>
          <w:szCs w:val="24"/>
        </w:rPr>
        <w:t>setorial catarinenses em 2023</w:t>
      </w:r>
    </w:p>
    <w:p w:rsidR="005B1184" w:rsidRDefault="005B1184" w14:paraId="30756E53" w14:textId="77777777" w:rsidP="005B1184">
      <w:pPr>
        <w:spacing w:after="0" w:line="360" w:lineRule="auto"/>
        <w:rPr>
          <w:bCs/>
          <w:b/>
          <w:rFonts w:ascii="Times New Roman" w:cs="Times New Roman" w:eastAsia="Arial" w:hAnsi="Times New Roman"/>
          <w:sz w:val="24"/>
          <w:szCs w:val="24"/>
        </w:rPr>
      </w:pPr>
    </w:p>
    <w:p w:rsidR="005B1184" w:rsidRDefault="005B1184" w14:paraId="2416349B" w14:textId="77777777" w:rsidP="005B1184" w:rsidRPr="00044686">
      <w:pPr>
        <w:spacing w:after="0" w:line="360" w:lineRule="auto"/>
        <w:rPr>
          <w:bCs/>
          <w:b/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45E7244B" w14:textId="77777777" w:rsidP="00682B0D" w:rsidRPr="00CE2E1A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Em 2023, a inflação desacelerou em relação a 2022, mas ainda reduziu o poder de compra, levando as famílias de menor renda a priorizar bens essenciais (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>, 2023b, 2023f, 2023g). Além disso, os juros elevados restringiram o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crédito, impactando especialmente móveis, eletrodomésticos e materiais de construção (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>, 2023a, 2023c, 2023d, 2023e, 2023f, 2023g).</w:t>
      </w:r>
    </w:p>
    <w:p w:rsidR="009F4A22" w:rsidRDefault="001B74D8" w14:paraId="4F681C66" w14:textId="77777777" w:rsidP="00682B0D" w:rsidRPr="00CE2E1A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O alto endividamento das famílias limitou o consumo, favorecendo supermercados e atacarejos, enquanto vestuário e art</w:t>
      </w:r>
      <w:r w:rsidRPr="00CE2E1A">
        <w:rPr>
          <w:rFonts w:ascii="Times New Roman" w:cs="Times New Roman" w:eastAsia="Arial" w:hAnsi="Times New Roman"/>
          <w:sz w:val="24"/>
          <w:szCs w:val="24"/>
        </w:rPr>
        <w:t>igos pessoais enfrentaram dificuldades (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>, 2023a, 2023c, 2023f, 2023g, 2023h; Rosa &amp; Testoni, 2023; Testoni, 2024).</w:t>
      </w:r>
    </w:p>
    <w:p w:rsidR="009F4A22" w:rsidRDefault="001B74D8" w14:paraId="68165603" w14:textId="77777777" w:rsidP="00682B0D" w:rsidRPr="00CE2E1A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O comércio catarinense se sustentou em 2023 graças ao baixo desemprego e ao crescimento da renda, que reduziram os impactos do crédito</w:t>
        <w:lastRenderedPageBreak/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caro e da inflação (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, 2023a; 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Testoni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>, 2024). A economia catarinense foi beneficiada pelo fortalecimento do turismo e dos eventos presenciais, que impulsionaram o consumo em diversos segmentos, como alimentação fora do lar, hotelaria e comércio loca</w:t>
      </w:r>
      <w:r w:rsidRPr="00CE2E1A">
        <w:rPr>
          <w:rFonts w:ascii="Times New Roman" w:cs="Times New Roman" w:eastAsia="Arial" w:hAnsi="Times New Roman"/>
          <w:sz w:val="24"/>
          <w:szCs w:val="24"/>
        </w:rPr>
        <w:t>l. No segundo semestre, a melhora no mercado de trabalho e os incentivos governamentais à indústria automotiva contribuíram para uma leve recuperação do setor de veículos e motocicletas. (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>, 2023a; Rosa &amp; Testoni, 2024).</w:t>
      </w:r>
    </w:p>
    <w:p w:rsidR="009F4A22" w:rsidRDefault="001B74D8" w14:paraId="3BEE8C94" w14:textId="77777777" w:rsidP="00682B0D" w:rsidRPr="00CE2E1A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Importante enfatizar que o de</w:t>
      </w:r>
      <w:r w:rsidRPr="00CE2E1A">
        <w:rPr>
          <w:rFonts w:ascii="Times New Roman" w:cs="Times New Roman" w:eastAsia="Arial" w:hAnsi="Times New Roman"/>
          <w:sz w:val="24"/>
          <w:szCs w:val="24"/>
        </w:rPr>
        <w:t>sempenho do comércio varejista catarinense ao longo de 2023 foi heterogêneo entre as atividades, como pode ser visto na Figura 1 a seguir, refletindo os impactos das condições macroeconômicas sobre diferentes segmentos da economia. Alguns setores conseguir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am manter crescimento expressivo de janeiro a dezembro, tanto no acumulado do ano como em 12 meses: </w:t>
      </w:r>
      <w:r w:rsidRPr="00044686">
        <w:rPr>
          <w:bCs/>
          <w:rFonts w:ascii="Times New Roman" w:cs="Times New Roman" w:eastAsia="Arial" w:hAnsi="Times New Roman"/>
          <w:sz w:val="24"/>
          <w:szCs w:val="24"/>
        </w:rPr>
        <w:t>Combustíveis,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cresceram com redução da tributação e pela estabilização dos preços, </w:t>
      </w:r>
      <w:r w:rsidRPr="00044686">
        <w:rPr>
          <w:bCs/>
          <w:rFonts w:ascii="Times New Roman" w:cs="Times New Roman" w:eastAsia="Arial" w:hAnsi="Times New Roman"/>
          <w:sz w:val="24"/>
          <w:szCs w:val="24"/>
        </w:rPr>
        <w:t xml:space="preserve">Hipermercados </w:t>
      </w:r>
      <w:r w:rsidRPr="00CE2E1A">
        <w:rPr>
          <w:rFonts w:ascii="Times New Roman" w:cs="Times New Roman" w:eastAsia="Arial" w:hAnsi="Times New Roman"/>
          <w:sz w:val="24"/>
          <w:szCs w:val="24"/>
        </w:rPr>
        <w:t>foram favorecidos pelo consumo essencial em meio à inflação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e ao alto endividamento das famílias e </w:t>
      </w:r>
      <w:r w:rsidRPr="00044686">
        <w:rPr>
          <w:bCs/>
          <w:rFonts w:ascii="Times New Roman" w:cs="Times New Roman" w:eastAsia="Arial" w:hAnsi="Times New Roman"/>
          <w:sz w:val="24"/>
          <w:szCs w:val="24"/>
        </w:rPr>
        <w:t>Equipamentos para escritório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, que foi o mais dinâmico, tendo fechado o ano com </w:t>
      </w:r>
      <w:r w:rsidRPr="00CE2E1A">
        <w:rPr>
          <w:b/>
          <w:rFonts w:ascii="Times New Roman" w:cs="Times New Roman" w:eastAsia="Arial" w:hAnsi="Times New Roman"/>
          <w:sz w:val="24"/>
          <w:szCs w:val="24"/>
        </w:rPr>
        <w:t xml:space="preserve">+22,3% </w:t>
      </w:r>
      <w:r w:rsidRPr="00CE2E1A">
        <w:rPr>
          <w:rFonts w:ascii="Times New Roman" w:cs="Times New Roman" w:eastAsia="Arial" w:hAnsi="Times New Roman"/>
          <w:sz w:val="24"/>
          <w:szCs w:val="24"/>
        </w:rPr>
        <w:t>no ano e</w:t>
      </w:r>
      <w:r w:rsidRPr="00CE2E1A">
        <w:rPr>
          <w:b/>
          <w:rFonts w:ascii="Times New Roman" w:cs="Times New Roman" w:eastAsia="Arial" w:hAnsi="Times New Roman"/>
          <w:sz w:val="24"/>
          <w:szCs w:val="24"/>
        </w:rPr>
        <w:t xml:space="preserve"> +22,3% </w:t>
      </w:r>
      <w:r w:rsidRPr="00CE2E1A">
        <w:rPr>
          <w:rFonts w:ascii="Times New Roman" w:cs="Times New Roman" w:eastAsia="Arial" w:hAnsi="Times New Roman"/>
          <w:sz w:val="24"/>
          <w:szCs w:val="24"/>
        </w:rPr>
        <w:t>em 12 meses, cresceu com a digitalização e demanda por infraestrutura de trabalho remoto  (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, 2023a; 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Testoni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, 2024). </w:t>
      </w:r>
    </w:p>
    <w:p w:rsidR="004101E2" w:rsidRDefault="001B74D8" w14:paraId="1273BED3" w14:textId="0C157CC2" w:rsidP="00682B0D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 xml:space="preserve">Em contraste, setores dependentes de crédito tiveram desempenho negativo, enfrentando retração ao longo do ano também devido à inflação e mudanças no comportamento do consumidor: </w:t>
      </w:r>
      <w:r w:rsidRPr="00044686">
        <w:rPr>
          <w:bCs/>
          <w:rFonts w:ascii="Times New Roman" w:cs="Times New Roman" w:eastAsia="Arial" w:hAnsi="Times New Roman"/>
          <w:sz w:val="24"/>
          <w:szCs w:val="24"/>
        </w:rPr>
        <w:t>Tecidos, vestuário e calçados,</w:t>
      </w:r>
      <w:r w:rsidRPr="00CE2E1A">
        <w:rPr>
          <w:b/>
          <w:rFonts w:ascii="Times New Roman" w:cs="Times New Roman" w:eastAsia="Arial" w:hAnsi="Times New Roman"/>
          <w:sz w:val="24"/>
          <w:szCs w:val="24"/>
        </w:rPr>
        <w:t xml:space="preserve"> 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assim como </w:t>
      </w:r>
      <w:r w:rsidRPr="00044686">
        <w:rPr>
          <w:bCs/>
          <w:rFonts w:ascii="Times New Roman" w:cs="Times New Roman" w:eastAsia="Arial" w:hAnsi="Times New Roman"/>
          <w:sz w:val="24"/>
          <w:szCs w:val="24"/>
        </w:rPr>
        <w:t>Móveis e eletrodomésticos</w:t>
      </w:r>
      <w:r w:rsidRPr="00CE2E1A">
        <w:rPr>
          <w:rFonts w:ascii="Times New Roman" w:cs="Times New Roman" w:eastAsia="Arial" w:hAnsi="Times New Roman"/>
          <w:sz w:val="24"/>
          <w:szCs w:val="24"/>
        </w:rPr>
        <w:t>, ambos impactados pela restrição ao crédito e pela queda da renda disponível (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Razzini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, 2023a), e </w:t>
      </w:r>
      <w:r w:rsidRPr="00044686">
        <w:rPr>
          <w:bCs/>
          <w:rFonts w:ascii="Times New Roman" w:cs="Times New Roman" w:eastAsia="Arial" w:hAnsi="Times New Roman"/>
          <w:sz w:val="24"/>
          <w:szCs w:val="24"/>
        </w:rPr>
        <w:t>Outros artigos de uso pessoal e doméstico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que teve a maior retração, acumulando -7,8% no ano e em 12 meses,</w:t>
      </w:r>
      <w:r w:rsidRPr="00CE2E1A">
        <w:rPr>
          <w:b/>
          <w:rFonts w:ascii="Times New Roman" w:cs="Times New Roman" w:eastAsia="Arial" w:hAnsi="Times New Roman"/>
          <w:sz w:val="24"/>
          <w:szCs w:val="24"/>
        </w:rPr>
        <w:t xml:space="preserve"> </w:t>
      </w:r>
      <w:r w:rsidRPr="00CE2E1A">
        <w:rPr>
          <w:rFonts w:ascii="Times New Roman" w:cs="Times New Roman" w:eastAsia="Arial" w:hAnsi="Times New Roman"/>
          <w:sz w:val="24"/>
          <w:szCs w:val="24"/>
        </w:rPr>
        <w:t>refletindo a priorização de bens essenciais no orç</w:t>
      </w:r>
      <w:r w:rsidRPr="00CE2E1A">
        <w:rPr>
          <w:rFonts w:ascii="Times New Roman" w:cs="Times New Roman" w:eastAsia="Arial" w:hAnsi="Times New Roman"/>
          <w:sz w:val="24"/>
          <w:szCs w:val="24"/>
        </w:rPr>
        <w:t>amento familiar, evidenciando que setores voltados ao consumo discricionário enfrentaram dificuldades, enquanto os essenciais mantiveram crescimento sustentado (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Testoni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>, 2024).</w:t>
      </w:r>
    </w:p>
    <w:p w:rsidR="00682B0D" w:rsidRDefault="00682B0D" w14:paraId="2F5FE0CA" w14:textId="77777777" w:rsidP="00682B0D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720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EC7508" w:rsidRDefault="00EC7508" w14:paraId="200AFFF3" w14:textId="77777777" w:rsidP="00304956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53BFC" w:rsidRDefault="00953BFC" w14:paraId="51704842" w14:textId="77777777" w:rsidP="00304956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53BFC" w:rsidRDefault="00953BFC" w14:paraId="5B90DA33" w14:textId="77777777" w:rsidP="00304956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53BFC" w:rsidRDefault="00953BFC" w14:paraId="5F0FC8A4" w14:textId="77777777" w:rsidP="00304956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53BFC" w:rsidRDefault="00953BFC" w14:paraId="7B912DEA" w14:textId="77777777" w:rsidP="00304956" w:rsidRPr="00CE2E1A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4311772C" w14:textId="0DF24242" w:rsidP="005B1184" w:rsidRPr="00CE2E1A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center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044686">
        <w:rPr>
          <w:bCs/>
          <w:b/>
          <w:rFonts w:ascii="Times New Roman" w:cs="Times New Roman" w:eastAsia="Arial" w:hAnsi="Times New Roman"/>
          <w:sz w:val="24"/>
          <w:szCs w:val="24"/>
        </w:rPr>
        <w:t>Figura 1:</w:t>
        <w:lastRenderedPageBreak/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Variações (%) acumuladas no ano (em relação ao mesmo período do ano a</w:t>
      </w:r>
      <w:r w:rsidR="004101E2">
        <w:rPr>
          <w:rFonts w:ascii="Times New Roman" w:cs="Times New Roman" w:eastAsia="Arial" w:hAnsi="Times New Roman"/>
          <w:sz w:val="24"/>
          <w:szCs w:val="24"/>
        </w:rPr>
        <w:t xml:space="preserve">nterior) e em 12 meses (em </w:t>
      </w:r>
      <w:r w:rsidRPr="00CE2E1A">
        <w:rPr>
          <w:rFonts w:ascii="Times New Roman" w:cs="Times New Roman" w:eastAsia="Arial" w:hAnsi="Times New Roman"/>
          <w:sz w:val="24"/>
          <w:szCs w:val="24"/>
        </w:rPr>
        <w:t>relação ao período anterior de 12 meses) do Índice de volume de vendas no comércio varejista comum em Santa Catarina, por Atividades, 2023.</w:t>
      </w:r>
    </w:p>
    <w:p w:rsidR="009F4A22" w:rsidRDefault="001B74D8" w14:paraId="1015BC1D" w14:textId="77777777" w:rsidP="00BD7F45" w:rsidRPr="00CE2E1A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center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noProof/>
        </w:rPr>
        <w:drawing>
          <wp:inline distB="114300" distL="114300" distR="114300" distT="114300" wp14:anchorId="6D15C8E4" wp14:editId="39223B70">
            <wp:extent cx="5100955" cy="4705350"/>
            <wp:effectExtent l="0" t="0" r="4445" b="0"/>
            <wp:docPr id="165755853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269" cy="4708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1184" w:rsidRDefault="001B74D8" w14:paraId="2CB73A81" w14:textId="3F99B283" w:rsidP="00304956">
      <w:pPr>
        <w:jc w:val="center"/>
        <w:spacing w:after="0" w:line="360" w:lineRule="auto"/>
        <w:rPr>
          <w:rFonts w:ascii="Times New Roman" w:cs="Times New Roman" w:eastAsia="Arial" w:hAnsi="Times New Roman"/>
          <w:sz w:val="20"/>
          <w:szCs w:val="20"/>
        </w:rPr>
      </w:pPr>
      <w:r w:rsidRPr="00044686">
        <w:rPr>
          <w:rFonts w:ascii="Times New Roman" w:cs="Times New Roman" w:eastAsia="Arial" w:hAnsi="Times New Roman"/>
          <w:sz w:val="20"/>
          <w:szCs w:val="20"/>
        </w:rPr>
        <w:t>Fonte: PMC-IBGE. Elaboração: NECAT/UFSC.</w:t>
      </w:r>
    </w:p>
    <w:p w:rsidR="00304956" w:rsidRDefault="00304956" w14:paraId="06622FD9" w14:textId="77777777" w:rsidP="00304956">
      <w:pPr>
        <w:jc w:val="center"/>
        <w:spacing w:after="0" w:line="360" w:lineRule="auto"/>
        <w:rPr>
          <w:rFonts w:ascii="Times New Roman" w:cs="Times New Roman" w:eastAsia="Arial" w:hAnsi="Times New Roman"/>
          <w:sz w:val="20"/>
          <w:szCs w:val="20"/>
        </w:rPr>
      </w:pPr>
    </w:p>
    <w:p w:rsidR="00953BFC" w:rsidRDefault="00953BFC" w14:paraId="0B9B7142" w14:textId="77777777" w:rsidP="00304956" w:rsidRPr="00044686">
      <w:pPr>
        <w:jc w:val="center"/>
        <w:spacing w:after="0" w:line="360" w:lineRule="auto"/>
        <w:rPr>
          <w:rFonts w:ascii="Times New Roman" w:cs="Times New Roman" w:eastAsia="Arial" w:hAnsi="Times New Roman"/>
          <w:sz w:val="20"/>
          <w:szCs w:val="20"/>
        </w:rPr>
      </w:pPr>
    </w:p>
    <w:p w:rsidR="004101E2" w:rsidRDefault="001B74D8" w14:paraId="21E4920E" w14:textId="58C3DFC7" w:rsidP="00682B0D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Diante do exposto, o crescimento observado ao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longo de 2023, embora </w:t>
      </w:r>
      <w:proofErr w:type="gramStart"/>
      <w:r w:rsidRPr="00CE2E1A">
        <w:rPr>
          <w:rFonts w:ascii="Times New Roman" w:cs="Times New Roman" w:eastAsia="Arial" w:hAnsi="Times New Roman"/>
          <w:sz w:val="24"/>
          <w:szCs w:val="24"/>
        </w:rPr>
        <w:t>positivo</w:t>
      </w:r>
      <w:proofErr w:type="gramEnd"/>
      <w:r w:rsidRPr="00CE2E1A">
        <w:rPr>
          <w:rFonts w:ascii="Times New Roman" w:cs="Times New Roman" w:eastAsia="Arial" w:hAnsi="Times New Roman"/>
          <w:sz w:val="24"/>
          <w:szCs w:val="24"/>
        </w:rPr>
        <w:t>, não representou um salto abrupto, mas sim uma continuidade do processo de recuperação iniciado nos anos anteriores. A manutenção de um patamar superior ao Brasil sugere que o comércio catarinense conseguiu sustentar seu din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amismo mesmo diante de desafios como juros elevados e inflação persistente. Entretanto, foi um ano desafiador devido à inflação, os juros elevados e o endividamento das famílias, os quais limitaram o potencial de crescimento. </w:t>
      </w:r>
    </w:p>
    <w:p w:rsidR="005B1184" w:rsidRDefault="005B1184" w14:paraId="0C4C243C" w14:textId="77777777" w:rsidP="00BD7F45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5B1184" w:rsidRDefault="005B1184" w14:paraId="6016BC34" w14:textId="77777777" w:rsidP="00BD7F45" w:rsidRPr="00CE2E1A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683F3942" w14:textId="77777777" w:rsidP="005B1184">
      <w:pPr>
        <w:jc w:val="both"/>
        <w:spacing w:after="0" w:line="360" w:lineRule="auto"/>
        <w:rPr>
          <w:b/>
          <w:rFonts w:ascii="Times New Roman" w:cs="Times New Roman" w:eastAsia="Arial" w:hAnsi="Times New Roman"/>
          <w:sz w:val="24"/>
          <w:szCs w:val="24"/>
        </w:rPr>
      </w:pPr>
      <w:r w:rsidRPr="00CE2E1A">
        <w:rPr>
          <w:b/>
          <w:rFonts w:ascii="Times New Roman" w:cs="Times New Roman" w:eastAsia="Arial" w:hAnsi="Times New Roman"/>
          <w:sz w:val="24"/>
          <w:szCs w:val="24"/>
        </w:rPr>
        <w:t xml:space="preserve">2.2 O comportamento do </w:t>
        <w:lastRenderedPageBreak/>
      </w:r>
      <w:r w:rsidRPr="00CE2E1A">
        <w:rPr>
          <w:b/>
          <w:rFonts w:ascii="Times New Roman" w:cs="Times New Roman" w:eastAsia="Arial" w:hAnsi="Times New Roman"/>
          <w:sz w:val="24"/>
          <w:szCs w:val="24"/>
        </w:rPr>
        <w:t>comércio em Santa Catarina no ano de 2024 e tendências</w:t>
      </w:r>
    </w:p>
    <w:p w:rsidR="005B1184" w:rsidRDefault="005B1184" w14:paraId="21491A53" w14:textId="77777777" w:rsidP="005B1184">
      <w:pPr>
        <w:jc w:val="both"/>
        <w:spacing w:after="0" w:line="360" w:lineRule="auto"/>
        <w:rPr>
          <w:b/>
          <w:rFonts w:ascii="Times New Roman" w:cs="Times New Roman" w:eastAsia="Arial" w:hAnsi="Times New Roman"/>
          <w:sz w:val="24"/>
          <w:szCs w:val="24"/>
        </w:rPr>
      </w:pPr>
    </w:p>
    <w:p w:rsidR="005B1184" w:rsidRDefault="005B1184" w14:paraId="0C83B1CE" w14:textId="77777777" w:rsidP="005B1184" w:rsidRPr="00CE2E1A">
      <w:pPr>
        <w:jc w:val="both"/>
        <w:spacing w:after="0" w:line="360" w:lineRule="auto"/>
        <w:rPr>
          <w:b/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610A4407" w14:textId="2F9308EA" w:rsidP="00682B0D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 xml:space="preserve">O comércio catarinense em 2024 passou por um período de crescimento moderado e instável, refletindo tanto a recuperação de setores estratégicos quanto os impactos persistentes de um ambiente </w:t>
      </w:r>
      <w:r w:rsidRPr="00CE2E1A">
        <w:rPr>
          <w:rFonts w:ascii="Times New Roman" w:cs="Times New Roman" w:eastAsia="Arial" w:hAnsi="Times New Roman"/>
          <w:sz w:val="24"/>
          <w:szCs w:val="24"/>
        </w:rPr>
        <w:t>macroeconômico desafiador. Segundo análises do NECAT, a inflação relativamente controlada e a estabilidade no mercado de trabalho favoreceram o consumo em determinados segmentos. Entretanto, a política monetária restritiva, com juros elevados e crédito lim</w:t>
      </w:r>
      <w:r w:rsidRPr="00CE2E1A">
        <w:rPr>
          <w:rFonts w:ascii="Times New Roman" w:cs="Times New Roman" w:eastAsia="Arial" w:hAnsi="Times New Roman"/>
          <w:sz w:val="24"/>
          <w:szCs w:val="24"/>
        </w:rPr>
        <w:t>itado, reduziu a demanda por bens duráveis e restringiu a expansão do consumo (Testoni, 2024d). Os dados da Pesquisa Mensal do Comércio indicam oscilações significativas ao longo do ano, com variações expressivas entre os meses e entre diferentes atividade</w:t>
      </w:r>
      <w:r w:rsidRPr="00CE2E1A">
        <w:rPr>
          <w:rFonts w:ascii="Times New Roman" w:cs="Times New Roman" w:eastAsia="Arial" w:hAnsi="Times New Roman"/>
          <w:sz w:val="24"/>
          <w:szCs w:val="24"/>
        </w:rPr>
        <w:t>s comerciais.</w:t>
      </w:r>
    </w:p>
    <w:p w:rsidR="005B1184" w:rsidRDefault="005B1184" w14:paraId="7FAFFBE0" w14:textId="77777777" w:rsidP="00BD7F45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5B1184" w:rsidRDefault="005B1184" w14:paraId="1D5EAF0C" w14:textId="77777777" w:rsidP="00BD7F45" w:rsidRPr="00CE2E1A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61E09BE1" w14:textId="77777777" w:rsidP="005B1184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spacing w:after="0" w:line="360" w:lineRule="auto"/>
        <w:rPr>
          <w:bCs/>
          <w:b/>
          <w:rFonts w:ascii="Times New Roman" w:cs="Times New Roman" w:eastAsia="Arial" w:hAnsi="Times New Roman"/>
          <w:sz w:val="24"/>
          <w:szCs w:val="24"/>
        </w:rPr>
      </w:pPr>
      <w:r w:rsidRPr="00044686">
        <w:rPr>
          <w:bCs/>
          <w:b/>
          <w:rFonts w:ascii="Times New Roman" w:cs="Times New Roman" w:eastAsia="Arial" w:hAnsi="Times New Roman"/>
          <w:sz w:val="24"/>
          <w:szCs w:val="24"/>
        </w:rPr>
        <w:t>2.2.1 Evolução geral do comércio catarinense em 2024</w:t>
      </w:r>
    </w:p>
    <w:p w:rsidR="005B1184" w:rsidRDefault="005B1184" w14:paraId="546E1DC6" w14:textId="77777777" w:rsidP="005B1184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spacing w:after="0" w:line="360" w:lineRule="auto"/>
        <w:rPr>
          <w:bCs/>
          <w:b/>
          <w:rFonts w:ascii="Times New Roman" w:cs="Times New Roman" w:eastAsia="Arial" w:hAnsi="Times New Roman"/>
          <w:sz w:val="24"/>
          <w:szCs w:val="24"/>
        </w:rPr>
      </w:pPr>
    </w:p>
    <w:p w:rsidR="005B1184" w:rsidRDefault="005B1184" w14:paraId="1F791A89" w14:textId="77777777" w:rsidP="005B1184" w:rsidRPr="00044686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spacing w:after="0" w:line="360" w:lineRule="auto"/>
        <w:rPr>
          <w:bCs/>
          <w:b/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00C8F0B1" w14:textId="77777777" w:rsidP="00682B0D" w:rsidRPr="00CE2E1A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 xml:space="preserve">O Gráfico </w:t>
      </w:r>
      <w:proofErr w:type="gramStart"/>
      <w:r w:rsidRPr="00CE2E1A">
        <w:rPr>
          <w:rFonts w:ascii="Times New Roman" w:cs="Times New Roman" w:eastAsia="Arial" w:hAnsi="Times New Roman"/>
          <w:sz w:val="24"/>
          <w:szCs w:val="24"/>
        </w:rPr>
        <w:t>5</w:t>
      </w:r>
      <w:proofErr w:type="gramEnd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 apresenta a variação mensal do volume de vendas (M/M-12 %), evidenciando períodos de crescimento, especialmente no primeiro semestre, e desaceleração em meses como março e dezem</w:t>
      </w:r>
      <w:r w:rsidRPr="00CE2E1A">
        <w:rPr>
          <w:rFonts w:ascii="Times New Roman" w:cs="Times New Roman" w:eastAsia="Arial" w:hAnsi="Times New Roman"/>
          <w:sz w:val="24"/>
          <w:szCs w:val="24"/>
        </w:rPr>
        <w:t>bro, refletindo a volatilidade do setor ao longo do ano.</w:t>
      </w:r>
    </w:p>
    <w:p w:rsidR="009F4A22" w:rsidRDefault="001B74D8" w14:paraId="37C663A2" w14:textId="77777777" w:rsidP="00682B0D" w:rsidRPr="00CE2E1A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 xml:space="preserve">O primeiro semestre foi marcado por variações positivas em janeiro (+6,8%) e em 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fevereiro (+9,7%), impulsionado por promoções sazonais e maior circulação de renda. </w:t>
      </w:r>
      <w:r w:rsidRPr="00CE2E1A">
        <w:rPr>
          <w:rFonts w:ascii="Times New Roman" w:cs="Times New Roman" w:eastAsia="Arial" w:hAnsi="Times New Roman"/>
          <w:sz w:val="24"/>
          <w:szCs w:val="24"/>
        </w:rPr>
        <w:t>No entanto, março apresentou uma re</w:t>
      </w:r>
      <w:r w:rsidRPr="00CE2E1A">
        <w:rPr>
          <w:rFonts w:ascii="Times New Roman" w:cs="Times New Roman" w:eastAsia="Arial" w:hAnsi="Times New Roman"/>
          <w:sz w:val="24"/>
          <w:szCs w:val="24"/>
        </w:rPr>
        <w:t>tração de -1,4%, indicando uma acomodação do consumo após o período inicial de recuperação. Nos meses seguintes, o comércio voltou a apresentar variações positivas, com destaque para abril (+5%) e maio (+4,9%). Esse padrão indica que, apesar da resiliência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do setor, a incerteza econômica gerou oscilações na demanda (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Testoni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>, 2024b).</w:t>
      </w:r>
    </w:p>
    <w:p w:rsidR="005B1184" w:rsidRDefault="001B74D8" w14:paraId="341CF596" w14:textId="6109CA0B" w:rsidP="00EC7508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O segundo semestre manteve oscilações. Houve crescimento mais expressivo em julho (+7,3%) e outubro (+7,8%), enquanto meses como setembro (+2,2%) e dezembro (+1,4%) apresentara</w:t>
      </w:r>
      <w:r w:rsidRPr="00CE2E1A">
        <w:rPr>
          <w:rFonts w:ascii="Times New Roman" w:cs="Times New Roman" w:eastAsia="Arial" w:hAnsi="Times New Roman"/>
          <w:sz w:val="24"/>
          <w:szCs w:val="24"/>
        </w:rPr>
        <w:t>m um avanço mais tímido, refletindo o impacto do crédito caro e da menor confiança do consumidor (Testoni, 2024e). Os resultados do último trimestre mostram que, embora o comércio tenha mantido crescimento, a alta dos juros e o crédito restrito impediram u</w:t>
      </w:r>
      <w:r w:rsidRPr="00CE2E1A">
        <w:rPr>
          <w:rFonts w:ascii="Times New Roman" w:cs="Times New Roman" w:eastAsia="Arial" w:hAnsi="Times New Roman"/>
          <w:sz w:val="24"/>
          <w:szCs w:val="24"/>
        </w:rPr>
        <w:t>ma expansão mais sustentada.</w:t>
      </w:r>
    </w:p>
    <w:p w:rsidR="00EC7508" w:rsidRDefault="00EC7508" w14:paraId="4F98EDC0" w14:textId="77777777" w:rsidP="00EC7508" w:rsidRPr="00CE2E1A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65FBE012" w14:textId="77777777" w:rsidP="005B1184" w:rsidRPr="00CE2E1A">
      <w:pPr>
        <w:jc w:val="center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044686">
        <w:rPr>
          <w:bCs/>
          <w:b/>
          <w:rFonts w:ascii="Times New Roman" w:cs="Times New Roman" w:eastAsia="Arial" w:hAnsi="Times New Roman"/>
          <w:sz w:val="24"/>
          <w:szCs w:val="24"/>
        </w:rPr>
        <w:t xml:space="preserve">Gráfico </w:t>
      </w:r>
      <w:proofErr w:type="gramStart"/>
      <w:r w:rsidRPr="00044686">
        <w:rPr>
          <w:bCs/>
          <w:b/>
          <w:rFonts w:ascii="Times New Roman" w:cs="Times New Roman" w:eastAsia="Arial" w:hAnsi="Times New Roman"/>
          <w:sz w:val="24"/>
          <w:szCs w:val="24"/>
        </w:rPr>
        <w:t>5</w:t>
      </w:r>
      <w:proofErr w:type="gramEnd"/>
      <w:r w:rsidRPr="00044686">
        <w:rPr>
          <w:bCs/>
          <w:b/>
          <w:rFonts w:ascii="Times New Roman" w:cs="Times New Roman" w:eastAsia="Arial" w:hAnsi="Times New Roman"/>
          <w:sz w:val="24"/>
          <w:szCs w:val="24"/>
        </w:rPr>
        <w:t>: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Variação MM-12 (%) do Volume de Vendas do Comércio Varejista Ampliado durante a Pandemia, 2024, Brasil e Santa Catarina (2022 = base 100).</w:t>
      </w:r>
    </w:p>
    <w:p w:rsidR="009F4A22" w:rsidRDefault="001B74D8" w14:paraId="0AD0082E" w14:textId="77777777" w:rsidP="00BD7F45" w:rsidRPr="00CE2E1A">
      <w:pPr>
        <w:jc w:val="center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noProof/>
        </w:rPr>
        <w:drawing>
          <wp:inline distB="114300" distL="114300" distR="114300" distT="114300" wp14:anchorId="6C4F42EE" wp14:editId="37C791C8">
            <wp:extent cx="5314950" cy="2657475"/>
            <wp:effectExtent l="0" t="0" r="0" b="0"/>
            <wp:docPr id="165755853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657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F4A22" w:rsidRDefault="001B74D8" w14:paraId="66033778" w14:textId="4BE5F935" w:rsidP="005B1184">
      <w:pPr>
        <w:jc w:val="center"/>
        <w:spacing w:after="0" w:line="360" w:lineRule="auto"/>
        <w:rPr>
          <w:rFonts w:ascii="Times New Roman" w:cs="Times New Roman" w:eastAsia="Arial" w:hAnsi="Times New Roman"/>
          <w:sz w:val="20"/>
          <w:szCs w:val="20"/>
        </w:rPr>
      </w:pPr>
      <w:r w:rsidRPr="00044686">
        <w:rPr>
          <w:rFonts w:ascii="Times New Roman" w:cs="Times New Roman" w:eastAsia="Arial" w:hAnsi="Times New Roman"/>
          <w:sz w:val="20"/>
          <w:szCs w:val="20"/>
        </w:rPr>
        <w:t>Fonte: PMC-IBGE. Elaboração: NECAT/UFSC.</w:t>
      </w:r>
    </w:p>
    <w:p w:rsidR="005B1184" w:rsidRDefault="005B1184" w14:paraId="143FF1AA" w14:textId="77777777" w:rsidP="005B1184">
      <w:pPr>
        <w:jc w:val="center"/>
        <w:spacing w:after="0" w:line="360" w:lineRule="auto"/>
        <w:rPr>
          <w:rFonts w:ascii="Times New Roman" w:cs="Times New Roman" w:eastAsia="Arial" w:hAnsi="Times New Roman"/>
          <w:sz w:val="20"/>
          <w:szCs w:val="20"/>
        </w:rPr>
      </w:pPr>
    </w:p>
    <w:p w:rsidR="005B1184" w:rsidRDefault="005B1184" w14:paraId="7426D0B6" w14:textId="77777777" w:rsidP="005B1184" w:rsidRPr="00044686">
      <w:pPr>
        <w:jc w:val="center"/>
        <w:spacing w:after="0" w:line="360" w:lineRule="auto"/>
        <w:rPr>
          <w:rFonts w:ascii="Times New Roman" w:cs="Times New Roman" w:eastAsia="Arial" w:hAnsi="Times New Roman"/>
          <w:sz w:val="20"/>
          <w:szCs w:val="20"/>
        </w:rPr>
      </w:pPr>
    </w:p>
    <w:p w:rsidR="009F4A22" w:rsidRDefault="001B74D8" w14:paraId="2473DCB9" w14:textId="77777777" w:rsidP="00682B0D" w:rsidRPr="00CE2E1A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 xml:space="preserve">Para compreender melhor a 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trajetória de recuperação do comércio ao longo do ano, o Gráfico </w:t>
      </w:r>
      <w:proofErr w:type="gramStart"/>
      <w:r w:rsidRPr="00CE2E1A">
        <w:rPr>
          <w:rFonts w:ascii="Times New Roman" w:cs="Times New Roman" w:eastAsia="Arial" w:hAnsi="Times New Roman"/>
          <w:sz w:val="24"/>
          <w:szCs w:val="24"/>
        </w:rPr>
        <w:t>6</w:t>
      </w:r>
      <w:proofErr w:type="gramEnd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 apresenta o índice de volume de vendas (MM-12 %) do comércio varejista comum catarinense, de janeiro a dezembro de 2024. Observa-se que, embora ambas as séries — Santa Catarina e Brasil — t</w:t>
      </w:r>
      <w:r w:rsidRPr="00CE2E1A">
        <w:rPr>
          <w:rFonts w:ascii="Times New Roman" w:cs="Times New Roman" w:eastAsia="Arial" w:hAnsi="Times New Roman"/>
          <w:sz w:val="24"/>
          <w:szCs w:val="24"/>
        </w:rPr>
        <w:t>enham seguido tendências semelhantes, a economia catarinense demonstrou um desempenho ligeiramente superior em diversos momentos do ano.</w:t>
      </w:r>
    </w:p>
    <w:p w:rsidR="009F4A22" w:rsidRDefault="001B74D8" w14:paraId="0BE76ECA" w14:textId="77777777" w:rsidP="00682B0D" w:rsidRPr="00CE2E1A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 xml:space="preserve">Entretanto, verifica-se que, embora o setor catarinense tenha mantido um nível de atividade superior ao seu no período </w:t>
      </w:r>
      <w:r w:rsidRPr="00CE2E1A">
        <w:rPr>
          <w:rFonts w:ascii="Times New Roman" w:cs="Times New Roman" w:eastAsia="Arial" w:hAnsi="Times New Roman"/>
          <w:sz w:val="24"/>
          <w:szCs w:val="24"/>
        </w:rPr>
        <w:t>pandêmico, o crescimento foi menos acelerado em comparação a anos anteriores, e o comportamento, de estabilidade relativa, com o índice oscilando entre 100,0 e 127,3 ao longo do ano. Em meses como fevereiro (96,4) e setembro (104,2), o índice esteve abaixo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da média anual, possivelmente influenciados pela política monetária restritiva. Por outro lado, os meses de outubro (119,1) e novembro (120,5) indicaram um impulso sazonal, provavelmente associado à Black Friday e ao aumento do consumo de fim de ano (Test</w:t>
      </w:r>
      <w:r w:rsidRPr="00CE2E1A">
        <w:rPr>
          <w:rFonts w:ascii="Times New Roman" w:cs="Times New Roman" w:eastAsia="Arial" w:hAnsi="Times New Roman"/>
          <w:sz w:val="24"/>
          <w:szCs w:val="24"/>
        </w:rPr>
        <w:t>oni, 2024f).</w:t>
      </w:r>
    </w:p>
    <w:p w:rsidR="009F4A22" w:rsidRDefault="001B74D8" w14:paraId="4891FD18" w14:textId="77777777" w:rsidP="00682B0D" w:rsidRPr="00CE2E1A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No primeiro trimestre, os índices catarinense e nacional apresentaram variações semelhantes, sugerindo um início de ano estável, sem grandes diferenças entre os mercados. A partir de maio, o comércio em Santa Catarina mostrou uma trajetória as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cendente, destacando-se picos no segundo semestre (julho e agosto). Já no cenário </w:t>
      </w:r>
      <w:r w:rsidRPr="00CE2E1A">
        <w:rPr>
          <w:rFonts w:ascii="Times New Roman" w:cs="Times New Roman" w:eastAsia="Arial" w:hAnsi="Times New Roman"/>
          <w:sz w:val="24"/>
          <w:szCs w:val="24"/>
        </w:rPr>
        <w:t>nacional, a recuperação ocorreu de forma mais suave, com menor volatilidade entre os meses.</w:t>
        <w:lastRenderedPageBreak/>
      </w:r>
    </w:p>
    <w:p w:rsidR="009F4A22" w:rsidRDefault="001B74D8" w14:paraId="68281AD5" w14:textId="509648A2" w:rsidP="00682B0D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No último trimestre, o comércio catarinense registrou crescimento expressivo entre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outubro e dezembro, superando a trajetória mais estável observada na média nacional. Esses dados indicam que, apesar dos desafios macroeconômicos, o comércio varejista em Santa Catarina conseguiu manter um ritmo superior à média do país.</w:t>
      </w:r>
    </w:p>
    <w:p w:rsidR="005B1184" w:rsidRDefault="005B1184" w14:paraId="19AE6242" w14:textId="77777777" w:rsidP="00BD7F45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5B1184" w:rsidRDefault="005B1184" w14:paraId="51FC3B31" w14:textId="77777777" w:rsidP="00BD7F45" w:rsidRPr="00CE2E1A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659A4C6C" w14:textId="77777777" w:rsidP="005B1184" w:rsidRPr="00CE2E1A">
      <w:pPr>
        <w:jc w:val="center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044686">
        <w:rPr>
          <w:bCs/>
          <w:b/>
          <w:rFonts w:ascii="Times New Roman" w:cs="Times New Roman" w:eastAsia="Arial" w:hAnsi="Times New Roman"/>
          <w:sz w:val="24"/>
          <w:szCs w:val="24"/>
        </w:rPr>
        <w:t xml:space="preserve">Gráfico </w:t>
      </w:r>
      <w:proofErr w:type="gramStart"/>
      <w:r w:rsidRPr="00044686">
        <w:rPr>
          <w:bCs/>
          <w:b/>
          <w:rFonts w:ascii="Times New Roman" w:cs="Times New Roman" w:eastAsia="Arial" w:hAnsi="Times New Roman"/>
          <w:sz w:val="24"/>
          <w:szCs w:val="24"/>
        </w:rPr>
        <w:t>6</w:t>
      </w:r>
      <w:proofErr w:type="gramEnd"/>
      <w:r w:rsidRPr="00CE2E1A">
        <w:rPr>
          <w:rFonts w:ascii="Times New Roman" w:cs="Times New Roman" w:eastAsia="Arial" w:hAnsi="Times New Roman"/>
          <w:sz w:val="24"/>
          <w:szCs w:val="24"/>
        </w:rPr>
        <w:t>: Índice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de Volume de Vendas (MM-12 %) no Comércio Varejista Ampliado, 2024, Brasil e Santa Catarina (2022= base 100).</w:t>
      </w:r>
    </w:p>
    <w:p w:rsidR="009F4A22" w:rsidRDefault="001B74D8" w14:paraId="6B72AC6A" w14:textId="77777777" w:rsidP="00BD7F45" w:rsidRPr="00CE2E1A">
      <w:pPr>
        <w:jc w:val="center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noProof/>
        </w:rPr>
        <w:drawing>
          <wp:inline distB="114300" distL="114300" distR="114300" distT="114300" wp14:anchorId="7E308017" wp14:editId="25AEFBC7">
            <wp:extent cx="5286375" cy="2657475"/>
            <wp:effectExtent l="0" t="0" r="0" b="0"/>
            <wp:docPr id="165755853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657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F4A22" w:rsidRDefault="001B74D8" w14:paraId="15D8B914" w14:textId="0EA8CF72" w:rsidP="005B1184">
      <w:pPr>
        <w:jc w:val="center"/>
        <w:spacing w:after="0" w:line="360" w:lineRule="auto"/>
        <w:rPr>
          <w:rFonts w:ascii="Times New Roman" w:cs="Times New Roman" w:eastAsia="Arial" w:hAnsi="Times New Roman"/>
          <w:sz w:val="20"/>
          <w:szCs w:val="20"/>
        </w:rPr>
      </w:pPr>
      <w:r w:rsidRPr="00044686">
        <w:rPr>
          <w:rFonts w:ascii="Times New Roman" w:cs="Times New Roman" w:eastAsia="Arial" w:hAnsi="Times New Roman"/>
          <w:sz w:val="20"/>
          <w:szCs w:val="20"/>
        </w:rPr>
        <w:t>Fonte: PMC-IBGE. Elaboração: NECAT/UFSC.</w:t>
      </w:r>
    </w:p>
    <w:p w:rsidR="005B1184" w:rsidRDefault="005B1184" w14:paraId="52D8D7ED" w14:textId="77777777" w:rsidP="005B1184">
      <w:pPr>
        <w:jc w:val="center"/>
        <w:spacing w:after="0" w:line="360" w:lineRule="auto"/>
        <w:rPr>
          <w:rFonts w:ascii="Times New Roman" w:cs="Times New Roman" w:eastAsia="Arial" w:hAnsi="Times New Roman"/>
          <w:sz w:val="20"/>
          <w:szCs w:val="20"/>
        </w:rPr>
      </w:pPr>
    </w:p>
    <w:p w:rsidR="005B1184" w:rsidRDefault="005B1184" w14:paraId="63E07018" w14:textId="77777777" w:rsidP="005B1184" w:rsidRPr="00044686">
      <w:pPr>
        <w:jc w:val="center"/>
        <w:spacing w:after="0" w:line="360" w:lineRule="auto"/>
        <w:rPr>
          <w:rFonts w:ascii="Times New Roman" w:cs="Times New Roman" w:eastAsia="Arial" w:hAnsi="Times New Roman"/>
          <w:sz w:val="20"/>
          <w:szCs w:val="20"/>
        </w:rPr>
      </w:pPr>
    </w:p>
    <w:p w:rsidR="009F4A22" w:rsidRDefault="001B74D8" w14:paraId="364100D8" w14:textId="77777777" w:rsidP="005B1184">
      <w:pPr>
        <w:spacing w:after="0" w:line="360" w:lineRule="auto"/>
        <w:rPr>
          <w:bCs/>
          <w:b/>
          <w:rFonts w:ascii="Times New Roman" w:cs="Times New Roman" w:eastAsia="Arial" w:hAnsi="Times New Roman"/>
          <w:sz w:val="24"/>
          <w:szCs w:val="24"/>
        </w:rPr>
      </w:pPr>
      <w:r w:rsidRPr="00044686">
        <w:rPr>
          <w:bCs/>
          <w:b/>
          <w:rFonts w:ascii="Times New Roman" w:cs="Times New Roman" w:eastAsia="Arial" w:hAnsi="Times New Roman"/>
          <w:sz w:val="24"/>
          <w:szCs w:val="24"/>
        </w:rPr>
        <w:t>2.2.2 Fatores que influenciaram o comércio e desempenho setorial catarinenses em 2024</w:t>
      </w:r>
    </w:p>
    <w:p w:rsidR="005B1184" w:rsidRDefault="005B1184" w14:paraId="1F728B2C" w14:textId="77777777" w:rsidP="005B1184">
      <w:pPr>
        <w:spacing w:after="0" w:line="360" w:lineRule="auto"/>
        <w:rPr>
          <w:bCs/>
          <w:b/>
          <w:rFonts w:ascii="Times New Roman" w:cs="Times New Roman" w:eastAsia="Arial" w:hAnsi="Times New Roman"/>
          <w:sz w:val="24"/>
          <w:szCs w:val="24"/>
        </w:rPr>
      </w:pPr>
    </w:p>
    <w:p w:rsidR="005B1184" w:rsidRDefault="005B1184" w14:paraId="0851DF85" w14:textId="77777777" w:rsidP="005B1184" w:rsidRPr="00044686">
      <w:pPr>
        <w:spacing w:after="0" w:line="360" w:lineRule="auto"/>
        <w:rPr>
          <w:bCs/>
          <w:b/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76CA2A5E" w14:textId="77777777" w:rsidP="00682B0D" w:rsidRPr="00CE2E1A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 xml:space="preserve">O desempenho do </w:t>
      </w:r>
      <w:r w:rsidRPr="00CE2E1A">
        <w:rPr>
          <w:rFonts w:ascii="Times New Roman" w:cs="Times New Roman" w:eastAsia="Arial" w:hAnsi="Times New Roman"/>
          <w:sz w:val="24"/>
          <w:szCs w:val="24"/>
        </w:rPr>
        <w:t>comércio catarinense em 2024 foi marcado por desafios macroeconômicos e setoriais que influenciaram o ritmo de recuperação do setor. Apesar da inflação relativamente controlada e da estabilização do mercado de trabalho, a taxa de juros elevada continuou re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stringindo o crédito, impactando negativamente o consumo de bens duráveis, como móveis, eletrodomésticos e veículos (Testoni &amp; Ferreira, 2024; Testoni &amp; Ferreira, 2024a). Além disso, a desaceleração do crescimento 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econômico nacional reduziu a confiança do </w:t>
        <w:lastRenderedPageBreak/>
      </w:r>
      <w:r w:rsidRPr="00CE2E1A">
        <w:rPr>
          <w:rFonts w:ascii="Times New Roman" w:cs="Times New Roman" w:eastAsia="Arial" w:hAnsi="Times New Roman"/>
          <w:sz w:val="24"/>
          <w:szCs w:val="24"/>
        </w:rPr>
        <w:t>consumidor e afetou setores dependentes de demanda mais elástica (Testoni, 2024; Testoni &amp; Ferreira, 2024a).</w:t>
      </w:r>
    </w:p>
    <w:p w:rsidR="009F4A22" w:rsidRDefault="001B74D8" w14:paraId="44C8586D" w14:textId="77777777" w:rsidP="00682B0D" w:rsidRPr="00CE2E1A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Apesar da estabilidade inflacionária, o crescimento da renda real foi lento, limitando a expansão do consumo (Ferreira &amp; Testoni, 2024) e o alto ní</w:t>
      </w:r>
      <w:r w:rsidRPr="00CE2E1A">
        <w:rPr>
          <w:rFonts w:ascii="Times New Roman" w:cs="Times New Roman" w:eastAsia="Arial" w:hAnsi="Times New Roman"/>
          <w:sz w:val="24"/>
          <w:szCs w:val="24"/>
        </w:rPr>
        <w:t>vel de endividamento das famílias também se manteve como fator limitante para o crescimento das vendas no varejo, favorecendo segmentos essenciais, como supermercados e farmácias, e dificultando a recuperação de setores ligados ao consumo discricionário, c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omo vestuário e artigos de uso pessoal (Ferreira, 2024). No entanto, o turismo consolidou-se como um motor importante para o comércio catarinense, impulsionando o consumo em hotelaria, alimentação e produtos locais, especialmente em períodos sazonais como </w:t>
      </w:r>
      <w:r w:rsidRPr="00CE2E1A">
        <w:rPr>
          <w:rFonts w:ascii="Times New Roman" w:cs="Times New Roman" w:eastAsia="Arial" w:hAnsi="Times New Roman"/>
          <w:sz w:val="24"/>
          <w:szCs w:val="24"/>
        </w:rPr>
        <w:t>o verão e feriados prolongados (Ferreira &amp; Testoni, 2024).</w:t>
      </w:r>
    </w:p>
    <w:p w:rsidR="009F4A22" w:rsidRDefault="001B74D8" w14:paraId="54F5263D" w14:textId="77777777" w:rsidP="00682B0D" w:rsidRPr="00CE2E1A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 xml:space="preserve">A análise setorial revela dinâmicas distintas entre os segmentos, refletindo os efeitos das condições macroeconômicas sobre o consumo. Segmentos ligados ao consumo essencial, como supermercados e 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artigos farmacêuticos, mantiveram um crescimento moderado ao longo do ano, impulsionados pelo consumo de bens essenciais e pela busca por preços mais competitivos em um contexto de orçamento familiar pressionado (Ferreira, 2024). Por outro lado, segmentos </w:t>
      </w:r>
      <w:r w:rsidRPr="00CE2E1A">
        <w:rPr>
          <w:rFonts w:ascii="Times New Roman" w:cs="Times New Roman" w:eastAsia="Arial" w:hAnsi="Times New Roman"/>
          <w:sz w:val="24"/>
          <w:szCs w:val="24"/>
        </w:rPr>
        <w:t>tradicionalmente mais sensíveis às variações da renda e do crédito apresentaram desempenho negativo, como vestuário e móveis, enfrentaram dificuldades (Testoni, 2024).</w:t>
      </w:r>
    </w:p>
    <w:p w:rsidR="009F4A22" w:rsidRDefault="001B74D8" w14:paraId="5BC8C76D" w14:textId="77777777" w:rsidP="00682B0D" w:rsidRPr="00CE2E1A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A Figura 2 apresenta a variação acumulada no ano e em 12 meses do índice de volume de ve</w:t>
      </w:r>
      <w:r w:rsidRPr="00CE2E1A">
        <w:rPr>
          <w:rFonts w:ascii="Times New Roman" w:cs="Times New Roman" w:eastAsia="Arial" w:hAnsi="Times New Roman"/>
          <w:sz w:val="24"/>
          <w:szCs w:val="24"/>
        </w:rPr>
        <w:t>ndas no comércio varejista comum catarinense por atividades, destacando o comportamento dos diferentes segmentos ao longo de 2024, revelando uma dinâmica setorial heterogênea e refletindo os desafios econômicos do período.</w:t>
      </w:r>
    </w:p>
    <w:p w:rsidR="009F4A22" w:rsidRDefault="001B74D8" w14:paraId="40979590" w14:textId="77777777" w:rsidP="00682B0D" w:rsidRPr="00CE2E1A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 xml:space="preserve">O setor de </w:t>
      </w:r>
      <w:r w:rsidRPr="00706B98">
        <w:rPr>
          <w:bCs/>
          <w:rFonts w:ascii="Times New Roman" w:cs="Times New Roman" w:eastAsia="Arial" w:hAnsi="Times New Roman"/>
          <w:sz w:val="24"/>
          <w:szCs w:val="24"/>
        </w:rPr>
        <w:t>artigos farmacêuticos,</w:t>
      </w:r>
      <w:r w:rsidRPr="00706B98">
        <w:rPr>
          <w:bCs/>
          <w:rFonts w:ascii="Times New Roman" w:cs="Times New Roman" w:eastAsia="Arial" w:hAnsi="Times New Roman"/>
          <w:sz w:val="24"/>
          <w:szCs w:val="24"/>
        </w:rPr>
        <w:t xml:space="preserve"> médicos e cosméticos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registrou, em dezembro, um crescimento acumulado de +6,4% no ano e +6,1% em 12 meses, impulsionado pela demanda contínua por produtos de saúde e bem-estar. Esse resultado pode ser atribuído à demanda contínua por produtos de saúde e b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em-estar, um padrão que se intensificou no período pós-pandemia. Além disso, o setor </w:t>
      </w:r>
      <w:r w:rsidRPr="00706B98">
        <w:rPr>
          <w:rFonts w:ascii="Times New Roman" w:cs="Times New Roman" w:eastAsia="Arial" w:hAnsi="Times New Roman"/>
          <w:sz w:val="24"/>
          <w:szCs w:val="24"/>
        </w:rPr>
        <w:t>de equipamentos e materiais para escritório e informática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apresentou um crescimento significativo de +7,8% no ano e +19% em 12 meses, impulsionado pelo avanço da digitaliz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ação e pelo aumento dos investimentos empresariais em infraestrutura tecnológica (Testoni, 2024d). O setor de </w:t>
      </w:r>
      <w:r w:rsidRPr="00706B98">
        <w:rPr>
          <w:bCs/>
          <w:rFonts w:ascii="Times New Roman" w:cs="Times New Roman" w:eastAsia="Arial" w:hAnsi="Times New Roman"/>
          <w:sz w:val="24"/>
          <w:szCs w:val="24"/>
        </w:rPr>
        <w:t>supermercados e hipermercados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também apresentou desempenho positivo, com +1,1% no ano e +3% em 12 meses, reforçando sua resiliência mesmo em um ce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nário econômico desafiador. Esse comportamento reflete a priorização do consumo de bens </w:t>
      </w:r>
      <w:r w:rsidRPr="00CE2E1A">
        <w:rPr>
          <w:rFonts w:ascii="Times New Roman" w:cs="Times New Roman" w:eastAsia="Arial" w:hAnsi="Times New Roman"/>
          <w:sz w:val="24"/>
          <w:szCs w:val="24"/>
        </w:rPr>
        <w:t>essenciais pelas famílias, que, diante do crédito restrito e da renda ainda pressionada, redirecionaram seus gastos para itens básicos, em detrimento de produtos discri</w:t>
        <w:lastRenderedPageBreak/>
      </w:r>
      <w:r w:rsidRPr="00CE2E1A">
        <w:rPr>
          <w:rFonts w:ascii="Times New Roman" w:cs="Times New Roman" w:eastAsia="Arial" w:hAnsi="Times New Roman"/>
          <w:sz w:val="24"/>
          <w:szCs w:val="24"/>
        </w:rPr>
        <w:t>cionários (Testoni, 2024f).</w:t>
      </w:r>
    </w:p>
    <w:p w:rsidR="009F4A22" w:rsidRDefault="001B74D8" w14:paraId="12517D8C" w14:textId="77777777" w:rsidP="00682B0D" w:rsidRPr="00CE2E1A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 xml:space="preserve">Já os segmentos mais dependentes de crédito, como </w:t>
      </w:r>
      <w:r w:rsidRPr="00706B98">
        <w:rPr>
          <w:bCs/>
          <w:rFonts w:ascii="Times New Roman" w:cs="Times New Roman" w:eastAsia="Arial" w:hAnsi="Times New Roman"/>
          <w:sz w:val="24"/>
          <w:szCs w:val="24"/>
        </w:rPr>
        <w:t>vestuário e calçados,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registraram retração de -2,4% no ano e -6,1% em 12 meses, refletindo o impacto das taxas de juros elevadas e a priorização do consumo essencial pelas famíli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as. </w:t>
      </w:r>
      <w:r w:rsidRPr="00706B98">
        <w:rPr>
          <w:bCs/>
          <w:rFonts w:ascii="Times New Roman" w:cs="Times New Roman" w:eastAsia="Arial" w:hAnsi="Times New Roman"/>
          <w:sz w:val="24"/>
          <w:szCs w:val="24"/>
        </w:rPr>
        <w:t>Livros, jornais e papelaria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registrou queda de -4,4% no ano e -10,9% em 12 meses, refletindo a tendência de queda no consumo de produtos impressos e a consolidação dos meios digitais como principal forma de acesso à informação e ao entretenimento. Da m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esma forma, o segmento de </w:t>
      </w:r>
      <w:r w:rsidRPr="00706B98">
        <w:rPr>
          <w:bCs/>
          <w:rFonts w:ascii="Times New Roman" w:cs="Times New Roman" w:eastAsia="Arial" w:hAnsi="Times New Roman"/>
          <w:sz w:val="24"/>
          <w:szCs w:val="24"/>
        </w:rPr>
        <w:t>móveis e eletrodomésticos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apresentou um recuo de -0,5% no ano e -4% em 12 meses, evidenciando a menor disposição dos consumidores para aquisições de bens duráveis, devido às condições desfavoráveis de financiamento (Testoni, 2024a</w:t>
      </w:r>
      <w:r w:rsidRPr="00CE2E1A">
        <w:rPr>
          <w:rFonts w:ascii="Times New Roman" w:cs="Times New Roman" w:eastAsia="Arial" w:hAnsi="Times New Roman"/>
          <w:sz w:val="24"/>
          <w:szCs w:val="24"/>
        </w:rPr>
        <w:t>).</w:t>
      </w:r>
    </w:p>
    <w:p w:rsidR="005B1184" w:rsidRDefault="001B74D8" w14:paraId="174CE5D4" w14:textId="7FD24CA7" w:rsidP="00304956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Os resultados de 2024 evidenciam que a política monetária restritiva e as mudanças nos padrões de consumo foram determinantes para a performance dos diferentes segmentos do comércio. Enquanto setores voltados ao consumo essencial e à digitalização conse</w:t>
      </w:r>
      <w:r w:rsidRPr="00CE2E1A">
        <w:rPr>
          <w:rFonts w:ascii="Times New Roman" w:cs="Times New Roman" w:eastAsia="Arial" w:hAnsi="Times New Roman"/>
          <w:sz w:val="24"/>
          <w:szCs w:val="24"/>
        </w:rPr>
        <w:t>guiram manter crescimento, aqueles dependentes de crédito e com demanda mais sensível à renda enfrentaram retração. Assim, o comércio catarinense segue um padrão observado em momentos de restrição monetária, no qual os consumidores tendem a reduzir despesa</w:t>
      </w:r>
      <w:r w:rsidRPr="00CE2E1A">
        <w:rPr>
          <w:rFonts w:ascii="Times New Roman" w:cs="Times New Roman" w:eastAsia="Arial" w:hAnsi="Times New Roman"/>
          <w:sz w:val="24"/>
          <w:szCs w:val="24"/>
        </w:rPr>
        <w:t>s discricionárias e priorizar a aquisição de bens e serviços essenciais (</w:t>
      </w:r>
      <w:proofErr w:type="spellStart"/>
      <w:r w:rsidRPr="00CE2E1A">
        <w:rPr>
          <w:rFonts w:ascii="Times New Roman" w:cs="Times New Roman" w:eastAsia="Arial" w:hAnsi="Times New Roman"/>
          <w:sz w:val="24"/>
          <w:szCs w:val="24"/>
        </w:rPr>
        <w:t>Testoni</w:t>
      </w:r>
      <w:proofErr w:type="spellEnd"/>
      <w:r w:rsidRPr="00CE2E1A">
        <w:rPr>
          <w:rFonts w:ascii="Times New Roman" w:cs="Times New Roman" w:eastAsia="Arial" w:hAnsi="Times New Roman"/>
          <w:sz w:val="24"/>
          <w:szCs w:val="24"/>
        </w:rPr>
        <w:t>, 2024a).</w:t>
      </w:r>
    </w:p>
    <w:p w:rsidR="00EC7508" w:rsidRDefault="00EC7508" w14:paraId="555DF9F6" w14:textId="77777777" w:rsidP="00BD7F45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EC7508" w:rsidRDefault="00EC7508" w14:paraId="114B2D1C" w14:textId="77777777" w:rsidP="00BD7F45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53BFC" w:rsidRDefault="00953BFC" w14:paraId="65549F35" w14:textId="77777777" w:rsidP="00BD7F45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53BFC" w:rsidRDefault="00953BFC" w14:paraId="7A6C90DD" w14:textId="77777777" w:rsidP="00BD7F45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53BFC" w:rsidRDefault="00953BFC" w14:paraId="31FE5B9B" w14:textId="77777777" w:rsidP="00BD7F45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53BFC" w:rsidRDefault="00953BFC" w14:paraId="060D23C0" w14:textId="77777777" w:rsidP="00BD7F45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53BFC" w:rsidRDefault="00953BFC" w14:paraId="41213971" w14:textId="77777777" w:rsidP="00BD7F45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53BFC" w:rsidRDefault="00953BFC" w14:paraId="32A582D6" w14:textId="77777777" w:rsidP="00BD7F45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53BFC" w:rsidRDefault="00953BFC" w14:paraId="12991CF8" w14:textId="77777777" w:rsidP="00BD7F45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53BFC" w:rsidRDefault="00953BFC" w14:paraId="16F905AD" w14:textId="77777777" w:rsidP="00BD7F45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53BFC" w:rsidRDefault="00953BFC" w14:paraId="6A5B7E6F" w14:textId="77777777" w:rsidP="00BD7F45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53BFC" w:rsidRDefault="00953BFC" w14:paraId="685A30E8" w14:textId="77777777" w:rsidP="00BD7F45" w:rsidRPr="00CE2E1A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38F139B4" w14:textId="77777777" w:rsidP="005B1184" w:rsidRPr="00CE2E1A">
      <w:pPr>
        <w:jc w:val="center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706B98">
        <w:rPr>
          <w:bCs/>
          <w:b/>
          <w:rFonts w:ascii="Times New Roman" w:cs="Times New Roman" w:eastAsia="Arial" w:hAnsi="Times New Roman"/>
          <w:sz w:val="24"/>
          <w:szCs w:val="24"/>
        </w:rPr>
        <w:t>Figura 2:</w:t>
        <w:lastRenderedPageBreak/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Variações (%) acumuladas no ano (em relação ao mesmo período do ano anterior) e em 12 meses (em</w:t>
      </w:r>
      <w:proofErr w:type="gramStart"/>
      <w:r w:rsidRPr="00CE2E1A">
        <w:rPr>
          <w:rFonts w:ascii="Times New Roman" w:cs="Times New Roman" w:eastAsia="Arial" w:hAnsi="Times New Roman"/>
          <w:sz w:val="24"/>
          <w:szCs w:val="24"/>
        </w:rPr>
        <w:t xml:space="preserve">  </w:t>
      </w:r>
      <w:proofErr w:type="gramEnd"/>
      <w:r w:rsidRPr="00CE2E1A">
        <w:rPr>
          <w:rFonts w:ascii="Times New Roman" w:cs="Times New Roman" w:eastAsia="Arial" w:hAnsi="Times New Roman"/>
          <w:sz w:val="24"/>
          <w:szCs w:val="24"/>
        </w:rPr>
        <w:t>relação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ao período anterior de 12 meses) do Índice de volume de vendas no comércio varejista em Santa Catarina, por Atividades, 2024.</w:t>
      </w:r>
    </w:p>
    <w:p w:rsidR="009F4A22" w:rsidRDefault="001B74D8" w14:paraId="193F817D" w14:textId="77777777" w:rsidP="00BD7F45" w:rsidRPr="00CE2E1A">
      <w:pPr>
        <w:jc w:val="center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noProof/>
        </w:rPr>
        <w:drawing>
          <wp:inline distB="114300" distL="114300" distR="114300" distT="114300" wp14:anchorId="44FDB9DD" wp14:editId="557233E8">
            <wp:extent cx="4391025" cy="3924300"/>
            <wp:effectExtent l="0" t="0" r="9525" b="0"/>
            <wp:docPr id="16575585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3325" cy="3926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F4A22" w:rsidRDefault="001B74D8" w14:paraId="168DD80B" w14:textId="602AA055" w:rsidP="005B1184">
      <w:pPr>
        <w:jc w:val="center"/>
        <w:spacing w:after="0" w:line="360" w:lineRule="auto"/>
        <w:rPr>
          <w:rFonts w:ascii="Times New Roman" w:cs="Times New Roman" w:eastAsia="Arial" w:hAnsi="Times New Roman"/>
          <w:sz w:val="20"/>
          <w:szCs w:val="20"/>
        </w:rPr>
      </w:pPr>
      <w:r w:rsidRPr="00706B98">
        <w:rPr>
          <w:rFonts w:ascii="Times New Roman" w:cs="Times New Roman" w:eastAsia="Arial" w:hAnsi="Times New Roman"/>
          <w:sz w:val="20"/>
          <w:szCs w:val="20"/>
        </w:rPr>
        <w:t>Fonte: PMC-IBGE. Elaboração: NECAT/UFSC.</w:t>
      </w:r>
    </w:p>
    <w:p w:rsidR="005B1184" w:rsidRDefault="005B1184" w14:paraId="080A7937" w14:textId="77777777" w:rsidP="005B1184">
      <w:pPr>
        <w:jc w:val="center"/>
        <w:spacing w:after="0" w:line="360" w:lineRule="auto"/>
        <w:rPr>
          <w:rFonts w:ascii="Times New Roman" w:cs="Times New Roman" w:eastAsia="Arial" w:hAnsi="Times New Roman"/>
          <w:sz w:val="20"/>
          <w:szCs w:val="20"/>
        </w:rPr>
      </w:pPr>
    </w:p>
    <w:p w:rsidR="005B1184" w:rsidRDefault="005B1184" w14:paraId="14D8F572" w14:textId="77777777" w:rsidP="005B1184" w:rsidRPr="00706B98">
      <w:pPr>
        <w:jc w:val="center"/>
        <w:spacing w:after="0" w:line="360" w:lineRule="auto"/>
        <w:rPr>
          <w:rFonts w:ascii="Times New Roman" w:cs="Times New Roman" w:eastAsia="Arial" w:hAnsi="Times New Roman"/>
          <w:sz w:val="20"/>
          <w:szCs w:val="20"/>
        </w:rPr>
      </w:pPr>
    </w:p>
    <w:p w:rsidR="009F4A22" w:rsidRDefault="001B74D8" w14:paraId="5AA5CA81" w14:textId="5E55D1B1" w:rsidP="005B1184">
      <w:pPr>
        <w:spacing w:after="0" w:line="360" w:lineRule="auto"/>
        <w:rPr>
          <w:b/>
          <w:rFonts w:ascii="Times New Roman" w:cs="Times New Roman" w:eastAsia="Arial" w:hAnsi="Times New Roman"/>
          <w:sz w:val="24"/>
          <w:szCs w:val="24"/>
        </w:rPr>
      </w:pPr>
      <w:r w:rsidRPr="00CE2E1A">
        <w:rPr>
          <w:b/>
          <w:rFonts w:ascii="Times New Roman" w:cs="Times New Roman" w:eastAsia="Arial" w:hAnsi="Times New Roman"/>
          <w:sz w:val="24"/>
          <w:szCs w:val="24"/>
        </w:rPr>
        <w:t xml:space="preserve">Considerações finais </w:t>
      </w:r>
    </w:p>
    <w:p w:rsidR="005B1184" w:rsidRDefault="005B1184" w14:paraId="1A9848A0" w14:textId="77777777" w:rsidP="005B1184">
      <w:pPr>
        <w:spacing w:after="0" w:line="360" w:lineRule="auto"/>
        <w:rPr>
          <w:b/>
          <w:rFonts w:ascii="Times New Roman" w:cs="Times New Roman" w:eastAsia="Arial" w:hAnsi="Times New Roman"/>
          <w:sz w:val="24"/>
          <w:szCs w:val="24"/>
        </w:rPr>
      </w:pPr>
    </w:p>
    <w:p w:rsidR="005B1184" w:rsidRDefault="005B1184" w14:paraId="5F26F392" w14:textId="77777777" w:rsidP="005B1184" w:rsidRPr="00CE2E1A">
      <w:pPr>
        <w:spacing w:after="0" w:line="360" w:lineRule="auto"/>
        <w:rPr>
          <w:b/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25568CA8" w14:textId="77777777" w:rsidP="00682B0D" w:rsidRPr="00CE2E1A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Este artigo examinou a evolução do comércio varejista catarinens</w:t>
      </w:r>
      <w:r w:rsidRPr="00CE2E1A">
        <w:rPr>
          <w:rFonts w:ascii="Times New Roman" w:cs="Times New Roman" w:eastAsia="Arial" w:hAnsi="Times New Roman"/>
          <w:sz w:val="24"/>
          <w:szCs w:val="24"/>
        </w:rPr>
        <w:t>e no período de 2020 a 2024, destacando os impactos da pandemia da Covid-19 (2020-2022) e os desdobramentos do período pós-pandêmico (2023-2024). Os achados contribuem para o debate acadêmico ao demonstrar os efeitos da política monetária, das mudanças nos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padrões de consumo e do impacto setorial diferenciado. Além disso, as conclusões podem subsidiar políticas públicas voltadas à recuperação econômica do varejo e à adaptação do setor às novas dinâmicas do mercado. Com base nas análises do NECAT/UFSC e nos </w:t>
      </w:r>
      <w:r w:rsidRPr="00CE2E1A">
        <w:rPr>
          <w:rFonts w:ascii="Times New Roman" w:cs="Times New Roman" w:eastAsia="Arial" w:hAnsi="Times New Roman"/>
          <w:sz w:val="24"/>
          <w:szCs w:val="24"/>
        </w:rPr>
        <w:t>dados da Pesquisa Mensal do Comércio (PMC/IBGE), foram identificadas as fases de retração, recuperação e os principais fatores determinantes do desempenho do setor.</w:t>
      </w:r>
    </w:p>
    <w:p w:rsidR="009F4A22" w:rsidRDefault="001B74D8" w14:paraId="045EE20D" w14:textId="77777777" w:rsidP="00682B0D" w:rsidRPr="00CE2E1A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Os resultados indicam que a pandemia impôs um choque inicial severo ao comércio catarinense</w:t>
        <w:lastRenderedPageBreak/>
      </w:r>
      <w:r w:rsidRPr="00CE2E1A">
        <w:rPr>
          <w:rFonts w:ascii="Times New Roman" w:cs="Times New Roman" w:eastAsia="Arial" w:hAnsi="Times New Roman"/>
          <w:sz w:val="24"/>
          <w:szCs w:val="24"/>
        </w:rPr>
        <w:t>, com quedas expressivas nas vendas, especialmente em segmentos dependentes do atendimento presencial, como vestuário, calçados e bens duráveis. Em contrapartida, setores essenciais, como supermercados e farmácias, mantiveram um desempenho relativamente es</w:t>
      </w:r>
      <w:r w:rsidRPr="00CE2E1A">
        <w:rPr>
          <w:rFonts w:ascii="Times New Roman" w:cs="Times New Roman" w:eastAsia="Arial" w:hAnsi="Times New Roman"/>
          <w:sz w:val="24"/>
          <w:szCs w:val="24"/>
        </w:rPr>
        <w:t>tável, sustentados pelo consumo básico das famílias. A recuperação do setor ocorreu de forma desigual entre os segmentos, impulsionada por políticas emergenciais, como o auxílio emergencial, e pela flexibilização das restrições sanitárias. No entanto, essa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trajetória não foi linear, sendo condicionada por fatores como a vacinação, a reabertura gradual da economia e variáveis macroeconômicas, incluindo inflação, poder de compra, juros elevados e o endividamento das famílias.</w:t>
      </w:r>
    </w:p>
    <w:p w:rsidR="009F4A22" w:rsidRDefault="001B74D8" w14:paraId="4712B81B" w14:textId="77777777" w:rsidP="00682B0D" w:rsidRPr="00CE2E1A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No período pós-pandemia (2023-202</w:t>
      </w:r>
      <w:r w:rsidRPr="00CE2E1A">
        <w:rPr>
          <w:rFonts w:ascii="Times New Roman" w:cs="Times New Roman" w:eastAsia="Arial" w:hAnsi="Times New Roman"/>
          <w:sz w:val="24"/>
          <w:szCs w:val="24"/>
        </w:rPr>
        <w:t>4), o comércio catarinense consolidou sua recuperação, impulsionada pela reabertura econômica e pelo crescimento da renda, favorecendo o consumo em alguns setores, como hipermercados e farmácias. Entretanto, a política monetária contracionista adotada para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 conter a inflação elevou o custo do crédito, restringindo o consumo de bens duráveis, como móveis e eletrodomésticos, e desacelerando o ritmo de expansão do setor.</w:t>
      </w:r>
    </w:p>
    <w:p w:rsidR="009F4A22" w:rsidRDefault="001B74D8" w14:paraId="342DC42B" w14:textId="77777777" w:rsidP="00682B0D" w:rsidRPr="00CE2E1A">
      <w:pPr>
        <w:pBdr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between w:val="nil" w:sz="0" w:color="auto" w:space="0"/>
        </w:pBd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 xml:space="preserve">O turismo consolidou-se como um motor essencial para o comércio catarinense, impulsionando </w:t>
      </w:r>
      <w:r w:rsidRPr="00CE2E1A">
        <w:rPr>
          <w:rFonts w:ascii="Times New Roman" w:cs="Times New Roman" w:eastAsia="Arial" w:hAnsi="Times New Roman"/>
          <w:sz w:val="24"/>
          <w:szCs w:val="24"/>
        </w:rPr>
        <w:t>setores como hotelaria, alimentação e produtos locais, especialmente em períodos sazonais. Além disso, a digitalização do varejo acelerou transformações estruturais, beneficiando segmentos como equipamentos para escritório, que acompanharam a crescente dem</w:t>
      </w:r>
      <w:r w:rsidRPr="00CE2E1A">
        <w:rPr>
          <w:rFonts w:ascii="Times New Roman" w:cs="Times New Roman" w:eastAsia="Arial" w:hAnsi="Times New Roman"/>
          <w:sz w:val="24"/>
          <w:szCs w:val="24"/>
        </w:rPr>
        <w:t>anda por infraestrutura de trabalho remoto.</w:t>
      </w:r>
    </w:p>
    <w:p w:rsidR="009F4A22" w:rsidRDefault="001B74D8" w14:paraId="5ACB6FB9" w14:textId="77777777" w:rsidP="00682B0D" w:rsidRPr="00CE2E1A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 xml:space="preserve">Diante desse cenário, em alguns momentos o comércio catarinense superou a média nacional, impulsionado pelo dinamismo do setor de serviços e pelo impacto </w:t>
      </w:r>
      <w:r w:rsidRPr="00CE2E1A">
        <w:rPr>
          <w:rFonts w:ascii="Times New Roman" w:cs="Times New Roman" w:eastAsia="Arial" w:hAnsi="Times New Roman"/>
          <w:sz w:val="24"/>
          <w:szCs w:val="24"/>
        </w:rPr>
        <w:t xml:space="preserve">positivo do turismo sobre o varejo local. Entretanto, desafios como juros elevados e o alto endividamento das famílias seguem como barreiras a uma recuperação mais robusta e homogênea. </w:t>
      </w:r>
    </w:p>
    <w:p w:rsidR="009F4A22" w:rsidRDefault="001B74D8" w14:paraId="4DFCE17C" w14:textId="0C803C35" w:rsidP="00682B0D">
      <w:pPr>
        <w:jc w:val="both"/>
        <w:ind w:firstLine="567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  <w:r w:rsidRPr="00CE2E1A">
        <w:rPr>
          <w:rFonts w:ascii="Times New Roman" w:cs="Times New Roman" w:eastAsia="Arial" w:hAnsi="Times New Roman"/>
          <w:sz w:val="24"/>
          <w:szCs w:val="24"/>
        </w:rPr>
        <w:t>O futuro do setor depende da evolução da política monetária, do cresci</w:t>
      </w:r>
      <w:r w:rsidRPr="00CE2E1A">
        <w:rPr>
          <w:rFonts w:ascii="Times New Roman" w:cs="Times New Roman" w:eastAsia="Arial" w:hAnsi="Times New Roman"/>
          <w:sz w:val="24"/>
          <w:szCs w:val="24"/>
        </w:rPr>
        <w:t>mento da renda das famílias e da recuperação da confiança dos consumidores. Pesquisas futuras podem aprofundar a análise dos impactos regionais dessas variáveis, avaliando diferenças entre os municípios catarinenses e explorando o papel do e-commerce na tr</w:t>
      </w:r>
      <w:r w:rsidRPr="00CE2E1A">
        <w:rPr>
          <w:rFonts w:ascii="Times New Roman" w:cs="Times New Roman" w:eastAsia="Arial" w:hAnsi="Times New Roman"/>
          <w:sz w:val="24"/>
          <w:szCs w:val="24"/>
        </w:rPr>
        <w:t>ansformação do varejo estadual. Além disso, a mensuração da eficácia das políticas de estímulo ao consumo poderá fornecer subsídios para decisões econômicas mais assertivas.</w:t>
      </w:r>
    </w:p>
    <w:p w:rsidR="005B1184" w:rsidRDefault="005B1184" w14:paraId="608A4F30" w14:textId="77777777" w:rsidP="00BD7F45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5B1184" w:rsidRDefault="005B1184" w14:paraId="350CD462" w14:textId="77777777" w:rsidP="00BD7F45" w:rsidRPr="00CE2E1A">
      <w:pPr>
        <w:jc w:val="both"/>
        <w:ind w:firstLine="708"/>
        <w:spacing w:after="0" w:line="360" w:lineRule="auto"/>
        <w:rPr>
          <w:rFonts w:ascii="Times New Roman" w:cs="Times New Roman" w:eastAsia="Arial" w:hAnsi="Times New Roman"/>
          <w:sz w:val="24"/>
          <w:szCs w:val="24"/>
        </w:rPr>
      </w:pPr>
    </w:p>
    <w:p w:rsidR="009F4A22" w:rsidRDefault="001B74D8" w14:paraId="6A8F2C8B" w14:textId="2E9262DF" w:rsidP="005B1184">
      <w:pPr>
        <w:jc w:val="center"/>
        <w:spacing w:after="0" w:line="360" w:lineRule="auto"/>
        <w:rPr>
          <w:bCs/>
          <w:b/>
          <w:rFonts w:ascii="Times New Roman" w:cs="Times New Roman" w:eastAsia="Arial" w:hAnsi="Times New Roman"/>
          <w:sz w:val="24"/>
          <w:szCs w:val="24"/>
        </w:rPr>
      </w:pPr>
      <w:r w:rsidRPr="00706B98">
        <w:rPr>
          <w:bCs/>
          <w:b/>
          <w:rFonts w:ascii="Times New Roman" w:cs="Times New Roman" w:eastAsia="Arial" w:hAnsi="Times New Roman"/>
          <w:sz w:val="24"/>
          <w:szCs w:val="24"/>
        </w:rPr>
        <w:t>Referências Bibliográficas</w:t>
      </w:r>
    </w:p>
    <w:p w:rsidR="005B1184" w:rsidRDefault="005B1184" w14:paraId="483C7550" w14:textId="77777777" w:rsidP="005B1184">
      <w:pPr>
        <w:jc w:val="center"/>
        <w:spacing w:after="0" w:line="360" w:lineRule="auto"/>
        <w:rPr>
          <w:bCs/>
          <w:b/>
          <w:rFonts w:ascii="Times New Roman" w:cs="Times New Roman" w:eastAsia="Arial" w:hAnsi="Times New Roman"/>
          <w:sz w:val="24"/>
          <w:szCs w:val="24"/>
        </w:rPr>
      </w:pPr>
    </w:p>
    <w:p w:rsidR="005B1184" w:rsidRDefault="005B1184" w14:paraId="526D635D" w14:textId="77777777" w:rsidP="005B1184" w:rsidRPr="00706B98">
      <w:pPr>
        <w:jc w:val="center"/>
        <w:spacing w:after="0" w:line="360" w:lineRule="auto"/>
        <w:rPr>
          <w:bCs/>
          <w:b/>
          <w:rFonts w:ascii="Times New Roman" w:cs="Times New Roman" w:eastAsia="Arial" w:hAnsi="Times New Roman"/>
          <w:sz w:val="24"/>
          <w:szCs w:val="24"/>
        </w:rPr>
      </w:pPr>
      <w:bookmarkStart w:id="0" w:name="_GoBack"/>
      <w:bookmarkEnd w:id="0"/>
    </w:p>
    <w:p w:rsidR="00701FCA" w:rsidRDefault="00701FCA" w14:paraId="5F627F3B" w14:textId="7E323BEF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ELIAS, Lilian de Pellegrini (2020).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r>
        <w:rPr>
          <w:rFonts w:ascii="Times New Roman" w:cs="Times New Roman" w:eastAsia="Arial" w:hAnsi="Times New Roman"/>
          <w:sz w:val="24"/>
          <w:szCs w:val="24"/>
        </w:rPr>
        <w:t>Impactos da Covid-19 sobre o setor de comércio no Brasil e em Santa Catarina</w:t>
      </w:r>
      <w:r>
        <w:rPr>
          <w:rFonts w:ascii="Times New Roman" w:cs="Times New Roman" w:eastAsia="Arial" w:hAnsi="Times New Roman"/>
          <w:sz w:val="24"/>
          <w:szCs w:val="24"/>
        </w:rP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Revista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 – Ano </w:t>
      </w:r>
      <w:proofErr w:type="gramStart"/>
      <w:r>
        <w:rPr>
          <w:rFonts w:ascii="Times New Roman" w:cs="Times New Roman" w:eastAsia="Arial" w:hAnsi="Times New Roman"/>
          <w:sz w:val="24"/>
          <w:szCs w:val="24"/>
        </w:rPr>
        <w:t>9</w:t>
      </w:r>
      <w:proofErr w:type="gramEnd"/>
      <w:r>
        <w:rPr>
          <w:rFonts w:ascii="Times New Roman" w:cs="Times New Roman" w:eastAsia="Arial" w:hAnsi="Times New Roman"/>
          <w:sz w:val="24"/>
          <w:szCs w:val="24"/>
        </w:rPr>
        <w:t xml:space="preserve">, nº 18, </w:t>
      </w:r>
      <w:proofErr w:type="spellStart"/>
      <w:r>
        <w:rPr>
          <w:rFonts w:ascii="Times New Roman" w:cs="Times New Roman" w:eastAsia="Arial" w:hAnsi="Times New Roman"/>
          <w:sz w:val="24"/>
          <w:szCs w:val="24"/>
        </w:rPr>
        <w:t>Jul</w:t>
      </w:r>
      <w:proofErr w:type="spellEnd"/>
      <w:r>
        <w:rPr>
          <w:rFonts w:ascii="Times New Roman" w:cs="Times New Roman" w:eastAsia="Arial" w:hAnsi="Times New Roman"/>
          <w:sz w:val="24"/>
          <w:szCs w:val="24"/>
        </w:rPr>
        <w:t xml:space="preserve">-Dez/2020. Disponível em: </w:t>
      </w:r>
      <w:hyperlink w:history="1" r:id="rId18">
        <w:r>
          <w:rPr>
            <w:rStyle w:val="Hyperlink"/>
            <w:color w:val="0563C1"/>
            <w:rFonts w:ascii="Times New Roman" w:cs="Times New Roman" w:eastAsia="Arial" w:hAnsi="Times New Roman"/>
            <w:sz w:val="24"/>
            <w:szCs w:val="24"/>
          </w:rPr>
          <w:t>https://ojs.sites.ufsc.br/index.php/revistanecat/article/view/4659/3554</w:t>
        </w:r>
      </w:hyperlink>
      <w:r>
        <w:rPr>
          <w:rFonts w:ascii="Times New Roman" w:cs="Times New Roman" w:eastAsia="Arial" w:hAnsi="Times New Roman"/>
          <w:sz w:val="24"/>
          <w:szCs w:val="24"/>
        </w:rPr>
        <w:t xml:space="preserve"> </w:t>
      </w:r>
    </w:p>
    <w:p w:rsidR="00701FCA" w:rsidRDefault="00701FCA" w14:paraId="60B7EE59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0B3FA61A" w14:textId="72094045" w:rsidP="00701FCA">
      <w:pPr>
        <w:jc w:val="both"/>
        <w:spacing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FERREIRA, Rafael N. S. (2024).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r>
        <w:rPr>
          <w:rFonts w:ascii="Times New Roman" w:cs="Times New Roman" w:eastAsia="Arial" w:hAnsi="Times New Roman"/>
          <w:sz w:val="24"/>
          <w:szCs w:val="24"/>
        </w:rPr>
        <w:t>Comércio nacional e catarinense avançam em outubro, mas enfrentam desafios</w:t>
      </w:r>
      <w:r>
        <w:rPr>
          <w:rFonts w:ascii="Times New Roman" w:cs="Times New Roman" w:eastAsia="Arial" w:hAnsi="Times New Roman"/>
          <w:sz w:val="24"/>
          <w:szCs w:val="24"/>
        </w:rP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Informativo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 n. 34, dezembro de 2024. Disponível em: </w:t>
      </w:r>
      <w:hyperlink w:history="1" r:id="rId19">
        <w:r>
          <w:rPr>
            <w:rStyle w:val="Hyperlink"/>
            <w:color w:val="1155CC"/>
            <w:rFonts w:ascii="Times New Roman" w:cs="Times New Roman" w:eastAsia="Arial" w:hAnsi="Times New Roman"/>
            <w:sz w:val="24"/>
            <w:szCs w:val="24"/>
          </w:rPr>
          <w:t>https://drive.google.com/file/d/1q95SKWGyPLTmJdGU_uWyHavdZLy12u8S/view</w:t>
        </w:r>
      </w:hyperlink>
    </w:p>
    <w:p w:rsidR="00701FCA" w:rsidRDefault="00701FCA" w14:paraId="23D3D7CA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110A1789" w14:textId="3147D1BB" w:rsidP="00701FCA">
      <w:pPr>
        <w:jc w:val="both"/>
        <w:spacing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RAZZINI, Guilherme </w:t>
      </w:r>
      <w:proofErr w:type="spellStart"/>
      <w:r>
        <w:rPr>
          <w:rFonts w:ascii="Times New Roman" w:cs="Times New Roman" w:eastAsia="Arial" w:hAnsi="Times New Roman"/>
          <w:sz w:val="24"/>
          <w:szCs w:val="24"/>
        </w:rPr>
        <w:t>Ronchi</w:t>
      </w:r>
      <w:proofErr w:type="spellEnd"/>
      <w:r>
        <w:rPr>
          <w:rFonts w:ascii="Times New Roman" w:cs="Times New Roman" w:eastAsia="Arial" w:hAnsi="Times New Roman"/>
          <w:sz w:val="24"/>
          <w:szCs w:val="24"/>
        </w:rPr>
        <w:t xml:space="preserve">. (2021).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r>
        <w:rPr>
          <w:rFonts w:ascii="Times New Roman" w:cs="Times New Roman" w:eastAsia="Arial" w:hAnsi="Times New Roman"/>
          <w:sz w:val="24"/>
          <w:szCs w:val="24"/>
        </w:rPr>
        <w:t>Análise do volume de vendas do comércio no Brasil e em Santa Catarina durante a pandemia da covid-19</w:t>
      </w:r>
      <w:r>
        <w:rPr>
          <w:rFonts w:ascii="Times New Roman" w:cs="Times New Roman" w:eastAsia="Arial" w:hAnsi="Times New Roman"/>
          <w:sz w:val="24"/>
          <w:szCs w:val="24"/>
        </w:rP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 </w:t>
      </w:r>
      <w:r>
        <w:rPr>
          <w:b/>
          <w:rFonts w:ascii="Times New Roman" w:cs="Times New Roman" w:eastAsia="Arial" w:hAnsi="Times New Roman"/>
          <w:sz w:val="24"/>
          <w:szCs w:val="24"/>
        </w:rPr>
        <w:t>Revista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 – Ano </w:t>
      </w:r>
      <w:proofErr w:type="gramStart"/>
      <w:r>
        <w:rPr>
          <w:rFonts w:ascii="Times New Roman" w:cs="Times New Roman" w:eastAsia="Arial" w:hAnsi="Times New Roman"/>
          <w:sz w:val="24"/>
          <w:szCs w:val="24"/>
        </w:rPr>
        <w:t>10, nº</w:t>
      </w:r>
      <w:proofErr w:type="gramEnd"/>
      <w:r>
        <w:rPr>
          <w:rFonts w:ascii="Times New Roman" w:cs="Times New Roman" w:eastAsia="Arial" w:hAnsi="Times New Roman"/>
          <w:sz w:val="24"/>
          <w:szCs w:val="24"/>
        </w:rPr>
        <w:t xml:space="preserve"> 20, </w:t>
      </w:r>
      <w:proofErr w:type="spellStart"/>
      <w:r>
        <w:rPr>
          <w:rFonts w:ascii="Times New Roman" w:cs="Times New Roman" w:eastAsia="Arial" w:hAnsi="Times New Roman"/>
          <w:sz w:val="24"/>
          <w:szCs w:val="24"/>
        </w:rPr>
        <w:t>Jul</w:t>
      </w:r>
      <w:proofErr w:type="spellEnd"/>
      <w:r>
        <w:rPr>
          <w:rFonts w:ascii="Times New Roman" w:cs="Times New Roman" w:eastAsia="Arial" w:hAnsi="Times New Roman"/>
          <w:sz w:val="24"/>
          <w:szCs w:val="24"/>
        </w:rPr>
        <w:t xml:space="preserve">-Dez/2021, Dossiê IV: Impactos da Covid-19 em Santa Catarina. Disponível em: </w:t>
      </w:r>
      <w:hyperlink w:history="1" r:id="rId20">
        <w:r>
          <w:rPr>
            <w:rStyle w:val="Hyperlink"/>
            <w:color w:val="1155CC"/>
            <w:rFonts w:ascii="Times New Roman" w:cs="Times New Roman" w:eastAsia="Arial" w:hAnsi="Times New Roman"/>
            <w:sz w:val="24"/>
            <w:szCs w:val="24"/>
          </w:rPr>
          <w:t>https://ojs.sites.ufsc.br/index.php/revistanecat/issue/view/330</w:t>
        </w:r>
      </w:hyperlink>
    </w:p>
    <w:p w:rsidR="00701FCA" w:rsidRDefault="00701FCA" w14:paraId="4B358A42" w14:textId="355CF453" w:rsidP="00701FCA">
      <w:pPr>
        <w:jc w:val="both"/>
        <w:spacing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____ (2022).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r>
        <w:rPr>
          <w:rFonts w:ascii="Times New Roman" w:cs="Times New Roman" w:eastAsia="Arial" w:hAnsi="Times New Roman"/>
          <w:sz w:val="24"/>
          <w:szCs w:val="24"/>
        </w:rPr>
        <w:t>Ampla maioria dos setores do comércio catarinense registra retração em dezembro, mas acumulado do ano é positivo</w:t>
      </w:r>
      <w:r>
        <w:rPr>
          <w:rFonts w:ascii="Times New Roman" w:cs="Times New Roman" w:eastAsia="Arial" w:hAnsi="Times New Roman"/>
          <w:sz w:val="24"/>
          <w:szCs w:val="24"/>
        </w:rP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Blog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, 17/02/2022. Disponível em: </w:t>
      </w:r>
      <w:hyperlink w:history="1" r:id="rId21">
        <w:r>
          <w:rPr>
            <w:rStyle w:val="Hyperlink"/>
            <w:color w:val="0563C1"/>
            <w:rFonts w:ascii="Times New Roman" w:cs="Times New Roman" w:eastAsia="Arial" w:hAnsi="Times New Roman"/>
            <w:sz w:val="24"/>
            <w:szCs w:val="24"/>
          </w:rPr>
          <w:t>https://necat.ufsc.br/ampla-maioria-dos-setores-do-comercio-catarinense-registra-retracao-em-dezembro-mas-acumulado-do-ano-e-positivo/</w:t>
        </w:r>
      </w:hyperlink>
    </w:p>
    <w:p w:rsidR="00701FCA" w:rsidRDefault="00701FCA" w14:paraId="6005D540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5AD2D8D5" w14:textId="12BA08AC" w:rsidP="00701FCA">
      <w:pPr>
        <w:jc w:val="both"/>
        <w:spacing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____ (2022a).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hyperlink w:history="1" r:id="rId24">
        <w:r>
          <w:rPr>
            <w:rStyle w:val="Hyperlink"/>
            <w:rFonts w:ascii="Times New Roman" w:cs="Times New Roman" w:eastAsia="Arial" w:hAnsi="Times New Roman"/>
            <w:sz w:val="24"/>
            <w:szCs w:val="24"/>
          </w:rPr>
          <w:t>Comércio</w:t>
        </w:r>
      </w:hyperlink>
      <w:hyperlink w:history="1" r:id="rId22">
        <w:r>
          <w:rPr>
            <w:rStyle w:val="Hyperlink"/>
            <w:rFonts w:ascii="Times New Roman" w:cs="Times New Roman" w:eastAsia="Arial" w:hAnsi="Times New Roman"/>
            <w:sz w:val="24"/>
            <w:szCs w:val="24"/>
          </w:rPr>
          <w:t xml:space="preserve"> brasileiro apresenta maior expansão desde julho de 2021, em Santa Catarina ritmo de expansão desacelera</w:t>
        </w:r>
      </w:hyperlink>
      <w: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Blog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, 03/05/2022. Disponível em: </w:t>
      </w:r>
      <w:hyperlink w:history="1" r:id="rId23">
        <w:r>
          <w:rPr>
            <w:rStyle w:val="Hyperlink"/>
            <w:color w:val="0563C1"/>
            <w:rFonts w:ascii="Times New Roman" w:cs="Times New Roman" w:eastAsia="Arial" w:hAnsi="Times New Roman"/>
            <w:sz w:val="24"/>
            <w:szCs w:val="24"/>
          </w:rPr>
          <w:t>https://necat.ufsc.br/comercio-brasileiro-apresenta-maior-expansao-desde-julho-de-2021-em-santa-catarina-ritmo-de-expansao-desacelera/</w:t>
        </w:r>
      </w:hyperlink>
    </w:p>
    <w:p w:rsidR="00701FCA" w:rsidRDefault="00701FCA" w14:paraId="65D54263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4160B618" w14:textId="22498B31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____ (2022b).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hyperlink w:history="1" r:id="rId26">
        <w:r>
          <w:rPr>
            <w:rStyle w:val="Hyperlink"/>
            <w:rFonts w:ascii="Times New Roman" w:cs="Times New Roman" w:eastAsia="Arial" w:hAnsi="Times New Roman"/>
            <w:sz w:val="24"/>
            <w:szCs w:val="24"/>
          </w:rPr>
          <w:t>Varejo</w:t>
        </w:r>
      </w:hyperlink>
      <w:hyperlink w:history="1" r:id="rId27">
        <w:r>
          <w:rPr>
            <w:rStyle w:val="Hyperlink"/>
            <w:rFonts w:ascii="Times New Roman" w:cs="Times New Roman" w:eastAsia="Arial" w:hAnsi="Times New Roman"/>
            <w:sz w:val="24"/>
            <w:szCs w:val="24"/>
          </w:rPr>
          <w:t xml:space="preserve"> registra retração novamente e contraria expectativa do mercado</w:t>
        </w:r>
      </w:hyperlink>
      <w: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Blog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, 28/09/2022. Disponível em: </w:t>
      </w:r>
      <w:hyperlink w:anchor="more-8602" w:history="1" r:id="rId25">
        <w:r>
          <w:rPr>
            <w:rStyle w:val="Hyperlink"/>
            <w:color w:val="0563C1"/>
            <w:rFonts w:ascii="Times New Roman" w:cs="Times New Roman" w:eastAsia="Arial" w:hAnsi="Times New Roman"/>
            <w:sz w:val="24"/>
            <w:szCs w:val="24"/>
          </w:rPr>
          <w:t>https://necat.ufsc.br/varejo-registra-retracao-novamente-e-contraria-expectativa-do-mercado/#more-8602</w:t>
        </w:r>
      </w:hyperlink>
    </w:p>
    <w:p w:rsidR="00701FCA" w:rsidRDefault="00701FCA" w14:paraId="3636804D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63E4CBAF" w14:textId="78160522" w:rsidP="00701FCA">
      <w:pPr>
        <w:jc w:val="both"/>
        <w:spacing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____ (2022c).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hyperlink w:history="1" r:id="rId29">
        <w:r>
          <w:rPr>
            <w:rStyle w:val="Hyperlink"/>
            <w:rFonts w:ascii="Times New Roman" w:cs="Times New Roman" w:eastAsia="Arial" w:hAnsi="Times New Roman"/>
            <w:sz w:val="24"/>
            <w:szCs w:val="24"/>
          </w:rPr>
          <w:t>PEC das Bondades não é suficiente e varejo registra retração em agosto</w:t>
        </w:r>
      </w:hyperlink>
      <w: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Blog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, 27/10/2022. Disponível em: </w:t>
      </w:r>
      <w:hyperlink w:history="1" r:id="rId28">
        <w:r>
          <w:rPr>
            <w:rStyle w:val="Hyperlink"/>
            <w:color w:val="0563C1"/>
            <w:rFonts w:ascii="Times New Roman" w:cs="Times New Roman" w:eastAsia="Arial" w:hAnsi="Times New Roman"/>
            <w:sz w:val="24"/>
            <w:szCs w:val="24"/>
          </w:rPr>
          <w:t>https://necat.ufsc.br/pec-das-bondades-nao-e-suficiente-e-varejo-registra-retracao-em-agosto/</w:t>
        </w:r>
      </w:hyperlink>
    </w:p>
    <w:p w:rsidR="00701FCA" w:rsidRDefault="00701FCA" w14:paraId="5B66DDE0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145ACA65" w14:textId="7D00F91B" w:rsidP="00701FCA">
      <w:pPr>
        <w:jc w:val="both"/>
        <w:spacing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>____ (</w:t>
      </w:r>
      <w:proofErr w:type="gramStart"/>
      <w:r>
        <w:rPr>
          <w:rFonts w:ascii="Times New Roman" w:cs="Times New Roman" w:eastAsia="Arial" w:hAnsi="Times New Roman"/>
          <w:sz w:val="24"/>
          <w:szCs w:val="24"/>
        </w:rPr>
        <w:t>2022d</w:t>
      </w:r>
      <w:proofErr w:type="gramEnd"/>
      <w:r>
        <w:rPr>
          <w:rFonts w:ascii="Times New Roman" w:cs="Times New Roman" w:eastAsia="Arial" w:hAnsi="Times New Roman"/>
          <w:sz w:val="24"/>
          <w:szCs w:val="24"/>
        </w:rPr>
        <w:t xml:space="preserve">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hyperlink w:history="1" r:id="rId32">
        <w:r>
          <w:rPr>
            <w:rStyle w:val="Hyperlink"/>
            <w:rFonts w:ascii="Times New Roman" w:cs="Times New Roman" w:eastAsia="Arial" w:hAnsi="Times New Roman"/>
            <w:sz w:val="24"/>
            <w:szCs w:val="24"/>
          </w:rPr>
          <w:t>Varejo</w:t>
        </w:r>
      </w:hyperlink>
      <w:hyperlink w:history="1" r:id="rId30">
        <w:r>
          <w:rPr>
            <w:rStyle w:val="Hyperlink"/>
            <w:rFonts w:ascii="Times New Roman" w:cs="Times New Roman" w:eastAsia="Arial" w:hAnsi="Times New Roman"/>
            <w:sz w:val="24"/>
            <w:szCs w:val="24"/>
          </w:rPr>
          <w:t xml:space="preserve"> catarinense registra quarta retração consecutiva</w:t>
        </w:r>
      </w:hyperlink>
      <w: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Blog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, 29/11/2022. Disponível em: </w:t>
      </w:r>
      <w:hyperlink w:history="1" r:id="rId31">
        <w:r>
          <w:rPr>
            <w:rStyle w:val="Hyperlink"/>
            <w:color w:val="0563C1"/>
            <w:rFonts w:ascii="Times New Roman" w:cs="Times New Roman" w:eastAsia="Arial" w:hAnsi="Times New Roman"/>
            <w:sz w:val="24"/>
            <w:szCs w:val="24"/>
          </w:rPr>
          <w:t>https://necat.ufsc.br/varejo-catarinense-registra-quarta-retracao-consecutiva/</w:t>
        </w:r>
      </w:hyperlink>
    </w:p>
    <w:p w:rsidR="00701FCA" w:rsidRDefault="00701FCA" w14:paraId="7A134D5E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518C16B1" w14:textId="65028179" w:rsidP="00701FCA">
      <w:pPr>
        <w:jc w:val="both"/>
        <w:spacing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____ (2023).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hyperlink w:history="1" r:id="rId34">
        <w:r>
          <w:rPr>
            <w:rStyle w:val="Hyperlink"/>
            <w:rFonts w:ascii="Times New Roman" w:cs="Times New Roman" w:eastAsia="Arial" w:hAnsi="Times New Roman"/>
            <w:sz w:val="24"/>
            <w:szCs w:val="24"/>
          </w:rPr>
          <w:t>Varejo</w:t>
        </w:r>
      </w:hyperlink>
      <w:hyperlink w:history="1" r:id="rId35">
        <w:r>
          <w:rPr>
            <w:rStyle w:val="Hyperlink"/>
            <w:rFonts w:ascii="Times New Roman" w:cs="Times New Roman" w:eastAsia="Arial" w:hAnsi="Times New Roman"/>
            <w:sz w:val="24"/>
            <w:szCs w:val="24"/>
          </w:rPr>
          <w:t xml:space="preserve"> registra queda no mês de novembro e black friday não animou o setor</w:t>
        </w:r>
      </w:hyperlink>
      <w: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Blog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, 13/03/2023. Disponível em: </w:t>
      </w:r>
      <w:hyperlink w:history="1" r:id="rId33">
        <w:r>
          <w:rPr>
            <w:rStyle w:val="Hyperlink"/>
            <w:color w:val="0563C1"/>
            <w:rFonts w:ascii="Times New Roman" w:cs="Times New Roman" w:eastAsia="Arial" w:hAnsi="Times New Roman"/>
            <w:sz w:val="24"/>
            <w:szCs w:val="24"/>
          </w:rPr>
          <w:t>https://necat.ufsc.br/varejo-registra-queda-no-mes-de-novembro-e-black-friday-nao-animou-o-setor/</w:t>
        </w:r>
      </w:hyperlink>
    </w:p>
    <w:p w:rsidR="00701FCA" w:rsidRDefault="00701FCA" w14:paraId="064F74C6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313F75B2" w14:textId="2C34F04F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____ (2023a). </w:t>
        <w:lastRenderedPageBreak/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r>
        <w:rPr>
          <w:rFonts w:ascii="Times New Roman" w:cs="Times New Roman" w:eastAsia="Arial" w:hAnsi="Times New Roman"/>
          <w:sz w:val="24"/>
          <w:szCs w:val="24"/>
        </w:rPr>
        <w:t>Comércio catarinense iniciou o ano de 2023 com crescimento em alta</w:t>
      </w:r>
      <w:r>
        <w:rPr>
          <w:rFonts w:ascii="Times New Roman" w:cs="Times New Roman" w:eastAsia="Arial" w:hAnsi="Times New Roman"/>
          <w:sz w:val="24"/>
          <w:szCs w:val="24"/>
        </w:rP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Informativo n.13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, março de 2023. Disponível em: </w:t>
      </w:r>
      <w:hyperlink w:history="1" r:id="rId36">
        <w:r>
          <w:rPr>
            <w:rStyle w:val="Hyperlink"/>
            <w:color w:val="0563C1"/>
            <w:rFonts w:ascii="Times New Roman" w:cs="Times New Roman" w:eastAsia="Arial" w:hAnsi="Times New Roman"/>
            <w:sz w:val="24"/>
            <w:szCs w:val="24"/>
          </w:rPr>
          <w:t>https://drive.google.com/file/d/1ScGE9S-2BnJcf3ghE-IFEPSuZoxP4Obm/view</w:t>
        </w:r>
      </w:hyperlink>
    </w:p>
    <w:p w:rsidR="00701FCA" w:rsidRDefault="00701FCA" w14:paraId="6A92F61E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22F8CF8A" w14:textId="3F4C8056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____ (2023b).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r>
        <w:rPr>
          <w:rFonts w:ascii="Times New Roman" w:cs="Times New Roman" w:eastAsia="Arial" w:hAnsi="Times New Roman"/>
          <w:sz w:val="24"/>
          <w:szCs w:val="24"/>
        </w:rPr>
        <w:t>Varejo catarinense apresentou retração em fevereiro/23</w:t>
      </w:r>
      <w:r>
        <w:rPr>
          <w:rFonts w:ascii="Times New Roman" w:cs="Times New Roman" w:eastAsia="Arial" w:hAnsi="Times New Roman"/>
          <w:sz w:val="24"/>
          <w:szCs w:val="24"/>
        </w:rP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Informativo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, n.14 abril de 2023. Disponível em: </w:t>
      </w:r>
      <w:hyperlink w:history="1" r:id="rId37">
        <w:r>
          <w:rPr>
            <w:rStyle w:val="Hyperlink"/>
            <w:color w:val="0563C1"/>
            <w:rFonts w:ascii="Times New Roman" w:cs="Times New Roman" w:eastAsia="Arial" w:hAnsi="Times New Roman"/>
            <w:sz w:val="24"/>
            <w:szCs w:val="24"/>
          </w:rPr>
          <w:t>https://drive.google.com/file/d/1SUzH7EfMQIs7lpXrtfUzyXb7qqKRKopn/view</w:t>
        </w:r>
      </w:hyperlink>
    </w:p>
    <w:p w:rsidR="00701FCA" w:rsidRDefault="00701FCA" w14:paraId="3E3EB787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07137A15" w14:textId="45AB2AF8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____ (2023c).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r>
        <w:rPr>
          <w:rFonts w:ascii="Times New Roman" w:cs="Times New Roman" w:eastAsia="Arial" w:hAnsi="Times New Roman"/>
          <w:sz w:val="24"/>
          <w:szCs w:val="24"/>
        </w:rPr>
        <w:t>Varejo catarinense cresceu 7% no primeiro trimestre/23</w:t>
      </w:r>
      <w:r>
        <w:rPr>
          <w:rFonts w:ascii="Times New Roman" w:cs="Times New Roman" w:eastAsia="Arial" w:hAnsi="Times New Roman"/>
          <w:sz w:val="24"/>
          <w:szCs w:val="24"/>
        </w:rP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Informativo do NECAT</w:t>
      </w:r>
      <w:r>
        <w:rPr>
          <w:rFonts w:ascii="Times New Roman" w:cs="Times New Roman" w:eastAsia="Arial" w:hAnsi="Times New Roman"/>
          <w:sz w:val="24"/>
          <w:szCs w:val="24"/>
        </w:rPr>
        <w:t>,</w:t>
      </w:r>
      <w:r>
        <w:rPr>
          <w:b/>
          <w:rFonts w:ascii="Times New Roman" w:cs="Times New Roman" w:eastAsia="Arial" w:hAnsi="Times New Roman"/>
          <w:sz w:val="24"/>
          <w:szCs w:val="24"/>
        </w:rPr>
        <w:t xml:space="preserve"> </w:t>
      </w:r>
      <w:r>
        <w:rPr>
          <w:rFonts w:ascii="Times New Roman" w:cs="Times New Roman" w:eastAsia="Arial" w:hAnsi="Times New Roman"/>
          <w:sz w:val="24"/>
          <w:szCs w:val="24"/>
        </w:rPr>
        <w:t xml:space="preserve">n.15, maio de 2023. Disponível em: </w:t>
      </w:r>
      <w:hyperlink w:history="1" r:id="rId38">
        <w:r>
          <w:rPr>
            <w:rStyle w:val="Hyperlink"/>
            <w:color w:val="0563C1"/>
            <w:rFonts w:ascii="Times New Roman" w:cs="Times New Roman" w:eastAsia="Arial" w:hAnsi="Times New Roman"/>
            <w:sz w:val="24"/>
            <w:szCs w:val="24"/>
          </w:rPr>
          <w:t>https://drive.google.com/file/d/19rGxPEPBnDoR7lj0A2Rz6vTKJIwimoXX/view</w:t>
        </w:r>
      </w:hyperlink>
    </w:p>
    <w:p w:rsidR="00701FCA" w:rsidRDefault="00701FCA" w14:paraId="113F2869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3EFE0123" w14:textId="2D80C529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>____ (</w:t>
      </w:r>
      <w:proofErr w:type="gramStart"/>
      <w:r>
        <w:rPr>
          <w:rFonts w:ascii="Times New Roman" w:cs="Times New Roman" w:eastAsia="Arial" w:hAnsi="Times New Roman"/>
          <w:sz w:val="24"/>
          <w:szCs w:val="24"/>
        </w:rPr>
        <w:t>2023d</w:t>
      </w:r>
      <w:proofErr w:type="gramEnd"/>
      <w:r>
        <w:rPr>
          <w:rFonts w:ascii="Times New Roman" w:cs="Times New Roman" w:eastAsia="Arial" w:hAnsi="Times New Roman"/>
          <w:sz w:val="24"/>
          <w:szCs w:val="24"/>
        </w:rPr>
        <w:t xml:space="preserve">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r>
        <w:rPr>
          <w:rFonts w:ascii="Times New Roman" w:cs="Times New Roman" w:eastAsia="Arial" w:hAnsi="Times New Roman"/>
          <w:sz w:val="24"/>
          <w:szCs w:val="24"/>
        </w:rPr>
        <w:t>Varejo registra queda em Santa Catarina e no Brasil em abril</w:t>
      </w:r>
      <w:r>
        <w:rPr>
          <w:rFonts w:ascii="Times New Roman" w:cs="Times New Roman" w:eastAsia="Arial" w:hAnsi="Times New Roman"/>
          <w:sz w:val="24"/>
          <w:szCs w:val="24"/>
        </w:rP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Informativo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, n.16, junho de 2023. Disponível em: </w:t>
      </w:r>
      <w:hyperlink w:history="1" r:id="rId39">
        <w:r>
          <w:rPr>
            <w:rStyle w:val="Hyperlink"/>
            <w:color w:val="0563C1"/>
            <w:rFonts w:ascii="Times New Roman" w:cs="Times New Roman" w:eastAsia="Arial" w:hAnsi="Times New Roman"/>
            <w:sz w:val="24"/>
            <w:szCs w:val="24"/>
          </w:rPr>
          <w:t>https://drive.google.com/file/d/1ufKDxhTrD7OVUIIzqQJdHEGqrkFCfAUn/view</w:t>
        </w:r>
      </w:hyperlink>
    </w:p>
    <w:p w:rsidR="00701FCA" w:rsidRDefault="00701FCA" w14:paraId="317E7003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5A9BE3D4" w14:textId="0143F3E9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____ (2023e).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r>
        <w:rPr>
          <w:rFonts w:ascii="Times New Roman" w:cs="Times New Roman" w:eastAsia="Arial" w:hAnsi="Times New Roman"/>
          <w:sz w:val="24"/>
          <w:szCs w:val="24"/>
        </w:rPr>
        <w:t>Varejo registra nova retração em maio/23</w:t>
      </w:r>
      <w:r>
        <w:rPr>
          <w:rFonts w:ascii="Times New Roman" w:cs="Times New Roman" w:eastAsia="Arial" w:hAnsi="Times New Roman"/>
          <w:sz w:val="24"/>
          <w:szCs w:val="24"/>
        </w:rP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Informativo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, n.17 julho de 2023. Disponível em: </w:t>
      </w:r>
      <w:hyperlink w:history="1" r:id="rId40">
        <w:r>
          <w:rPr>
            <w:rStyle w:val="Hyperlink"/>
            <w:color w:val="0563C1"/>
            <w:rFonts w:ascii="Times New Roman" w:cs="Times New Roman" w:eastAsia="Arial" w:hAnsi="Times New Roman"/>
            <w:sz w:val="24"/>
            <w:szCs w:val="24"/>
          </w:rPr>
          <w:t>https://drive.google.com/file/d/1oMmsUe2k-aCjk1_oEvvIp7TU4J2NtSca/view</w:t>
        </w:r>
      </w:hyperlink>
    </w:p>
    <w:p w:rsidR="00701FCA" w:rsidRDefault="00701FCA" w14:paraId="29801375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3177485F" w14:textId="332D3E5A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____ (2023f).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r>
        <w:rPr>
          <w:rFonts w:ascii="Times New Roman" w:cs="Times New Roman" w:eastAsia="Arial" w:hAnsi="Times New Roman"/>
          <w:sz w:val="24"/>
          <w:szCs w:val="24"/>
        </w:rPr>
        <w:t>Varejo registra leve alta em junho, após sequência de resultados negativos</w:t>
      </w:r>
      <w:r>
        <w:rPr>
          <w:rFonts w:ascii="Times New Roman" w:cs="Times New Roman" w:eastAsia="Arial" w:hAnsi="Times New Roman"/>
          <w:sz w:val="24"/>
          <w:szCs w:val="24"/>
        </w:rP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Informativo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, n.18 agosto de 2023. Disponível em: </w:t>
      </w:r>
      <w:hyperlink w:history="1" r:id="rId41">
        <w:r>
          <w:rPr>
            <w:rStyle w:val="Hyperlink"/>
            <w:color w:val="1155CC"/>
            <w:rFonts w:ascii="Times New Roman" w:cs="Times New Roman" w:eastAsia="Arial" w:hAnsi="Times New Roman"/>
            <w:sz w:val="24"/>
            <w:szCs w:val="24"/>
          </w:rPr>
          <w:t>https://drive.google.com/file/d/10dA_1CEC4i7xEjlYnKzeGXjKDbzYQHuO/view</w:t>
        </w:r>
      </w:hyperlink>
    </w:p>
    <w:p w:rsidR="00701FCA" w:rsidRDefault="00701FCA" w14:paraId="48202852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14B7BA64" w14:textId="344A9C46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>____</w:t>
      </w:r>
      <w:proofErr w:type="gramStart"/>
      <w:r>
        <w:rPr>
          <w:rFonts w:ascii="Times New Roman" w:cs="Times New Roman" w:eastAsia="Arial" w:hAnsi="Times New Roman"/>
          <w:sz w:val="24"/>
          <w:szCs w:val="24"/>
        </w:rPr>
        <w:t xml:space="preserve">  </w:t>
      </w:r>
      <w:proofErr w:type="gramEnd"/>
      <w:r>
        <w:rPr>
          <w:rFonts w:ascii="Times New Roman" w:cs="Times New Roman" w:eastAsia="Arial" w:hAnsi="Times New Roman"/>
          <w:sz w:val="24"/>
          <w:szCs w:val="24"/>
        </w:rPr>
        <w:t xml:space="preserve">(2023g).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r>
        <w:rPr>
          <w:rFonts w:ascii="Times New Roman" w:cs="Times New Roman" w:eastAsia="Arial" w:hAnsi="Times New Roman"/>
          <w:sz w:val="24"/>
          <w:szCs w:val="24"/>
        </w:rPr>
        <w:t>Varejo Catarinense iniciou o segundo semestre com tendência de expansão</w:t>
      </w:r>
      <w:r>
        <w:rPr>
          <w:rFonts w:ascii="Times New Roman" w:cs="Times New Roman" w:eastAsia="Arial" w:hAnsi="Times New Roman"/>
          <w:sz w:val="24"/>
          <w:szCs w:val="24"/>
        </w:rP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Informativo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, n.19 setembro de 2023. Disponível em: </w:t>
      </w:r>
      <w:hyperlink w:history="1" r:id="rId42">
        <w:r>
          <w:rPr>
            <w:rStyle w:val="Hyperlink"/>
            <w:color w:val="1155CC"/>
            <w:rFonts w:ascii="Times New Roman" w:cs="Times New Roman" w:eastAsia="Arial" w:hAnsi="Times New Roman"/>
            <w:sz w:val="24"/>
            <w:szCs w:val="24"/>
          </w:rPr>
          <w:t>https://drive.google.com/file/d/1VQPJLmIizbrhK9wq1FSfWPTC76G8Hfik/view</w:t>
        </w:r>
      </w:hyperlink>
    </w:p>
    <w:p w:rsidR="00701FCA" w:rsidRDefault="00701FCA" w14:paraId="677657AE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420EA7BF" w14:textId="70817895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____ (2023h).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r>
        <w:rPr>
          <w:rFonts w:ascii="Times New Roman" w:cs="Times New Roman" w:eastAsia="Arial" w:hAnsi="Times New Roman"/>
          <w:sz w:val="24"/>
          <w:szCs w:val="24"/>
        </w:rPr>
        <w:t>Varejo catarinense expande e acumula alta de 2,6% no ano</w:t>
      </w:r>
      <w:r>
        <w:rPr>
          <w:rFonts w:ascii="Times New Roman" w:cs="Times New Roman" w:eastAsia="Arial" w:hAnsi="Times New Roman"/>
          <w:sz w:val="24"/>
          <w:szCs w:val="24"/>
        </w:rP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Blog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, 14/11/2023. Disponível em: </w:t>
      </w:r>
      <w:hyperlink w:history="1" r:id="rId43">
        <w:r>
          <w:rPr>
            <w:rStyle w:val="Hyperlink"/>
            <w:color w:val="1155CC"/>
            <w:rFonts w:ascii="Times New Roman" w:cs="Times New Roman" w:eastAsia="Arial" w:hAnsi="Times New Roman"/>
            <w:sz w:val="24"/>
            <w:szCs w:val="24"/>
          </w:rPr>
          <w:t>https://necat.ufsc.br/varejo-catarinense-expande-e-acumula-alta-de-26-no-ano/</w:t>
        </w:r>
      </w:hyperlink>
    </w:p>
    <w:p w:rsidR="00701FCA" w:rsidRDefault="00701FCA" w14:paraId="474615B1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66BAEFD4" w14:textId="247CCC8B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RAZZINI, Guilherme R.; ROSA, Matheus S. </w:t>
      </w:r>
      <w:proofErr w:type="gramStart"/>
      <w:r>
        <w:rPr>
          <w:rFonts w:ascii="Times New Roman" w:cs="Times New Roman" w:eastAsia="Arial" w:hAnsi="Times New Roman"/>
          <w:sz w:val="24"/>
          <w:szCs w:val="24"/>
        </w:rPr>
        <w:t>da.</w:t>
      </w:r>
      <w:proofErr w:type="gramEnd"/>
      <w:r>
        <w:rPr>
          <w:rFonts w:ascii="Times New Roman" w:cs="Times New Roman" w:eastAsia="Arial" w:hAnsi="Times New Roman"/>
          <w:sz w:val="24"/>
          <w:szCs w:val="24"/>
        </w:rPr>
        <w:t xml:space="preserve"> (2023).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r>
        <w:rPr>
          <w:rFonts w:ascii="Times New Roman" w:cs="Times New Roman" w:eastAsia="Arial" w:hAnsi="Times New Roman"/>
          <w:sz w:val="24"/>
          <w:szCs w:val="24"/>
        </w:rPr>
        <w:t>Comércio varejista catarinense teve expansão em 2022, apesar de quedas setoriais localizadas</w:t>
      </w:r>
      <w:r>
        <w:rPr>
          <w:rFonts w:ascii="Times New Roman" w:cs="Times New Roman" w:eastAsia="Arial" w:hAnsi="Times New Roman"/>
          <w:sz w:val="24"/>
          <w:szCs w:val="24"/>
        </w:rP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Blog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. 11/04/2023. Disponível em: </w:t>
      </w:r>
      <w:hyperlink w:history="1" r:id="rId44">
        <w:r>
          <w:rPr>
            <w:rStyle w:val="Hyperlink"/>
            <w:color w:val="0563C1"/>
            <w:rFonts w:ascii="Times New Roman" w:cs="Times New Roman" w:eastAsia="Arial" w:hAnsi="Times New Roman"/>
            <w:sz w:val="24"/>
            <w:szCs w:val="24"/>
          </w:rPr>
          <w:t>https://necat.ufsc.br/9073-2/</w:t>
        </w:r>
      </w:hyperlink>
    </w:p>
    <w:p w:rsidR="00701FCA" w:rsidRDefault="00701FCA" w14:paraId="2C8F91A0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1AD27966" w14:textId="25AAE66E" w:rsidP="00701FCA">
      <w:pPr>
        <w:jc w:val="both"/>
        <w:spacing w:after="0" w:line="240" w:lineRule="auto"/>
        <w:rPr>
          <w:color w:val="FF0000"/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ROSA, Matheus S. </w:t>
      </w:r>
      <w:proofErr w:type="gramStart"/>
      <w:r>
        <w:rPr>
          <w:rFonts w:ascii="Times New Roman" w:cs="Times New Roman" w:eastAsia="Arial" w:hAnsi="Times New Roman"/>
          <w:sz w:val="24"/>
          <w:szCs w:val="24"/>
        </w:rPr>
        <w:t>da.</w:t>
      </w:r>
      <w:proofErr w:type="gramEnd"/>
      <w:r>
        <w:rPr>
          <w:rFonts w:ascii="Times New Roman" w:cs="Times New Roman" w:eastAsia="Arial" w:hAnsi="Times New Roman"/>
          <w:sz w:val="24"/>
          <w:szCs w:val="24"/>
        </w:rPr>
        <w:t xml:space="preserve">, TESTONI, Bonifácio P. (2023)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hyperlink w:history="1" r:id="rId45">
        <w:r>
          <w:rPr>
            <w:rStyle w:val="Hyperlink"/>
            <w:rFonts w:ascii="Times New Roman" w:cs="Times New Roman" w:eastAsia="Arial" w:hAnsi="Times New Roman"/>
            <w:sz w:val="24"/>
            <w:szCs w:val="24"/>
          </w:rPr>
          <w:t>Com leve retração, volume de vendas do comércio catarinense interrompe tendência expansiva</w:t>
        </w:r>
      </w:hyperlink>
      <w: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Blog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. 19/12/2023. Disponível em: </w:t>
      </w:r>
      <w:hyperlink w:history="1" r:id="rId46">
        <w:r>
          <w:rPr>
            <w:rStyle w:val="Hyperlink"/>
            <w:color w:val="1155CC"/>
            <w:rFonts w:ascii="Times New Roman" w:cs="Times New Roman" w:eastAsia="Arial" w:hAnsi="Times New Roman"/>
            <w:sz w:val="24"/>
            <w:szCs w:val="24"/>
          </w:rPr>
          <w:t>https://necat.ufsc.br/com-leve-retracao-volume-de-vendas-do-comercio-catarinense-interrompe-tendencia-expansiva/</w:t>
        </w:r>
      </w:hyperlink>
    </w:p>
    <w:p w:rsidR="00701FCA" w:rsidRDefault="00701FCA" w14:paraId="17880278" w14:textId="77777777" w:rsidP="00701FCA">
      <w:pPr>
        <w:jc w:val="both"/>
        <w:spacing w:after="0" w:line="240" w:lineRule="auto"/>
        <w:rPr>
          <w:color w:val="FF0000"/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57D362D9" w14:textId="0E69DAE2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____ (2024).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r>
        <w:rPr>
          <w:rFonts w:ascii="Times New Roman" w:cs="Times New Roman" w:eastAsia="Arial" w:hAnsi="Times New Roman"/>
          <w:sz w:val="24"/>
          <w:szCs w:val="24"/>
        </w:rPr>
        <w:t>Varejo catarinense expande após estagnação em outubro</w:t>
      </w:r>
      <w:r>
        <w:rPr>
          <w:rFonts w:ascii="Times New Roman" w:cs="Times New Roman" w:eastAsia="Arial" w:hAnsi="Times New Roman"/>
          <w:sz w:val="24"/>
          <w:szCs w:val="24"/>
        </w:rP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Informativo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 n. 23, janeiro de 2024. Disponível em: </w:t>
      </w:r>
      <w:hyperlink w:history="1" r:id="rId47">
        <w:r>
          <w:rPr>
            <w:rStyle w:val="Hyperlink"/>
            <w:color w:val="1155CC"/>
            <w:rFonts w:ascii="Times New Roman" w:cs="Times New Roman" w:eastAsia="Arial" w:hAnsi="Times New Roman"/>
            <w:sz w:val="24"/>
            <w:szCs w:val="24"/>
          </w:rPr>
          <w:t>https://drive.google.com/file/d/1HfJLpxG9DzqMdNl2KLk1MWZ3XwwBbZKa/view</w:t>
        </w:r>
      </w:hyperlink>
    </w:p>
    <w:p w:rsidR="00701FCA" w:rsidRDefault="00701FCA" w14:paraId="638413F1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5CFE0115" w14:textId="0AC07A6E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ROSA, Matheus S. da; SILVA, Daniel da C. C. </w:t>
      </w:r>
      <w:proofErr w:type="gramStart"/>
      <w:r>
        <w:rPr>
          <w:rFonts w:ascii="Times New Roman" w:cs="Times New Roman" w:eastAsia="Arial" w:hAnsi="Times New Roman"/>
          <w:sz w:val="24"/>
          <w:szCs w:val="24"/>
        </w:rPr>
        <w:t>da.</w:t>
      </w:r>
      <w:proofErr w:type="gramEnd"/>
      <w:r>
        <w:rPr>
          <w:rFonts w:ascii="Times New Roman" w:cs="Times New Roman" w:eastAsia="Arial" w:hAnsi="Times New Roman"/>
          <w:sz w:val="24"/>
          <w:szCs w:val="24"/>
        </w:rPr>
        <w:t xml:space="preserve"> (2021).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r>
        <w:rPr>
          <w:rFonts w:ascii="Times New Roman" w:cs="Times New Roman" w:eastAsia="Arial" w:hAnsi="Times New Roman"/>
          <w:sz w:val="24"/>
          <w:szCs w:val="24"/>
        </w:rPr>
        <w:t>Comércio catarinense apresentou saldo de vendas positivo no mês de abril de 2021</w:t>
      </w:r>
      <w:r>
        <w:rPr>
          <w:rFonts w:ascii="Times New Roman" w:cs="Times New Roman" w:eastAsia="Arial" w:hAnsi="Times New Roman"/>
          <w:sz w:val="24"/>
          <w:szCs w:val="24"/>
        </w:rP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Blog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. 06/07/2021. Disponível em: </w:t>
      </w:r>
      <w:hyperlink w:history="1" r:id="rId48">
        <w:r>
          <w:rPr>
            <w:rStyle w:val="Hyperlink"/>
            <w:color w:val="0563C1"/>
            <w:rFonts w:ascii="Times New Roman" w:cs="Times New Roman" w:eastAsia="Arial" w:hAnsi="Times New Roman"/>
            <w:sz w:val="24"/>
            <w:szCs w:val="24"/>
          </w:rPr>
          <w:t>https://necat.ufsc.br/comercio-catarinense-apresentou-saldo-de-vendas-positivo-no-mes-de-abril-de-2021/</w:t>
        </w:r>
      </w:hyperlink>
    </w:p>
    <w:p w:rsidR="00701FCA" w:rsidRDefault="00701FCA" w14:paraId="177C5820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184D80C5" w14:textId="0D8A20FB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TESTONI, Bonifácio </w:t>
        <w:lastRenderedPageBreak/>
      </w:r>
      <w:proofErr w:type="spellStart"/>
      <w:r>
        <w:rPr>
          <w:rFonts w:ascii="Times New Roman" w:cs="Times New Roman" w:eastAsia="Arial" w:hAnsi="Times New Roman"/>
          <w:sz w:val="24"/>
          <w:szCs w:val="24"/>
        </w:rPr>
        <w:t>Packer</w:t>
      </w:r>
      <w:proofErr w:type="spellEnd"/>
      <w:r>
        <w:rPr>
          <w:rFonts w:ascii="Times New Roman" w:cs="Times New Roman" w:eastAsia="Arial" w:hAnsi="Times New Roman"/>
          <w:sz w:val="24"/>
          <w:szCs w:val="24"/>
        </w:rPr>
        <w:t xml:space="preserve">. (2024).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r>
        <w:rPr>
          <w:rFonts w:ascii="Times New Roman" w:cs="Times New Roman" w:eastAsia="Arial" w:hAnsi="Times New Roman"/>
          <w:sz w:val="24"/>
          <w:szCs w:val="24"/>
        </w:rPr>
        <w:t>Varejo ampliado de Santa Catarina fecha 2023 com saldo de 4% em relação ao acumulado de 2022</w:t>
      </w:r>
      <w:r>
        <w:rPr>
          <w:rFonts w:ascii="Times New Roman" w:cs="Times New Roman" w:eastAsia="Arial" w:hAnsi="Times New Roman"/>
          <w:sz w:val="24"/>
          <w:szCs w:val="24"/>
        </w:rPr>
        <w:t>”</w:t>
      </w:r>
      <w:r>
        <w:rPr>
          <w:rFonts w:ascii="Times New Roman" w:cs="Times New Roman" w:eastAsia="Arial" w:hAnsi="Times New Roman"/>
          <w:sz w:val="24"/>
          <w:szCs w:val="24"/>
        </w:rPr>
        <w:t>.</w:t>
      </w:r>
      <w:r>
        <w:rPr>
          <w:b/>
          <w:rFonts w:ascii="Times New Roman" w:cs="Times New Roman" w:eastAsia="Arial" w:hAnsi="Times New Roman"/>
          <w:sz w:val="24"/>
          <w:szCs w:val="24"/>
        </w:rPr>
        <w:t xml:space="preserve"> Informativo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 n. 24, fevereiro de 2024. Disponível em: </w:t>
      </w:r>
      <w:hyperlink w:history="1" r:id="rId49">
        <w:r>
          <w:rPr>
            <w:rStyle w:val="Hyperlink"/>
            <w:color w:val="0563C1"/>
            <w:rFonts w:ascii="Times New Roman" w:cs="Times New Roman" w:eastAsia="Arial" w:hAnsi="Times New Roman"/>
            <w:sz w:val="24"/>
            <w:szCs w:val="24"/>
          </w:rPr>
          <w:t>https://drive.google.com/file/d/1m0y8aBsumKgT7-FRnsUScu214fuZHUQZ/view</w:t>
        </w:r>
      </w:hyperlink>
    </w:p>
    <w:p w:rsidR="00701FCA" w:rsidRDefault="00701FCA" w14:paraId="7051C16E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0B769E30" w14:textId="2268B5EA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____ (2024a).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r>
        <w:rPr>
          <w:rFonts w:ascii="Times New Roman" w:cs="Times New Roman" w:eastAsia="Arial" w:hAnsi="Times New Roman"/>
          <w:sz w:val="24"/>
          <w:szCs w:val="24"/>
        </w:rPr>
        <w:t xml:space="preserve">Varejo ampliado de Santa Catarina tem o pior desempenho dentre todas as </w:t>
      </w:r>
      <w:proofErr w:type="spellStart"/>
      <w:r>
        <w:rPr>
          <w:rFonts w:ascii="Times New Roman" w:cs="Times New Roman" w:eastAsia="Arial" w:hAnsi="Times New Roman"/>
          <w:sz w:val="24"/>
          <w:szCs w:val="24"/>
        </w:rPr>
        <w:t>UFs</w:t>
      </w:r>
      <w:proofErr w:type="spellEnd"/>
      <w:r>
        <w:rPr>
          <w:rFonts w:ascii="Times New Roman" w:cs="Times New Roman" w:eastAsia="Arial" w:hAnsi="Times New Roman"/>
          <w:sz w:val="24"/>
          <w:szCs w:val="24"/>
        </w:rP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Informativo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 n. 25, março de 2024. Disponível em:  </w:t>
      </w:r>
      <w:hyperlink w:history="1" r:id="rId50">
        <w:r>
          <w:rPr>
            <w:rStyle w:val="Hyperlink"/>
            <w:color w:val="1155CC"/>
            <w:rFonts w:ascii="Times New Roman" w:cs="Times New Roman" w:eastAsia="Arial" w:hAnsi="Times New Roman"/>
            <w:sz w:val="24"/>
            <w:szCs w:val="24"/>
          </w:rPr>
          <w:t>https://drive.google.com/file/d/1owP4PgXYaP80HIsDuJMFdKvlpUQ8-eas/view</w:t>
        </w:r>
      </w:hyperlink>
    </w:p>
    <w:p w:rsidR="00701FCA" w:rsidRDefault="00701FCA" w14:paraId="609F496A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59D04744" w14:textId="5A24E873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____ (2024b).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r>
        <w:rPr>
          <w:rFonts w:ascii="Times New Roman" w:cs="Times New Roman" w:eastAsia="Arial" w:hAnsi="Times New Roman"/>
          <w:sz w:val="24"/>
          <w:szCs w:val="24"/>
        </w:rPr>
        <w:t>Comércio varejista de Santa Catarina registrou nova alta em fevereiro de 2024</w:t>
      </w:r>
      <w:r>
        <w:rPr>
          <w:rFonts w:ascii="Times New Roman" w:cs="Times New Roman" w:eastAsia="Arial" w:hAnsi="Times New Roman"/>
          <w:sz w:val="24"/>
          <w:szCs w:val="24"/>
        </w:rP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Informativo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 n. 26, abril de </w:t>
      </w:r>
      <w:proofErr w:type="gramStart"/>
      <w:r>
        <w:rPr>
          <w:rFonts w:ascii="Times New Roman" w:cs="Times New Roman" w:eastAsia="Arial" w:hAnsi="Times New Roman"/>
          <w:sz w:val="24"/>
          <w:szCs w:val="24"/>
        </w:rPr>
        <w:t>2024 .</w:t>
      </w:r>
      <w:proofErr w:type="gramEnd"/>
      <w:r>
        <w:rPr>
          <w:rFonts w:ascii="Times New Roman" w:cs="Times New Roman" w:eastAsia="Arial" w:hAnsi="Times New Roman"/>
          <w:sz w:val="24"/>
          <w:szCs w:val="24"/>
        </w:rPr>
        <w:t xml:space="preserve"> Disponível em:  </w:t>
      </w:r>
      <w:hyperlink w:history="1" r:id="rId51">
        <w:r>
          <w:rPr>
            <w:rStyle w:val="Hyperlink"/>
            <w:color w:val="1155CC"/>
            <w:rFonts w:ascii="Times New Roman" w:cs="Times New Roman" w:eastAsia="Arial" w:hAnsi="Times New Roman"/>
            <w:sz w:val="24"/>
            <w:szCs w:val="24"/>
          </w:rPr>
          <w:t>https://drive.google.com/file/d/1XdvXXILmj6zcL726dGcfy4NjWQuKdHuu/view</w:t>
        </w:r>
      </w:hyperlink>
    </w:p>
    <w:p w:rsidR="00701FCA" w:rsidRDefault="00701FCA" w14:paraId="264ADACA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20B83E1E" w14:textId="6B620D20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____ (2024c).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r>
        <w:rPr>
          <w:rFonts w:ascii="Times New Roman" w:cs="Times New Roman" w:eastAsia="Arial" w:hAnsi="Times New Roman"/>
          <w:sz w:val="24"/>
          <w:szCs w:val="24"/>
        </w:rPr>
        <w:t>Comércio varejista catarinense sofreu desaceleração em março de 2024</w:t>
      </w:r>
      <w:r>
        <w:rPr>
          <w:rFonts w:ascii="Times New Roman" w:cs="Times New Roman" w:eastAsia="Arial" w:hAnsi="Times New Roman"/>
          <w:sz w:val="24"/>
          <w:szCs w:val="24"/>
        </w:rP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Informativo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 n. 27, maio de </w:t>
      </w:r>
      <w:proofErr w:type="gramStart"/>
      <w:r>
        <w:rPr>
          <w:rFonts w:ascii="Times New Roman" w:cs="Times New Roman" w:eastAsia="Arial" w:hAnsi="Times New Roman"/>
          <w:sz w:val="24"/>
          <w:szCs w:val="24"/>
        </w:rPr>
        <w:t>2024 .</w:t>
      </w:r>
      <w:proofErr w:type="gramEnd"/>
      <w:r>
        <w:rPr>
          <w:rFonts w:ascii="Times New Roman" w:cs="Times New Roman" w:eastAsia="Arial" w:hAnsi="Times New Roman"/>
          <w:sz w:val="24"/>
          <w:szCs w:val="24"/>
        </w:rPr>
        <w:t xml:space="preserve"> Disponível em:  </w:t>
      </w:r>
      <w:hyperlink w:history="1" r:id="rId52">
        <w:r>
          <w:rPr>
            <w:rStyle w:val="Hyperlink"/>
            <w:color w:val="1155CC"/>
            <w:rFonts w:ascii="Times New Roman" w:cs="Times New Roman" w:eastAsia="Arial" w:hAnsi="Times New Roman"/>
            <w:sz w:val="24"/>
            <w:szCs w:val="24"/>
          </w:rPr>
          <w:t>https://drive.google.com/file/d/1a7QeRFhylr9qdrMiTdWdFZxF38caM1ew/view</w:t>
        </w:r>
      </w:hyperlink>
    </w:p>
    <w:p w:rsidR="00701FCA" w:rsidRDefault="00701FCA" w14:paraId="5733CA5B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78E6ED81" w14:textId="07C1E883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>____ (</w:t>
      </w:r>
      <w:proofErr w:type="gramStart"/>
      <w:r>
        <w:rPr>
          <w:rFonts w:ascii="Times New Roman" w:cs="Times New Roman" w:eastAsia="Arial" w:hAnsi="Times New Roman"/>
          <w:sz w:val="24"/>
          <w:szCs w:val="24"/>
        </w:rPr>
        <w:t>2024d</w:t>
      </w:r>
      <w:proofErr w:type="gramEnd"/>
      <w:r>
        <w:rPr>
          <w:rFonts w:ascii="Times New Roman" w:cs="Times New Roman" w:eastAsia="Arial" w:hAnsi="Times New Roman"/>
          <w:sz w:val="24"/>
          <w:szCs w:val="24"/>
        </w:rPr>
        <w:t xml:space="preserve">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r>
        <w:rPr>
          <w:rFonts w:ascii="Times New Roman" w:cs="Times New Roman" w:eastAsia="Arial" w:hAnsi="Times New Roman"/>
          <w:sz w:val="24"/>
          <w:szCs w:val="24"/>
        </w:rPr>
        <w:t>Varejo catarinense sustenta crescimento</w:t>
      </w:r>
      <w:r>
        <w:rPr>
          <w:rFonts w:ascii="Times New Roman" w:cs="Times New Roman" w:eastAsia="Arial" w:hAnsi="Times New Roman"/>
          <w:sz w:val="24"/>
          <w:szCs w:val="24"/>
        </w:rP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Informativo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 n. 28, junho de </w:t>
      </w:r>
      <w:proofErr w:type="gramStart"/>
      <w:r>
        <w:rPr>
          <w:rFonts w:ascii="Times New Roman" w:cs="Times New Roman" w:eastAsia="Arial" w:hAnsi="Times New Roman"/>
          <w:sz w:val="24"/>
          <w:szCs w:val="24"/>
        </w:rPr>
        <w:t>2024 .</w:t>
      </w:r>
      <w:proofErr w:type="gramEnd"/>
      <w:r>
        <w:rPr>
          <w:rFonts w:ascii="Times New Roman" w:cs="Times New Roman" w:eastAsia="Arial" w:hAnsi="Times New Roman"/>
          <w:sz w:val="24"/>
          <w:szCs w:val="24"/>
        </w:rPr>
        <w:t xml:space="preserve"> Disponível em:  </w:t>
      </w:r>
      <w:hyperlink w:history="1" r:id="rId53">
        <w:r>
          <w:rPr>
            <w:rStyle w:val="Hyperlink"/>
            <w:color w:val="1155CC"/>
            <w:rFonts w:ascii="Times New Roman" w:cs="Times New Roman" w:eastAsia="Arial" w:hAnsi="Times New Roman"/>
            <w:sz w:val="24"/>
            <w:szCs w:val="24"/>
          </w:rPr>
          <w:t>https://drive.google.com/file/d/1PO5nYcMuXX3lzvIuIll_cxkA4dYnxBBB/view</w:t>
        </w:r>
      </w:hyperlink>
    </w:p>
    <w:p w:rsidR="00701FCA" w:rsidRDefault="00701FCA" w14:paraId="4E327602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00E60638" w14:textId="748CD8DF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____ (2024e).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r>
        <w:rPr>
          <w:rFonts w:ascii="Times New Roman" w:cs="Times New Roman" w:eastAsia="Arial" w:hAnsi="Times New Roman"/>
          <w:sz w:val="24"/>
          <w:szCs w:val="24"/>
        </w:rPr>
        <w:t>Varejo catarinense próximo à estabilidade em maio</w:t>
      </w:r>
      <w:r>
        <w:rPr>
          <w:rFonts w:ascii="Times New Roman" w:cs="Times New Roman" w:eastAsia="Arial" w:hAnsi="Times New Roman"/>
          <w:sz w:val="24"/>
          <w:szCs w:val="24"/>
        </w:rP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Informativo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 n. 29, julho de </w:t>
      </w:r>
      <w:proofErr w:type="gramStart"/>
      <w:r>
        <w:rPr>
          <w:rFonts w:ascii="Times New Roman" w:cs="Times New Roman" w:eastAsia="Arial" w:hAnsi="Times New Roman"/>
          <w:sz w:val="24"/>
          <w:szCs w:val="24"/>
        </w:rPr>
        <w:t>2024 .</w:t>
      </w:r>
      <w:proofErr w:type="gramEnd"/>
      <w:r>
        <w:rPr>
          <w:rFonts w:ascii="Times New Roman" w:cs="Times New Roman" w:eastAsia="Arial" w:hAnsi="Times New Roman"/>
          <w:sz w:val="24"/>
          <w:szCs w:val="24"/>
        </w:rPr>
        <w:t xml:space="preserve"> Disponível em:  </w:t>
      </w:r>
      <w:hyperlink w:history="1" r:id="rId54">
        <w:r>
          <w:rPr>
            <w:rStyle w:val="Hyperlink"/>
            <w:color w:val="1155CC"/>
            <w:rFonts w:ascii="Times New Roman" w:cs="Times New Roman" w:eastAsia="Arial" w:hAnsi="Times New Roman"/>
            <w:sz w:val="24"/>
            <w:szCs w:val="24"/>
          </w:rPr>
          <w:t>https://drive.google.com/file/d/1cP1nCHwvVwF2ZC3U7xreHSzYE6F8Gtqy/view</w:t>
        </w:r>
      </w:hyperlink>
    </w:p>
    <w:p w:rsidR="00701FCA" w:rsidRDefault="00701FCA" w14:paraId="13893D81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13094952" w14:textId="16145036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____ (2024f).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r>
        <w:rPr>
          <w:rFonts w:ascii="Times New Roman" w:cs="Times New Roman" w:eastAsia="Arial" w:hAnsi="Times New Roman"/>
          <w:sz w:val="24"/>
          <w:szCs w:val="24"/>
        </w:rPr>
        <w:t>Varejo catarinense cresceu pelo terceiro mês consecutivo em junho/24</w:t>
      </w:r>
      <w:r>
        <w:rPr>
          <w:rFonts w:ascii="Times New Roman" w:cs="Times New Roman" w:eastAsia="Arial" w:hAnsi="Times New Roman"/>
          <w:sz w:val="24"/>
          <w:szCs w:val="24"/>
        </w:rP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Informativo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 n. 30, agosto de </w:t>
      </w:r>
      <w:proofErr w:type="gramStart"/>
      <w:r>
        <w:rPr>
          <w:rFonts w:ascii="Times New Roman" w:cs="Times New Roman" w:eastAsia="Arial" w:hAnsi="Times New Roman"/>
          <w:sz w:val="24"/>
          <w:szCs w:val="24"/>
        </w:rPr>
        <w:t>2024 .</w:t>
      </w:r>
      <w:proofErr w:type="gramEnd"/>
      <w:r>
        <w:rPr>
          <w:rFonts w:ascii="Times New Roman" w:cs="Times New Roman" w:eastAsia="Arial" w:hAnsi="Times New Roman"/>
          <w:sz w:val="24"/>
          <w:szCs w:val="24"/>
        </w:rPr>
        <w:t xml:space="preserve"> Disponível em:  </w:t>
      </w:r>
      <w:hyperlink w:history="1" r:id="rId55">
        <w:r>
          <w:rPr>
            <w:rStyle w:val="Hyperlink"/>
            <w:color w:val="1155CC"/>
            <w:rFonts w:ascii="Times New Roman" w:cs="Times New Roman" w:eastAsia="Arial" w:hAnsi="Times New Roman"/>
            <w:sz w:val="24"/>
            <w:szCs w:val="24"/>
          </w:rPr>
          <w:t>https://drive.google.com/file/d/13Iv_Xp5b1IQSq0yCjNVLMfQDMT6ym2NB/view</w:t>
        </w:r>
      </w:hyperlink>
    </w:p>
    <w:p w:rsidR="00701FCA" w:rsidRDefault="00701FCA" w14:paraId="664E8A64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6E201E57" w14:textId="40DC8ABE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____ (2024g).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r>
        <w:rPr>
          <w:rFonts w:ascii="Times New Roman" w:cs="Times New Roman" w:eastAsia="Arial" w:hAnsi="Times New Roman"/>
          <w:sz w:val="24"/>
          <w:szCs w:val="24"/>
        </w:rPr>
        <w:t>Varejo catarinense tem queda de 1% no mês de julho/24</w:t>
      </w:r>
      <w:r>
        <w:rPr>
          <w:rFonts w:ascii="Times New Roman" w:cs="Times New Roman" w:eastAsia="Arial" w:hAnsi="Times New Roman"/>
          <w:sz w:val="24"/>
          <w:szCs w:val="24"/>
        </w:rP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Informativo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 n. 31, setembro de </w:t>
      </w:r>
      <w:proofErr w:type="gramStart"/>
      <w:r>
        <w:rPr>
          <w:rFonts w:ascii="Times New Roman" w:cs="Times New Roman" w:eastAsia="Arial" w:hAnsi="Times New Roman"/>
          <w:sz w:val="24"/>
          <w:szCs w:val="24"/>
        </w:rPr>
        <w:t>2024 .</w:t>
      </w:r>
      <w:proofErr w:type="gramEnd"/>
      <w:r>
        <w:rPr>
          <w:rFonts w:ascii="Times New Roman" w:cs="Times New Roman" w:eastAsia="Arial" w:hAnsi="Times New Roman"/>
          <w:sz w:val="24"/>
          <w:szCs w:val="24"/>
        </w:rPr>
        <w:t xml:space="preserve"> Disponível em:  </w:t>
      </w:r>
      <w:hyperlink w:history="1" r:id="rId56">
        <w:r>
          <w:rPr>
            <w:rStyle w:val="Hyperlink"/>
            <w:color w:val="1155CC"/>
            <w:rFonts w:ascii="Times New Roman" w:cs="Times New Roman" w:eastAsia="Arial" w:hAnsi="Times New Roman"/>
            <w:sz w:val="24"/>
            <w:szCs w:val="24"/>
          </w:rPr>
          <w:t>https://drive.google.com/file/d/1F0I96WcPWOywh6CXjIJNBHqEgllE9jMf/view</w:t>
        </w:r>
      </w:hyperlink>
    </w:p>
    <w:p w:rsidR="00701FCA" w:rsidRDefault="00701FCA" w14:paraId="6138E970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5F605503" w14:textId="43EAF279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TESTONI, Bonifácio </w:t>
      </w:r>
      <w:proofErr w:type="spellStart"/>
      <w:r>
        <w:rPr>
          <w:rFonts w:ascii="Times New Roman" w:cs="Times New Roman" w:eastAsia="Arial" w:hAnsi="Times New Roman"/>
          <w:sz w:val="24"/>
          <w:szCs w:val="24"/>
        </w:rPr>
        <w:t>Packer</w:t>
      </w:r>
      <w:proofErr w:type="spellEnd"/>
      <w:r>
        <w:rPr>
          <w:rFonts w:ascii="Times New Roman" w:cs="Times New Roman" w:eastAsia="Arial" w:hAnsi="Times New Roman"/>
          <w:sz w:val="24"/>
          <w:szCs w:val="24"/>
        </w:rPr>
        <w:t xml:space="preserve">, FERREIRA, N. S., Rafael. (2024)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r>
        <w:rPr>
          <w:rFonts w:ascii="Times New Roman" w:cs="Times New Roman" w:eastAsia="Arial" w:hAnsi="Times New Roman"/>
          <w:sz w:val="24"/>
          <w:szCs w:val="24"/>
        </w:rPr>
        <w:t>Varejo catarinense apresenta crescimento desigual entre os segmentos</w:t>
      </w:r>
      <w:r>
        <w:rPr>
          <w:rFonts w:ascii="Times New Roman" w:cs="Times New Roman" w:eastAsia="Arial" w:hAnsi="Times New Roman"/>
          <w:sz w:val="24"/>
          <w:szCs w:val="24"/>
        </w:rP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Informativo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 n. 32, outubro de 2024. Disponível em: </w:t>
      </w:r>
      <w:hyperlink w:history="1" r:id="rId57">
        <w:r>
          <w:rPr>
            <w:rStyle w:val="Hyperlink"/>
            <w:color w:val="1155CC"/>
            <w:rFonts w:ascii="Times New Roman" w:cs="Times New Roman" w:eastAsia="Arial" w:hAnsi="Times New Roman"/>
            <w:sz w:val="24"/>
            <w:szCs w:val="24"/>
          </w:rPr>
          <w:t>https://drive.google.com/file/d/1cDwSg7C43ptpuNaAGrBqdgT9y_HdTTrJ/view</w:t>
        </w:r>
      </w:hyperlink>
    </w:p>
    <w:p w:rsidR="00701FCA" w:rsidRDefault="00701FCA" w14:paraId="0DAA4071" w14:textId="77777777" w:rsidP="00701FCA">
      <w:pPr>
        <w:jc w:val="both"/>
        <w:spacing w:after="0" w:line="240" w:lineRule="auto"/>
        <w:rPr>
          <w:rFonts w:ascii="Times New Roman" w:cs="Times New Roman" w:eastAsia="Arial" w:hAnsi="Times New Roman"/>
          <w:sz w:val="24"/>
          <w:szCs w:val="24"/>
        </w:rPr>
      </w:pPr>
    </w:p>
    <w:p w:rsidR="00701FCA" w:rsidRDefault="00701FCA" w14:paraId="5776D530" w14:textId="3A6D1489" w:rsidP="00701FCA">
      <w:pPr>
        <w:jc w:val="both"/>
        <w:spacing w:after="0" w:line="240" w:lineRule="auto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eastAsia="Arial" w:hAnsi="Times New Roman"/>
          <w:sz w:val="24"/>
          <w:szCs w:val="24"/>
        </w:rPr>
        <w:t xml:space="preserve">____ (2024a). </w:t>
      </w:r>
      <w:r>
        <w:rPr>
          <w:rFonts w:ascii="Times New Roman" w:cs="Times New Roman" w:eastAsia="Arial" w:hAnsi="Times New Roman"/>
          <w:sz w:val="24"/>
          <w:szCs w:val="24"/>
        </w:rPr>
        <w:t>“</w:t>
      </w:r>
      <w:r>
        <w:rPr>
          <w:rFonts w:ascii="Times New Roman" w:cs="Times New Roman" w:eastAsia="Arial" w:hAnsi="Times New Roman"/>
          <w:sz w:val="24"/>
          <w:szCs w:val="24"/>
        </w:rPr>
        <w:t>Recuperação moderada em setembro: desafios e avanços no varejo nacional e catarinense</w:t>
      </w:r>
      <w:r>
        <w:rPr>
          <w:rFonts w:ascii="Times New Roman" w:cs="Times New Roman" w:eastAsia="Arial" w:hAnsi="Times New Roman"/>
          <w:sz w:val="24"/>
          <w:szCs w:val="24"/>
        </w:rPr>
        <w:t>”</w:t>
      </w:r>
      <w:r>
        <w:rPr>
          <w:rFonts w:ascii="Times New Roman" w:cs="Times New Roman" w:eastAsia="Arial" w:hAnsi="Times New Roman"/>
          <w:sz w:val="24"/>
          <w:szCs w:val="24"/>
        </w:rPr>
        <w:t xml:space="preserve">. </w:t>
      </w:r>
      <w:r>
        <w:rPr>
          <w:b/>
          <w:rFonts w:ascii="Times New Roman" w:cs="Times New Roman" w:eastAsia="Arial" w:hAnsi="Times New Roman"/>
          <w:sz w:val="24"/>
          <w:szCs w:val="24"/>
        </w:rPr>
        <w:t>Informativo do NECAT</w:t>
      </w:r>
      <w:r>
        <w:rPr>
          <w:rFonts w:ascii="Times New Roman" w:cs="Times New Roman" w:eastAsia="Arial" w:hAnsi="Times New Roman"/>
          <w:sz w:val="24"/>
          <w:szCs w:val="24"/>
        </w:rPr>
        <w:t xml:space="preserve"> n. 33, novembro de </w:t>
      </w:r>
      <w:proofErr w:type="gramStart"/>
      <w:r>
        <w:rPr>
          <w:rFonts w:ascii="Times New Roman" w:cs="Times New Roman" w:eastAsia="Arial" w:hAnsi="Times New Roman"/>
          <w:sz w:val="24"/>
          <w:szCs w:val="24"/>
        </w:rPr>
        <w:t>2024 .</w:t>
      </w:r>
      <w:proofErr w:type="gramEnd"/>
      <w:r>
        <w:rPr>
          <w:rFonts w:ascii="Times New Roman" w:cs="Times New Roman" w:eastAsia="Arial" w:hAnsi="Times New Roman"/>
          <w:sz w:val="24"/>
          <w:szCs w:val="24"/>
        </w:rPr>
        <w:t xml:space="preserve"> Disponível em: </w:t>
      </w:r>
      <w:hyperlink w:history="1" r:id="rId58">
        <w:r>
          <w:rPr>
            <w:rStyle w:val="Hyperlink"/>
            <w:color w:val="1155CC"/>
            <w:rFonts w:ascii="Times New Roman" w:cs="Times New Roman" w:eastAsia="Arial" w:hAnsi="Times New Roman"/>
            <w:sz w:val="24"/>
            <w:szCs w:val="24"/>
          </w:rPr>
          <w:t>https://drive.google.com/file/d/1TWTVraRHnJtyIMQpNcGpxg414_ZI9bkV/view</w:t>
        </w:r>
      </w:hyperlink>
    </w:p>
    <w:p w:rsidR="009F4A22" w:rsidRDefault="009F4A22" w14:paraId="79876784" w14:textId="104B2364" w:rsidP="00B6483E">
      <w:pPr>
        <w:jc w:val="both"/>
        <w:spacing w:after="0" w:line="360" w:lineRule="auto"/>
        <w:rPr>
          <w:rFonts w:ascii="Times New Roman" w:cs="Times New Roman" w:hAnsi="Times New Roman"/>
          <w:sz w:val="24"/>
          <w:szCs w:val="24"/>
        </w:rPr>
      </w:pPr>
    </w:p>
    <w:p w:rsidR="00701FCA" w:rsidRDefault="00701FCA" w14:paraId="4EF3CC9E" w14:textId="16BBA4BF" w:rsidP="00B6483E" w:rsidRPr="00CE2E1A">
      <w:pPr>
        <w:jc w:val="both"/>
        <w:spacing w:after="0" w:line="360" w:lineRule="auto"/>
        <w:rPr>
          <w:rFonts w:ascii="Times New Roman" w:cs="Times New Roman" w:hAnsi="Times New Roman"/>
          <w:sz w:val="24"/>
          <w:szCs w:val="24"/>
        </w:rPr>
      </w:pPr>
    </w:p>
    <w:sectPr w:rsidR="00701FCA" w:rsidRPr="00CE2E1A">
      <w:pgNumType w:start="1"/>
      <w:pgSz w:w="11906" w:h="16838"/>
      <w:pgMar w:left="1701" w:right="1701" w:top="1417" w:bottom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2BBF36" w14:textId="77777777" w:rsidR="001B74D8" w:rsidRDefault="001B74D8">
      <w:pPr>
        <w:spacing w:after="0" w:line="240" w:lineRule="auto"/>
      </w:pPr>
      <w:r>
        <w:separator/>
      </w:r>
    </w:p>
  </w:endnote>
  <w:endnote w:type="continuationSeparator" w:id="0">
    <w:p w14:paraId="0317B902" w14:textId="77777777" w:rsidR="001B74D8" w:rsidRDefault="001B7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Noto Sans Symbols">
    <w:charset w:val="00"/>
    <w:family w:val="auto"/>
    <w:pitch w:val="default"/>
    <w:embedRegular r:id="rId1" w:fontKey="{9468FB4A-9A58-4E9D-BC51-212B530DD6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AA0C1DB-1C63-48FD-A3B8-CCC0C5170153}"/>
    <w:embedBold r:id="rId3" w:fontKey="{58042A9D-1218-4FE7-9F80-0FA019CACE6D}"/>
    <w:embedItalic r:id="rId4" w:fontKey="{6284E75D-A17C-40EE-BF8D-1C595E1F9A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0E37B5B-A0EC-492C-A3D0-CE133EC163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F48162A-8BD6-4D54-902F-6DE3AD7C27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/>
  <w:font w:name="Symbol"/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CE8C94" w14:textId="77777777" w:rsidR="001B74D8" w:rsidRDefault="001B74D8">
      <w:pPr>
        <w:spacing w:after="0" w:line="240" w:lineRule="auto"/>
      </w:pPr>
      <w:r>
        <w:separator/>
      </w:r>
    </w:p>
  </w:footnote>
  <w:footnote w:type="continuationSeparator" w:id="0">
    <w:p w14:paraId="239FDE41" w14:textId="77777777" w:rsidR="001B74D8" w:rsidRDefault="001B74D8">
      <w:pPr>
        <w:spacing w:after="0" w:line="240" w:lineRule="auto"/>
      </w:pPr>
      <w:r>
        <w:continuationSeparator/>
      </w:r>
    </w:p>
  </w:footnote>
  <w:footnote w:id="1">
    <w:p w14:paraId="02F3C866" w14:textId="77777777" w:rsidR="009F4A22" w:rsidRPr="00CE2E1A" w:rsidRDefault="001B74D8">
      <w:pPr>
        <w:spacing w:after="0" w:line="240" w:lineRule="auto"/>
        <w:rPr>
          <w:rFonts w:ascii="Times New Roman" w:eastAsia="Arial" w:hAnsi="Times New Roman" w:cs="Times New Roman"/>
          <w:sz w:val="20"/>
          <w:szCs w:val="20"/>
        </w:rPr>
      </w:pPr>
      <w:r w:rsidRPr="00CE2E1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CE2E1A">
        <w:rPr>
          <w:rFonts w:ascii="Times New Roman" w:eastAsia="Arial" w:hAnsi="Times New Roman" w:cs="Times New Roman"/>
          <w:sz w:val="20"/>
          <w:szCs w:val="20"/>
        </w:rPr>
        <w:t xml:space="preserve"> Uma síntese dessas medidas pode ser consultada rapidamente nessa matéria: </w:t>
      </w:r>
      <w:hyperlink r:id="rId1">
        <w:r w:rsidRPr="00CE2E1A">
          <w:rPr>
            <w:rFonts w:ascii="Times New Roman" w:eastAsia="Arial" w:hAnsi="Times New Roman" w:cs="Times New Roman"/>
            <w:color w:val="1155CC"/>
            <w:sz w:val="20"/>
            <w:szCs w:val="20"/>
            <w:u w:val="single"/>
          </w:rPr>
          <w:t>https://g1.globo.com/economia/noticia/2020/03/24/coronavirus-veja-as-medidas-economicas-ja-anunciadas-pelo-governo-federal-e-pelo-bc.ghtml</w:t>
        </w:r>
      </w:hyperlink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nsid w:val="2FD94F91"/>
    <w:tmpl w:val="6738318C"/>
    <w:lvl w:ilvl="0">
      <w:numFmt w:val="bullet"/>
      <w:lvlText w:val="●"/>
      <w:start w:val="1"/>
      <w:rPr>
        <w:rFonts w:ascii="Noto Sans Symbols" w:cs="Noto Sans Symbols" w:eastAsia="Noto Sans Symbols" w:hAnsi="Noto Sans Symbols"/>
      </w:rPr>
      <w:pPr>
        <w:ind w:left="720"/>
        <w:ind w:hanging="360"/>
      </w:pPr>
      <w:lvlJc w:val="left"/>
    </w:lvl>
    <w:lvl w:ilvl="1">
      <w:numFmt w:val="bullet"/>
      <w:lvlText w:val="o"/>
      <w:start w:val="1"/>
      <w:rPr>
        <w:rFonts w:ascii="Courier New" w:cs="Courier New" w:eastAsia="Courier New" w:hAnsi="Courier New"/>
      </w:rPr>
      <w:pPr>
        <w:ind w:left="1440"/>
        <w:ind w:hanging="360"/>
      </w:pPr>
      <w:lvlJc w:val="left"/>
    </w:lvl>
    <w:lvl w:ilvl="2">
      <w:numFmt w:val="bullet"/>
      <w:lvlText w:val="▪"/>
      <w:start w:val="1"/>
      <w:rPr>
        <w:rFonts w:ascii="Noto Sans Symbols" w:cs="Noto Sans Symbols" w:eastAsia="Noto Sans Symbols" w:hAnsi="Noto Sans Symbols"/>
      </w:rPr>
      <w:pPr>
        <w:ind w:left="2160"/>
        <w:ind w:hanging="360"/>
      </w:pPr>
      <w:lvlJc w:val="left"/>
    </w:lvl>
    <w:lvl w:ilvl="3">
      <w:numFmt w:val="bullet"/>
      <w:lvlText w:val="●"/>
      <w:start w:val="1"/>
      <w:rPr>
        <w:rFonts w:ascii="Noto Sans Symbols" w:cs="Noto Sans Symbols" w:eastAsia="Noto Sans Symbols" w:hAnsi="Noto Sans Symbols"/>
      </w:rPr>
      <w:pPr>
        <w:ind w:left="2880"/>
        <w:ind w:hanging="360"/>
      </w:pPr>
      <w:lvlJc w:val="left"/>
    </w:lvl>
    <w:lvl w:ilvl="4">
      <w:numFmt w:val="bullet"/>
      <w:lvlText w:val="o"/>
      <w:start w:val="1"/>
      <w:rPr>
        <w:rFonts w:ascii="Courier New" w:cs="Courier New" w:eastAsia="Courier New" w:hAnsi="Courier New"/>
      </w:rPr>
      <w:pPr>
        <w:ind w:left="3600"/>
        <w:ind w:hanging="360"/>
      </w:pPr>
      <w:lvlJc w:val="left"/>
    </w:lvl>
    <w:lvl w:ilvl="5">
      <w:numFmt w:val="bullet"/>
      <w:lvlText w:val="▪"/>
      <w:start w:val="1"/>
      <w:rPr>
        <w:rFonts w:ascii="Noto Sans Symbols" w:cs="Noto Sans Symbols" w:eastAsia="Noto Sans Symbols" w:hAnsi="Noto Sans Symbols"/>
      </w:rPr>
      <w:pPr>
        <w:ind w:left="4320"/>
        <w:ind w:hanging="360"/>
      </w:pPr>
      <w:lvlJc w:val="left"/>
    </w:lvl>
    <w:lvl w:ilvl="6">
      <w:numFmt w:val="bullet"/>
      <w:lvlText w:val="●"/>
      <w:start w:val="1"/>
      <w:rPr>
        <w:rFonts w:ascii="Noto Sans Symbols" w:cs="Noto Sans Symbols" w:eastAsia="Noto Sans Symbols" w:hAnsi="Noto Sans Symbols"/>
      </w:rPr>
      <w:pPr>
        <w:ind w:left="5040"/>
        <w:ind w:hanging="360"/>
      </w:pPr>
      <w:lvlJc w:val="left"/>
    </w:lvl>
    <w:lvl w:ilvl="7">
      <w:numFmt w:val="bullet"/>
      <w:lvlText w:val="o"/>
      <w:start w:val="1"/>
      <w:rPr>
        <w:rFonts w:ascii="Courier New" w:cs="Courier New" w:eastAsia="Courier New" w:hAnsi="Courier New"/>
      </w:rPr>
      <w:pPr>
        <w:ind w:left="5760"/>
        <w:ind w:hanging="360"/>
      </w:pPr>
      <w:lvlJc w:val="left"/>
    </w:lvl>
    <w:lvl w:ilvl="8">
      <w:numFmt w:val="bullet"/>
      <w:lvlText w:val="▪"/>
      <w:start w:val="1"/>
      <w:rPr>
        <w:rFonts w:ascii="Noto Sans Symbols" w:cs="Noto Sans Symbols" w:eastAsia="Noto Sans Symbols" w:hAnsi="Noto Sans Symbols"/>
      </w:rPr>
      <w:pPr>
        <w:ind w:left="6480"/>
        <w:ind w:hanging="360"/>
      </w:pPr>
      <w:lvlJc w:val="left"/>
    </w:lvl>
  </w:abstractNum>
  <w:abstractNum w:abstractNumId="10121982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0"/>
  </w:num>
  <w:num w:numId="10121982">
    <w:abstractNumId w:val="10121982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E9562"/>
  <w:rsids>
    <w:rsidRoot val="009F4A22"/>
    <w:rsid val="00044686"/>
    <w:rsid val="00135FE4"/>
    <w:rsid val="00155691"/>
    <w:rsid val="001B74D8"/>
    <w:rsid val="002016BD"/>
    <w:rsid val="00304956"/>
    <w:rsid val="003346E2"/>
    <w:rsid val="004101E2"/>
    <w:rsid val="00501127"/>
    <w:rsid val="005B1184"/>
    <w:rsid val="00682B0D"/>
    <w:rsid val="00701FCA"/>
    <w:rsid val="00706B98"/>
    <w:rsid val="007217B1"/>
    <w:rsid val="007861B2"/>
    <w:rsid val="00953BFC"/>
    <w:rsid val="009F4A22"/>
    <w:rsid val="00A61D4D"/>
    <w:rsid val="00B6483E"/>
    <w:rsid val="00B71CA5"/>
    <w:rsid val="00B75EFC"/>
    <w:rsid val="00BD7F45"/>
    <w:rsid val="00C83898"/>
    <w:rsid val="00CB6D84"/>
    <w:rsid val="00CE2E1A"/>
    <w:rsid val="00D24CB9"/>
    <w:rsid val="00DB2C02"/>
    <w:rsid val="00DE22F2"/>
    <w:rsid val="00EC7508"/>
    <w:rsid val="00F9771F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lang w:val="pt-BR" w:eastAsia="pt-BR" w:bidi="ar-SA"/>
        <w:rFonts w:ascii="Calibri" w:cs="Calibri" w:eastAsia="Calibri" w:hAnsi="Calibri"/>
        <w:sz w:val="22"/>
        <w:szCs w:val="22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qFormat/>
    <w:basedOn w:val="Normal"/>
    <w:next w:val="Normal"/>
    <w:link w:val="Ttulo1Char"/>
    <w:uiPriority w:val="9"/>
    <w:rsid w:val="00E850D3"/>
    <w:pPr>
      <w:keepNext/>
      <w:keepLines/>
      <w:outlineLvl w:val="0"/>
      <w:spacing w:before="360" w:after="80"/>
    </w:pPr>
    <w:rPr>
      <w:color w:val="2F5496"/>
      <w:rFonts w:ascii="Calibri Light" w:eastAsiaTheme="majorEastAsia" w:hAnsiTheme="majorHAnsi" w:cstheme="majorBidi"/>
      <w:sz w:val="40"/>
      <w:szCs w:val="40"/>
    </w:rPr>
  </w:style>
  <w:style w:type="paragraph" w:styleId="Ttulo2">
    <w:name w:val="Heading 2"/>
    <w:qFormat/>
    <w:basedOn w:val="Normal"/>
    <w:next w:val="Normal"/>
    <w:link w:val="Ttulo2Char"/>
    <w:uiPriority w:val="9"/>
    <w:semiHidden/>
    <w:unhideWhenUsed/>
    <w:rsid w:val="00E850D3"/>
    <w:pPr>
      <w:keepNext/>
      <w:keepLines/>
      <w:outlineLvl w:val="1"/>
      <w:spacing w:before="160" w:after="80"/>
    </w:pPr>
    <w:rPr>
      <w:color w:val="2F5496"/>
      <w:rFonts w:ascii="Calibri Light" w:eastAsiaTheme="majorEastAsia" w:hAnsiTheme="majorHAnsi" w:cstheme="majorBidi"/>
      <w:sz w:val="32"/>
      <w:szCs w:val="32"/>
    </w:rPr>
  </w:style>
  <w:style w:type="paragraph" w:styleId="Ttulo3">
    <w:name w:val="Heading 3"/>
    <w:qFormat/>
    <w:basedOn w:val="Normal"/>
    <w:next w:val="Normal"/>
    <w:link w:val="Ttulo3Char"/>
    <w:uiPriority w:val="9"/>
    <w:semiHidden/>
    <w:unhideWhenUsed/>
    <w:rsid w:val="00E850D3"/>
    <w:pPr>
      <w:keepNext/>
      <w:keepLines/>
      <w:outlineLvl w:val="2"/>
      <w:spacing w:before="160" w:after="80"/>
    </w:pPr>
    <w:rPr>
      <w:color w:val="2F5496"/>
      <w:rFonts w:eastAsiaTheme="majorEastAsia" w:cstheme="majorBidi"/>
      <w:sz w:val="28"/>
      <w:szCs w:val="28"/>
    </w:rPr>
  </w:style>
  <w:style w:type="paragraph" w:styleId="Ttulo4">
    <w:name w:val="Heading 4"/>
    <w:qFormat/>
    <w:basedOn w:val="Normal"/>
    <w:next w:val="Normal"/>
    <w:link w:val="Ttulo4Char"/>
    <w:uiPriority w:val="9"/>
    <w:semiHidden/>
    <w:unhideWhenUsed/>
    <w:rsid w:val="00E850D3"/>
    <w:pPr>
      <w:keepNext/>
      <w:keepLines/>
      <w:outlineLvl w:val="3"/>
      <w:spacing w:before="80" w:after="40"/>
    </w:pPr>
    <w:rPr>
      <w:iCs/>
      <w:i/>
      <w:color w:val="2F5496"/>
      <w:rFonts w:eastAsiaTheme="majorEastAsia" w:cstheme="majorBidi"/>
    </w:rPr>
  </w:style>
  <w:style w:type="paragraph" w:styleId="Ttulo5">
    <w:name w:val="Heading 5"/>
    <w:qFormat/>
    <w:basedOn w:val="Normal"/>
    <w:next w:val="Normal"/>
    <w:link w:val="Ttulo5Char"/>
    <w:uiPriority w:val="9"/>
    <w:semiHidden/>
    <w:unhideWhenUsed/>
    <w:rsid w:val="00E850D3"/>
    <w:pPr>
      <w:keepNext/>
      <w:keepLines/>
      <w:outlineLvl w:val="4"/>
      <w:spacing w:before="80" w:after="40"/>
    </w:pPr>
    <w:rPr>
      <w:color w:val="2F5496"/>
      <w:rFonts w:eastAsiaTheme="majorEastAsia" w:cstheme="majorBidi"/>
    </w:rPr>
  </w:style>
  <w:style w:type="paragraph" w:styleId="Ttulo6">
    <w:name w:val="Heading 6"/>
    <w:qFormat/>
    <w:basedOn w:val="Normal"/>
    <w:next w:val="Normal"/>
    <w:link w:val="Ttulo6Char"/>
    <w:uiPriority w:val="9"/>
    <w:semiHidden/>
    <w:unhideWhenUsed/>
    <w:rsid w:val="00E850D3"/>
    <w:pPr>
      <w:keepNext/>
      <w:keepLines/>
      <w:outlineLvl w:val="5"/>
      <w:spacing w:before="40" w:after="0"/>
    </w:pPr>
    <w:rPr>
      <w:iCs/>
      <w:i/>
      <w:color w:val="595959"/>
      <w:rFonts w:eastAsiaTheme="majorEastAsia" w:cstheme="majorBidi"/>
    </w:rPr>
  </w:style>
  <w:style w:type="paragraph" w:styleId="Ttulo7">
    <w:name w:val="Heading 7"/>
    <w:qFormat/>
    <w:basedOn w:val="Normal"/>
    <w:next w:val="Normal"/>
    <w:link w:val="Ttulo7Char"/>
    <w:uiPriority w:val="9"/>
    <w:semiHidden/>
    <w:unhideWhenUsed/>
    <w:rsid w:val="00E850D3"/>
    <w:pPr>
      <w:keepNext/>
      <w:keepLines/>
      <w:outlineLvl w:val="6"/>
      <w:spacing w:before="40" w:after="0"/>
    </w:pPr>
    <w:rPr>
      <w:color w:val="595959"/>
      <w:rFonts w:eastAsiaTheme="majorEastAsia" w:cstheme="majorBidi"/>
    </w:rPr>
  </w:style>
  <w:style w:type="paragraph" w:styleId="Ttulo8">
    <w:name w:val="Heading 8"/>
    <w:qFormat/>
    <w:basedOn w:val="Normal"/>
    <w:next w:val="Normal"/>
    <w:link w:val="Ttulo8Char"/>
    <w:uiPriority w:val="9"/>
    <w:semiHidden/>
    <w:unhideWhenUsed/>
    <w:rsid w:val="00E850D3"/>
    <w:pPr>
      <w:keepNext/>
      <w:keepLines/>
      <w:outlineLvl w:val="7"/>
      <w:spacing w:after="0"/>
    </w:pPr>
    <w:rPr>
      <w:iCs/>
      <w:i/>
      <w:color w:val="272727"/>
      <w:rFonts w:eastAsiaTheme="majorEastAsia" w:cstheme="majorBidi"/>
    </w:rPr>
  </w:style>
  <w:style w:type="paragraph" w:styleId="Ttulo9">
    <w:name w:val="Heading 9"/>
    <w:qFormat/>
    <w:basedOn w:val="Normal"/>
    <w:next w:val="Normal"/>
    <w:link w:val="Ttulo9Char"/>
    <w:uiPriority w:val="9"/>
    <w:semiHidden/>
    <w:unhideWhenUsed/>
    <w:rsid w:val="00E850D3"/>
    <w:pPr>
      <w:keepNext/>
      <w:keepLines/>
      <w:outlineLvl w:val="8"/>
      <w:spacing w:after="0"/>
    </w:pPr>
    <w:rPr>
      <w:color w:val="272727"/>
      <w:rFonts w:eastAsiaTheme="majorEastAsia" w:cstheme="majorBid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Semlista">
    <w:name w:val="No List"/>
    <w:uiPriority w:val="99"/>
    <w:semiHidden/>
    <w:unhideWhenUsed/>
  </w:style>
  <w:style w:type="table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qFormat/>
    <w:basedOn w:val="Normal"/>
    <w:next w:val="Normal"/>
    <w:link w:val="TtuloChar"/>
    <w:uiPriority w:val="10"/>
    <w:rsid w:val="00E850D3"/>
    <w:pPr>
      <w:contextualSpacing/>
      <w:spacing w:after="80" w:line="240" w:lineRule="auto"/>
    </w:pPr>
    <w:rPr>
      <w:spacing w:val="-10"/>
      <w:kern w:val="28"/>
      <w:rFonts w:ascii="Calibri Light" w:eastAsiaTheme="majorEastAsia" w:hAnsiTheme="majorHAnsi" w:cstheme="majorBidi"/>
      <w:sz w:val="56"/>
      <w:szCs w:val="56"/>
    </w:rPr>
  </w:style>
  <w:style w:type="character" w:styleId="Ttulo1Char">
    <w:name w:val="Título 1 Char"/>
    <w:basedOn w:val="Fontepargpadro"/>
    <w:link w:val="Ttulo1"/>
    <w:uiPriority w:val="9"/>
    <w:rsid w:val="00E850D3"/>
    <w:rPr>
      <w:color w:val="2F5496"/>
      <w:rFonts w:ascii="Calibri Light" w:eastAsiaTheme="majorEastAsia" w:hAnsiTheme="majorHAnsi" w:cstheme="majorBidi"/>
      <w:sz w:val="40"/>
      <w:szCs w:val="40"/>
    </w:rPr>
  </w:style>
  <w:style w:type="character" w:styleId="Ttulo2Char">
    <w:name w:val="Título 2 Char"/>
    <w:basedOn w:val="Fontepargpadro"/>
    <w:link w:val="Ttulo2"/>
    <w:uiPriority w:val="9"/>
    <w:rsid w:val="00E850D3"/>
    <w:rPr>
      <w:color w:val="2F5496"/>
      <w:rFonts w:ascii="Calibri Light" w:eastAsiaTheme="majorEastAsia" w:hAnsiTheme="majorHAnsi" w:cstheme="majorBidi"/>
      <w:sz w:val="32"/>
      <w:szCs w:val="32"/>
    </w:rPr>
  </w:style>
  <w:style w:type="character" w:styleId="Ttulo3Char">
    <w:name w:val="Título 3 Char"/>
    <w:basedOn w:val="Fontepargpadro"/>
    <w:link w:val="Ttulo3"/>
    <w:uiPriority w:val="9"/>
    <w:semiHidden/>
    <w:rsid w:val="00E850D3"/>
    <w:rPr>
      <w:color w:val="2F5496"/>
      <w:rFonts w:eastAsiaTheme="majorEastAsia" w:cstheme="majorBidi"/>
      <w:sz w:val="28"/>
      <w:szCs w:val="28"/>
    </w:rPr>
  </w:style>
  <w:style w:type="character" w:styleId="Ttulo4Char">
    <w:name w:val="Título 4 Char"/>
    <w:basedOn w:val="Fontepargpadro"/>
    <w:link w:val="Ttulo4"/>
    <w:uiPriority w:val="9"/>
    <w:semiHidden/>
    <w:rsid w:val="00E850D3"/>
    <w:rPr>
      <w:iCs/>
      <w:i/>
      <w:color w:val="2F5496"/>
      <w:rFonts w:eastAsiaTheme="majorEastAsia" w:cstheme="majorBidi"/>
    </w:rPr>
  </w:style>
  <w:style w:type="character" w:styleId="Ttulo5Char">
    <w:name w:val="Título 5 Char"/>
    <w:basedOn w:val="Fontepargpadro"/>
    <w:link w:val="Ttulo5"/>
    <w:uiPriority w:val="9"/>
    <w:semiHidden/>
    <w:rsid w:val="00E850D3"/>
    <w:rPr>
      <w:color w:val="2F5496"/>
      <w:rFonts w:eastAsiaTheme="majorEastAsia" w:cstheme="majorBidi"/>
    </w:rPr>
  </w:style>
  <w:style w:type="character" w:styleId="Ttulo6Char">
    <w:name w:val="Título 6 Char"/>
    <w:basedOn w:val="Fontepargpadro"/>
    <w:link w:val="Ttulo6"/>
    <w:uiPriority w:val="9"/>
    <w:semiHidden/>
    <w:rsid w:val="00E850D3"/>
    <w:rPr>
      <w:iCs/>
      <w:i/>
      <w:color w:val="595959"/>
      <w:rFonts w:eastAsiaTheme="majorEastAsia" w:cstheme="majorBidi"/>
    </w:rPr>
  </w:style>
  <w:style w:type="character" w:styleId="Ttulo7Char">
    <w:name w:val="Título 7 Char"/>
    <w:basedOn w:val="Fontepargpadro"/>
    <w:link w:val="Ttulo7"/>
    <w:uiPriority w:val="9"/>
    <w:semiHidden/>
    <w:rsid w:val="00E850D3"/>
    <w:rPr>
      <w:color w:val="595959"/>
      <w:rFonts w:eastAsiaTheme="majorEastAsia" w:cstheme="majorBidi"/>
    </w:rPr>
  </w:style>
  <w:style w:type="character" w:styleId="Ttulo8Char">
    <w:name w:val="Título 8 Char"/>
    <w:basedOn w:val="Fontepargpadro"/>
    <w:link w:val="Ttulo8"/>
    <w:uiPriority w:val="9"/>
    <w:semiHidden/>
    <w:rsid w:val="00E850D3"/>
    <w:rPr>
      <w:iCs/>
      <w:i/>
      <w:color w:val="272727"/>
      <w:rFonts w:eastAsiaTheme="majorEastAsia" w:cstheme="majorBidi"/>
    </w:rPr>
  </w:style>
  <w:style w:type="character" w:styleId="Ttulo9Char">
    <w:name w:val="Título 9 Char"/>
    <w:basedOn w:val="Fontepargpadro"/>
    <w:link w:val="Ttulo9"/>
    <w:uiPriority w:val="9"/>
    <w:semiHidden/>
    <w:rsid w:val="00E850D3"/>
    <w:rPr>
      <w:color w:val="272727"/>
      <w:rFonts w:eastAsiaTheme="majorEastAsia" w:cstheme="majorBidi"/>
    </w:rPr>
  </w:style>
  <w:style w:type="character" w:styleId="TtuloChar">
    <w:name w:val="Título Char"/>
    <w:basedOn w:val="Fontepargpadro"/>
    <w:link w:val="Ttulo"/>
    <w:uiPriority w:val="10"/>
    <w:rsid w:val="00E850D3"/>
    <w:rPr>
      <w:spacing w:val="-10"/>
      <w:kern w:val="28"/>
      <w:rFonts w:ascii="Calibri Light" w:eastAsiaTheme="majorEastAsia" w:hAnsiTheme="majorHAnsi" w:cstheme="majorBidi"/>
      <w:sz w:val="56"/>
      <w:szCs w:val="56"/>
    </w:rPr>
  </w:style>
  <w:style w:type="paragraph" w:styleId="Subttulo">
    <w:name w:val="Subtitle"/>
    <w:qFormat/>
    <w:basedOn w:val="Normal"/>
    <w:next w:val="Normal"/>
    <w:link w:val="SubttuloChar"/>
    <w:uiPriority w:val="11"/>
    <w:rPr>
      <w:color w:val="595959"/>
      <w:sz w:val="28"/>
      <w:szCs w:val="28"/>
    </w:rPr>
  </w:style>
  <w:style w:type="character" w:styleId="SubttuloChar">
    <w:name w:val="Subtítulo Char"/>
    <w:basedOn w:val="Fontepargpadro"/>
    <w:link w:val="Subttulo"/>
    <w:uiPriority w:val="11"/>
    <w:rsid w:val="00E850D3"/>
    <w:rPr>
      <w:spacing w:val="15"/>
      <w:color w:val="595959"/>
      <w:rFonts w:eastAsiaTheme="majorEastAsia" w:cstheme="majorBidi"/>
      <w:sz w:val="28"/>
      <w:szCs w:val="28"/>
    </w:rPr>
  </w:style>
  <w:style w:type="paragraph" w:styleId="Citao">
    <w:name w:val="Quote"/>
    <w:qFormat/>
    <w:basedOn w:val="Normal"/>
    <w:next w:val="Normal"/>
    <w:link w:val="CitaoChar"/>
    <w:uiPriority w:val="29"/>
    <w:rsid w:val="00E850D3"/>
    <w:pPr>
      <w:jc w:val="center"/>
      <w:spacing w:before="160"/>
    </w:pPr>
    <w:rPr>
      <w:iCs/>
      <w:i/>
      <w:color w:val="404040"/>
    </w:rPr>
  </w:style>
  <w:style w:type="character" w:styleId="CitaoChar">
    <w:name w:val="Citação Char"/>
    <w:basedOn w:val="Fontepargpadro"/>
    <w:link w:val="Citao"/>
    <w:uiPriority w:val="29"/>
    <w:rsid w:val="00E850D3"/>
    <w:rPr>
      <w:iCs/>
      <w:i/>
      <w:color w:val="404040"/>
    </w:rPr>
  </w:style>
  <w:style w:type="paragraph" w:styleId="PargrafodaLista">
    <w:name w:val="List Paragraph"/>
    <w:qFormat/>
    <w:basedOn w:val="Normal"/>
    <w:uiPriority w:val="34"/>
    <w:rsid w:val="00E850D3"/>
    <w:pPr>
      <w:ind w:left="720"/>
      <w:contextualSpacing/>
    </w:pPr>
  </w:style>
  <w:style w:type="character" w:styleId="nfaseIntensa">
    <w:name w:val="Intense Emphasis"/>
    <w:qFormat/>
    <w:basedOn w:val="Fontepargpadro"/>
    <w:uiPriority w:val="21"/>
    <w:rsid w:val="00E850D3"/>
    <w:rPr>
      <w:iCs/>
      <w:i/>
      <w:color w:val="2F5496"/>
    </w:rPr>
  </w:style>
  <w:style w:type="paragraph" w:styleId="CitaoIntensa">
    <w:name w:val="Intense Quote"/>
    <w:qFormat/>
    <w:basedOn w:val="Normal"/>
    <w:next w:val="Normal"/>
    <w:link w:val="CitaoIntensaChar"/>
    <w:uiPriority w:val="30"/>
    <w:rsid w:val="00E850D3"/>
    <w:pPr>
      <w:pBdr>
        <w:top w:val="single" w:sz="4" w:color="2F5496" w:space="10" w:themeColor="accent1" w:themeShade="BF"/>
        <w:bottom w:val="single" w:sz="4" w:color="2F5496" w:space="10" w:themeColor="accent1" w:themeShade="BF"/>
      </w:pBdr>
      <w:jc w:val="center"/>
      <w:ind w:left="864"/>
      <w:ind w:right="864"/>
      <w:spacing w:before="360" w:after="360"/>
    </w:pPr>
    <w:rPr>
      <w:iCs/>
      <w:i/>
      <w:color w:val="2F5496"/>
    </w:rPr>
  </w:style>
  <w:style w:type="character" w:styleId="CitaoIntensaChar">
    <w:name w:val="Citação Intensa Char"/>
    <w:basedOn w:val="Fontepargpadro"/>
    <w:link w:val="CitaoIntensa"/>
    <w:uiPriority w:val="30"/>
    <w:rsid w:val="00E850D3"/>
    <w:rPr>
      <w:iCs/>
      <w:i/>
      <w:color w:val="2F5496"/>
    </w:rPr>
  </w:style>
  <w:style w:type="character" w:styleId="RefernciaIntensa">
    <w:name w:val="Intense Reference"/>
    <w:qFormat/>
    <w:basedOn w:val="Fontepargpadro"/>
    <w:uiPriority w:val="32"/>
    <w:rsid w:val="00E850D3"/>
    <w:rPr>
      <w:bCs/>
      <w:spacing w:val="5"/>
      <w:b/>
      <w:color w:val="2F5496"/>
      <w:smallCaps/>
    </w:rPr>
  </w:style>
  <w:style w:type="character" w:styleId="Hyperlink">
    <w:name w:val="Hyperlink"/>
    <w:basedOn w:val="Fontepargpadro"/>
    <w:uiPriority w:val="99"/>
    <w:unhideWhenUsed/>
    <w:rsid w:val="000A4AD6"/>
    <w:rPr>
      <w:u w:val="single"/>
      <w:color w:val="0563C1"/>
    </w:rPr>
  </w:style>
  <w:style w:type="character" w:styleId="UnresolvedMention">
    <w:name w:val="Unresolved Mention"/>
    <w:basedOn w:val="Fontepargpadro"/>
    <w:uiPriority w:val="99"/>
    <w:semiHidden/>
    <w:unhideWhenUsed/>
    <w:rsid w:val="000A4AD6"/>
    <w:rPr>
      <w:color w:val="605E5C"/>
      <w:shd w:fill="E1DFDD" w:color="auto" w:val="clear"/>
    </w:rPr>
  </w:style>
  <w:style w:type="table" w:styleId="Tabelacomgrade">
    <w:name w:val="Table Grid"/>
    <w:basedOn w:val="Tabelanormal"/>
    <w:pPr>
      <w:spacing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  <w:tblBorders>
        <w:top w:val="single" w:sz="4" w:color="auto" w:space="0"/>
        <w:bottom w:val="single" w:sz="4" w:color="auto" w:space="0"/>
        <w:left w:val="single" w:sz="4" w:color="auto" w:space="0"/>
        <w:right w:val="single" w:sz="4" w:color="auto" w:space="0"/>
        <w:insideH w:val="single" w:sz="4" w:color="auto" w:space="0"/>
        <w:insideV w:val="single" w:sz="4" w:color="auto" w:space="0"/>
      </w:tblBorders>
      <w:tblInd w:w="0" w:type="dxa"/>
    </w:tblPr>
    <w:uiPriority w:val="39"/>
    <w:rsid w:val="008F69F3"/>
  </w:style>
  <w:style w:type="paragraph" w:styleId="Textodebalo">
    <w:name w:val="Balloon Text"/>
    <w:basedOn w:val="Normal"/>
    <w:link w:val="TextodebaloChar"/>
    <w:uiPriority w:val="99"/>
    <w:semiHidden/>
    <w:unhideWhenUsed/>
    <w:rsid w:val="00135FE4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>
    <w:name w:val="Texto de balão Char"/>
    <w:basedOn w:val="Fontepargpadro"/>
    <w:link w:val="Textodebalo"/>
    <w:uiPriority w:val="99"/>
    <w:semiHidden/>
    <w:rsid w:val="00135FE4"/>
    <w:rPr>
      <w:rFonts w:ascii="Tahoma" w:cs="Tahoma" w:hAnsi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24CB9"/>
    <w:pPr>
      <w:spacing w:after="0" w:line="240" w:lineRule="auto"/>
      <w:tabs>
        <w:tab w:val="center" w:pos="4252"/>
        <w:tab w:val="right" w:pos="8504"/>
      </w:tabs>
    </w:pPr>
  </w:style>
  <w:style w:type="character" w:styleId="CabealhoChar">
    <w:name w:val="Cabeçalho Char"/>
    <w:basedOn w:val="Fontepargpadro"/>
    <w:link w:val="Cabealho"/>
    <w:uiPriority w:val="99"/>
    <w:rsid w:val="00D24CB9"/>
  </w:style>
  <w:style w:type="paragraph" w:styleId="Rodap">
    <w:name w:val="footer"/>
    <w:basedOn w:val="Normal"/>
    <w:link w:val="RodapChar"/>
    <w:uiPriority w:val="99"/>
    <w:unhideWhenUsed/>
    <w:rsid w:val="00D24CB9"/>
    <w:pPr>
      <w:spacing w:after="0" w:line="240" w:lineRule="auto"/>
      <w:tabs>
        <w:tab w:val="center" w:pos="4252"/>
        <w:tab w:val="right" w:pos="8504"/>
      </w:tabs>
    </w:pPr>
  </w:style>
  <w:style w:type="character" w:styleId="RodapChar">
    <w:name w:val="Rodapé Char"/>
    <w:basedOn w:val="Fontepargpadro"/>
    <w:link w:val="Rodap"/>
    <w:uiPriority w:val="99"/>
    <w:rsid w:val="00D24CB9"/>
  </w:style>
  <w:style w:type="character" w:styleId="Forte">
    <w:name w:val="Strong"/>
    <w:qFormat/>
    <w:basedOn w:val="Fontepargpadro"/>
    <w:uiPriority w:val="22"/>
    <w:rsid w:val="00682B0D"/>
    <w:rPr>
      <w:bCs/>
      <w:b/>
    </w:rPr>
  </w:style>
  <w:style w:type="paragraph" w:styleId="NormalWeb">
    <w:name w:val="Normal (Web)"/>
    <w:basedOn w:val="Normal"/>
    <w:uiPriority w:val="99"/>
    <w:semiHidden/>
    <w:unhideWhenUsed/>
    <w:rsid w:val="00B6483E"/>
    <w:pPr>
      <w:spacing w:before="100" w:beforeAutospacing="1" w:after="100" w:after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nfase">
    <w:name w:val="Emphasis"/>
    <w:qFormat/>
    <w:basedOn w:val="Fontepargpadro"/>
    <w:uiPriority w:val="20"/>
    <w:rsid w:val="00B6483E"/>
    <w:rPr>
      <w:iCs/>
      <w:i/>
    </w:r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850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850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50D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850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850D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850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850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850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850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E850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E850D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E850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50D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850D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850D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850D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850D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850D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850D3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E850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850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850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850D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850D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850D3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850D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850D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850D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0A4AD6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A4AD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8F69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35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5FE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24C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4CB9"/>
  </w:style>
  <w:style w:type="paragraph" w:styleId="Rodap">
    <w:name w:val="footer"/>
    <w:basedOn w:val="Normal"/>
    <w:link w:val="RodapChar"/>
    <w:uiPriority w:val="99"/>
    <w:unhideWhenUsed/>
    <w:rsid w:val="00D24C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4CB9"/>
  </w:style>
  <w:style w:type="character" w:styleId="Forte">
    <w:name w:val="Strong"/>
    <w:basedOn w:val="Fontepargpadro"/>
    <w:uiPriority w:val="22"/>
    <w:qFormat/>
    <w:rsid w:val="00682B0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64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B6483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1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ojs.sites.ufsc.br/index.php/revistanecat/article/view/4659/3554" TargetMode="External"/><Relationship Id="rId26" Type="http://schemas.openxmlformats.org/officeDocument/2006/relationships/hyperlink" Target="https://necat.ufsc.br/varejo-registra-retracao-novamente-e-contraria-expectativa-do-mercado/" TargetMode="External"/><Relationship Id="rId39" Type="http://schemas.openxmlformats.org/officeDocument/2006/relationships/hyperlink" Target="https://drive.google.com/file/d/1ufKDxhTrD7OVUIIzqQJdHEGqrkFCfAUn/view" TargetMode="External"/><Relationship Id="rId21" Type="http://schemas.openxmlformats.org/officeDocument/2006/relationships/hyperlink" Target="https://necat.ufsc.br/ampla-maioria-dos-setores-do-comercio-catarinense-registra-retracao-em-dezembro-mas-acumulado-do-ano-e-positivo/" TargetMode="External"/><Relationship Id="rId34" Type="http://schemas.openxmlformats.org/officeDocument/2006/relationships/hyperlink" Target="https://necat.ufsc.br/varejo-registra-queda-no-mes-de-novembro-e-black-friday-nao-animou-o-setor/" TargetMode="External"/><Relationship Id="rId42" Type="http://schemas.openxmlformats.org/officeDocument/2006/relationships/hyperlink" Target="https://drive.google.com/file/d/1VQPJLmIizbrhK9wq1FSfWPTC76G8Hfik/view" TargetMode="External"/><Relationship Id="rId47" Type="http://schemas.openxmlformats.org/officeDocument/2006/relationships/hyperlink" Target="https://drive.google.com/file/d/1HfJLpxG9DzqMdNl2KLk1MWZ3XwwBbZKa/view" TargetMode="External"/><Relationship Id="rId50" Type="http://schemas.openxmlformats.org/officeDocument/2006/relationships/hyperlink" Target="https://drive.google.com/file/d/1owP4PgXYaP80HIsDuJMFdKvlpUQ8-eas/view" TargetMode="External"/><Relationship Id="rId55" Type="http://schemas.openxmlformats.org/officeDocument/2006/relationships/hyperlink" Target="https://drive.google.com/file/d/13Iv_Xp5b1IQSq0yCjNVLMfQDMT6ym2NB/view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necat.ufsc.br/pec-das-bondades-nao-e-suficiente-e-varejo-registra-retracao-em-agosto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necat.ufsc.br/comercio-brasileiro-apresenta-maior-expansao-desde-julho-de-2021-em-santa-catarina-ritmo-de-expansao-desacelera/" TargetMode="External"/><Relationship Id="rId32" Type="http://schemas.openxmlformats.org/officeDocument/2006/relationships/hyperlink" Target="https://necat.ufsc.br/varejo-catarinense-registra-quarta-retracao-consecutiva/" TargetMode="External"/><Relationship Id="rId37" Type="http://schemas.openxmlformats.org/officeDocument/2006/relationships/hyperlink" Target="https://drive.google.com/file/d/1SUzH7EfMQIs7lpXrtfUzyXb7qqKRKopn/view" TargetMode="External"/><Relationship Id="rId40" Type="http://schemas.openxmlformats.org/officeDocument/2006/relationships/hyperlink" Target="https://drive.google.com/file/d/1oMmsUe2k-aCjk1_oEvvIp7TU4J2NtSca/view" TargetMode="External"/><Relationship Id="rId45" Type="http://schemas.openxmlformats.org/officeDocument/2006/relationships/hyperlink" Target="https://necat.ufsc.br/com-leve-retracao-volume-de-vendas-do-comercio-catarinense-interrompe-tendencia-expansiva/" TargetMode="External"/><Relationship Id="rId53" Type="http://schemas.openxmlformats.org/officeDocument/2006/relationships/hyperlink" Target="https://drive.google.com/file/d/1PO5nYcMuXX3lzvIuIll_cxkA4dYnxBBB/view" TargetMode="External"/><Relationship Id="rId58" Type="http://schemas.openxmlformats.org/officeDocument/2006/relationships/hyperlink" Target="https://drive.google.com/file/d/1TWTVraRHnJtyIMQpNcGpxg414_ZI9bkV/view" TargetMode="External"/><Relationship Id="rId5" Type="http://schemas.openxmlformats.org/officeDocument/2006/relationships/settings" Target="settings.xml"/><Relationship Id="rId19" Type="http://schemas.openxmlformats.org/officeDocument/2006/relationships/hyperlink" Target="https://drive.google.com/file/d/1q95SKWGyPLTmJdGU_uWyHavdZLy12u8S/vie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necat.ufsc.br/comercio-brasileiro-apresenta-maior-expansao-desde-julho-de-2021-em-santa-catarina-ritmo-de-expansao-desacelera/" TargetMode="External"/><Relationship Id="rId27" Type="http://schemas.openxmlformats.org/officeDocument/2006/relationships/hyperlink" Target="https://necat.ufsc.br/varejo-registra-retracao-novamente-e-contraria-expectativa-do-mercado/" TargetMode="External"/><Relationship Id="rId30" Type="http://schemas.openxmlformats.org/officeDocument/2006/relationships/hyperlink" Target="https://necat.ufsc.br/varejo-catarinense-registra-quarta-retracao-consecutiva/" TargetMode="External"/><Relationship Id="rId35" Type="http://schemas.openxmlformats.org/officeDocument/2006/relationships/hyperlink" Target="https://necat.ufsc.br/varejo-registra-queda-no-mes-de-novembro-e-black-friday-nao-animou-o-setor/" TargetMode="External"/><Relationship Id="rId43" Type="http://schemas.openxmlformats.org/officeDocument/2006/relationships/hyperlink" Target="https://necat.ufsc.br/varejo-catarinense-expande-e-acumula-alta-de-26-no-ano/" TargetMode="External"/><Relationship Id="rId48" Type="http://schemas.openxmlformats.org/officeDocument/2006/relationships/hyperlink" Target="https://necat.ufsc.br/comercio-catarinense-apresentou-saldo-de-vendas-positivo-no-mes-de-abril-de-2021/" TargetMode="External"/><Relationship Id="rId56" Type="http://schemas.openxmlformats.org/officeDocument/2006/relationships/hyperlink" Target="https://drive.google.com/file/d/1F0I96WcPWOywh6CXjIJNBHqEgllE9jMf/view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drive.google.com/file/d/1XdvXXILmj6zcL726dGcfy4NjWQuKdHuu/view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necat.ufsc.br/varejo-registra-retracao-novamente-e-contraria-expectativa-do-mercado/" TargetMode="External"/><Relationship Id="rId33" Type="http://schemas.openxmlformats.org/officeDocument/2006/relationships/hyperlink" Target="https://necat.ufsc.br/varejo-registra-queda-no-mes-de-novembro-e-black-friday-nao-animou-o-setor/" TargetMode="External"/><Relationship Id="rId38" Type="http://schemas.openxmlformats.org/officeDocument/2006/relationships/hyperlink" Target="https://drive.google.com/file/d/19rGxPEPBnDoR7lj0A2Rz6vTKJIwimoXX/view" TargetMode="External"/><Relationship Id="rId46" Type="http://schemas.openxmlformats.org/officeDocument/2006/relationships/hyperlink" Target="https://necat.ufsc.br/com-leve-retracao-volume-de-vendas-do-comercio-catarinense-interrompe-tendencia-expansiva/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ojs.sites.ufsc.br/index.php/revistanecat/issue/view/330" TargetMode="External"/><Relationship Id="rId41" Type="http://schemas.openxmlformats.org/officeDocument/2006/relationships/hyperlink" Target="https://drive.google.com/file/d/10dA_1CEC4i7xEjlYnKzeGXjKDbzYQHuO/view" TargetMode="External"/><Relationship Id="rId54" Type="http://schemas.openxmlformats.org/officeDocument/2006/relationships/hyperlink" Target="https://drive.google.com/file/d/1cP1nCHwvVwF2ZC3U7xreHSzYE6F8Gtqy/vie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necat.ufsc.br/comercio-brasileiro-apresenta-maior-expansao-desde-julho-de-2021-em-santa-catarina-ritmo-de-expansao-desacelera/" TargetMode="External"/><Relationship Id="rId28" Type="http://schemas.openxmlformats.org/officeDocument/2006/relationships/hyperlink" Target="https://necat.ufsc.br/pec-das-bondades-nao-e-suficiente-e-varejo-registra-retracao-em-agosto/" TargetMode="External"/><Relationship Id="rId36" Type="http://schemas.openxmlformats.org/officeDocument/2006/relationships/hyperlink" Target="https://drive.google.com/file/d/1ScGE9S-2BnJcf3ghE-IFEPSuZoxP4Obm/view" TargetMode="External"/><Relationship Id="rId49" Type="http://schemas.openxmlformats.org/officeDocument/2006/relationships/hyperlink" Target="https://drive.google.com/file/d/1m0y8aBsumKgT7-FRnsUScu214fuZHUQZ/view" TargetMode="External"/><Relationship Id="rId57" Type="http://schemas.openxmlformats.org/officeDocument/2006/relationships/hyperlink" Target="https://drive.google.com/file/d/1cDwSg7C43ptpuNaAGrBqdgT9y_HdTTrJ/view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necat.ufsc.br/varejo-catarinense-registra-quarta-retracao-consecutiva/" TargetMode="External"/><Relationship Id="rId44" Type="http://schemas.openxmlformats.org/officeDocument/2006/relationships/hyperlink" Target="https://necat.ufsc.br/9073-2/" TargetMode="External"/><Relationship Id="rId52" Type="http://schemas.openxmlformats.org/officeDocument/2006/relationships/hyperlink" Target="https://drive.google.com/file/d/1a7QeRFhylr9qdrMiTdWdFZxF38caM1ew/view" TargetMode="External"/><Relationship Id="rId60" Type="http://schemas.openxmlformats.org/officeDocument/2006/relationships/theme" Target="theme/theme1.xml"/><Relationship Id="rId61" Type="http://schemas.openxmlformats.org/officeDocument/2006/relationships/image" Target="media/image5.png"/><Relationship Id="rId62" Type="http://schemas.openxmlformats.org/officeDocument/2006/relationships/image" Target="media/image8.png"/><Relationship Id="rId63" Type="http://schemas.openxmlformats.org/officeDocument/2006/relationships/image" Target="media/image3.png"/><Relationship Id="rId64" Type="http://schemas.openxmlformats.org/officeDocument/2006/relationships/image" Target="media/image1.png"/><Relationship Id="rId65" Type="http://schemas.openxmlformats.org/officeDocument/2006/relationships/image" Target="media/image6.png"/><Relationship Id="rId66" Type="http://schemas.openxmlformats.org/officeDocument/2006/relationships/image" Target="media/image4.png"/><Relationship Id="rId67" Type="http://schemas.openxmlformats.org/officeDocument/2006/relationships/image" Target="media/image9.png"/><Relationship Id="rId68" Type="http://schemas.openxmlformats.org/officeDocument/2006/relationships/image" Target="media/image7.png"/><Relationship Id="rId6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g1.globo.com/economia/noticia/2020/03/24/coronavirus-veja-as-medidas-economicas-ja-anunciadas-pelo-governo-federal-e-pelo-bc.ghtml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QkRR8G/SW1p12sq6Qe12gAzRew==">CgMxLjA4AHIhMU1JMnhfNllXREpiNzd5SUszTDFkWmlOX1Q2dlp3RHFB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7800</Words>
  <Characters>42126</Characters>
  <Application>Microsoft Office Word</Application>
  <DocSecurity>0</DocSecurity>
  <Lines>351</Lines>
  <Paragraphs>99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Samya Campana</dc:creator>
  <cp:lastModifiedBy>Rafael Nicolo Serra Ferreira</cp:lastModifiedBy>
  <cp:revision>2</cp:revision>
  <dcterms:created xsi:type="dcterms:W3CDTF">2025-03-10T20:29:00Z</dcterms:created>
  <dcterms:modified xsi:type="dcterms:W3CDTF">2025-03-10T20:29:00Z</dcterms:modified>
</cp:coreProperties>
</file>