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4BD6" w14:textId="77777777" w:rsidR="00E601F4" w:rsidRPr="0003580D" w:rsidRDefault="004E00B1" w:rsidP="005309D9">
      <w:pPr>
        <w:spacing w:before="240" w:after="20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SOMA 15: DESAFIO PARA OS ANOS INICIAIS</w:t>
      </w:r>
    </w:p>
    <w:p w14:paraId="19B43560" w14:textId="77777777" w:rsidR="00E601F4" w:rsidRPr="0003580D" w:rsidRDefault="004E00B1" w:rsidP="00186E99">
      <w:pPr>
        <w:spacing w:line="240" w:lineRule="auto"/>
        <w:jc w:val="right"/>
        <w:rPr>
          <w:rFonts w:ascii="Times New Roman" w:eastAsia="Times New Roman" w:hAnsi="Times New Roman" w:cs="Times New Roman"/>
          <w:spacing w:val="-4"/>
        </w:rPr>
      </w:pPr>
      <w:r w:rsidRPr="0003580D">
        <w:rPr>
          <w:rFonts w:ascii="Times New Roman" w:eastAsia="Times New Roman" w:hAnsi="Times New Roman" w:cs="Times New Roman"/>
          <w:spacing w:val="-4"/>
        </w:rPr>
        <w:t>Camille Amorim Vilas Bôas Souza</w:t>
      </w:r>
    </w:p>
    <w:p w14:paraId="3170552E" w14:textId="77777777" w:rsidR="00E601F4" w:rsidRPr="0003580D" w:rsidRDefault="004E00B1" w:rsidP="00186E99">
      <w:pPr>
        <w:spacing w:line="240" w:lineRule="auto"/>
        <w:jc w:val="right"/>
        <w:rPr>
          <w:rFonts w:ascii="Times New Roman" w:eastAsia="Times New Roman" w:hAnsi="Times New Roman" w:cs="Times New Roman"/>
          <w:spacing w:val="-4"/>
        </w:rPr>
      </w:pPr>
      <w:r w:rsidRPr="0003580D">
        <w:rPr>
          <w:rFonts w:ascii="Times New Roman" w:eastAsia="Times New Roman" w:hAnsi="Times New Roman" w:cs="Times New Roman"/>
          <w:spacing w:val="-4"/>
        </w:rPr>
        <w:t>Universidade Federal de Sergipe (UFS)</w:t>
      </w:r>
    </w:p>
    <w:p w14:paraId="07B295B6" w14:textId="7EC9A60F" w:rsidR="00E601F4" w:rsidRPr="0003580D" w:rsidRDefault="00000000" w:rsidP="0003580D">
      <w:pPr>
        <w:spacing w:line="240" w:lineRule="auto"/>
        <w:jc w:val="right"/>
        <w:rPr>
          <w:rFonts w:ascii="Times New Roman" w:eastAsia="Times New Roman" w:hAnsi="Times New Roman" w:cs="Times New Roman"/>
          <w:spacing w:val="-4"/>
        </w:rPr>
      </w:pPr>
      <w:hyperlink r:id="rId6">
        <w:r w:rsidR="004E00B1" w:rsidRPr="0003580D">
          <w:rPr>
            <w:rFonts w:ascii="Times New Roman" w:eastAsia="Times New Roman" w:hAnsi="Times New Roman" w:cs="Times New Roman"/>
            <w:spacing w:val="-4"/>
          </w:rPr>
          <w:t>camilleamorim1325@gmail.com</w:t>
        </w:r>
      </w:hyperlink>
    </w:p>
    <w:p w14:paraId="69262A7A" w14:textId="77777777" w:rsidR="00E601F4" w:rsidRPr="0003580D" w:rsidRDefault="004E00B1" w:rsidP="005309D9">
      <w:pPr>
        <w:spacing w:before="200" w:line="240" w:lineRule="auto"/>
        <w:jc w:val="right"/>
        <w:rPr>
          <w:rFonts w:ascii="Times New Roman" w:eastAsia="Times New Roman" w:hAnsi="Times New Roman" w:cs="Times New Roman"/>
          <w:spacing w:val="-4"/>
        </w:rPr>
      </w:pPr>
      <w:r w:rsidRPr="0003580D">
        <w:rPr>
          <w:rFonts w:ascii="Times New Roman" w:eastAsia="Times New Roman" w:hAnsi="Times New Roman" w:cs="Times New Roman"/>
          <w:spacing w:val="-4"/>
        </w:rPr>
        <w:t>Emmily Thaís Almeida Silva</w:t>
      </w:r>
    </w:p>
    <w:p w14:paraId="78386F78" w14:textId="77777777" w:rsidR="00E601F4" w:rsidRPr="0003580D" w:rsidRDefault="004E00B1" w:rsidP="00186E99">
      <w:pPr>
        <w:spacing w:line="240" w:lineRule="auto"/>
        <w:jc w:val="right"/>
        <w:rPr>
          <w:rFonts w:ascii="Times New Roman" w:eastAsia="Times New Roman" w:hAnsi="Times New Roman" w:cs="Times New Roman"/>
          <w:spacing w:val="-4"/>
        </w:rPr>
      </w:pPr>
      <w:r w:rsidRPr="0003580D">
        <w:rPr>
          <w:rFonts w:ascii="Times New Roman" w:eastAsia="Times New Roman" w:hAnsi="Times New Roman" w:cs="Times New Roman"/>
          <w:spacing w:val="-4"/>
        </w:rPr>
        <w:t>Universidade Federal de Sergipe (UFS)</w:t>
      </w:r>
    </w:p>
    <w:p w14:paraId="62036B46" w14:textId="0CDD9E17" w:rsidR="00F64DC1" w:rsidRPr="0003580D" w:rsidRDefault="00000000" w:rsidP="0003580D">
      <w:pPr>
        <w:spacing w:line="240" w:lineRule="auto"/>
        <w:jc w:val="right"/>
        <w:rPr>
          <w:rFonts w:ascii="Times New Roman" w:eastAsia="Times New Roman" w:hAnsi="Times New Roman" w:cs="Times New Roman"/>
          <w:spacing w:val="-4"/>
        </w:rPr>
      </w:pPr>
      <w:hyperlink r:id="rId7">
        <w:r w:rsidR="004E00B1" w:rsidRPr="0003580D">
          <w:rPr>
            <w:rFonts w:ascii="Times New Roman" w:eastAsia="Times New Roman" w:hAnsi="Times New Roman" w:cs="Times New Roman"/>
            <w:spacing w:val="-4"/>
          </w:rPr>
          <w:t>emmth2020@gmail.com</w:t>
        </w:r>
      </w:hyperlink>
    </w:p>
    <w:p w14:paraId="36C6415A" w14:textId="4F9B4B1A" w:rsidR="00F64DC1" w:rsidRPr="0003580D" w:rsidRDefault="00F64DC1" w:rsidP="005309D9">
      <w:pPr>
        <w:spacing w:before="200" w:line="240" w:lineRule="auto"/>
        <w:jc w:val="right"/>
        <w:rPr>
          <w:rFonts w:ascii="Times New Roman" w:eastAsia="Times New Roman" w:hAnsi="Times New Roman" w:cs="Times New Roman"/>
          <w:spacing w:val="-4"/>
        </w:rPr>
      </w:pPr>
      <w:r w:rsidRPr="0003580D">
        <w:rPr>
          <w:rFonts w:ascii="Times New Roman" w:eastAsia="Times New Roman" w:hAnsi="Times New Roman" w:cs="Times New Roman"/>
          <w:spacing w:val="-4"/>
        </w:rPr>
        <w:t>Denize da Silva Souza</w:t>
      </w:r>
    </w:p>
    <w:p w14:paraId="08ABCA01" w14:textId="07D648E2" w:rsidR="00F64DC1" w:rsidRPr="0003580D" w:rsidRDefault="00F64DC1" w:rsidP="00186E99">
      <w:pPr>
        <w:spacing w:line="240" w:lineRule="auto"/>
        <w:jc w:val="right"/>
        <w:rPr>
          <w:rFonts w:ascii="Times New Roman" w:eastAsia="Times New Roman" w:hAnsi="Times New Roman" w:cs="Times New Roman"/>
          <w:spacing w:val="-4"/>
        </w:rPr>
      </w:pPr>
      <w:r w:rsidRPr="0003580D">
        <w:rPr>
          <w:rFonts w:ascii="Times New Roman" w:eastAsia="Times New Roman" w:hAnsi="Times New Roman" w:cs="Times New Roman"/>
          <w:spacing w:val="-4"/>
        </w:rPr>
        <w:t>Universidade Federal de Sergipe (UFS)</w:t>
      </w:r>
    </w:p>
    <w:p w14:paraId="7761AFC7" w14:textId="2A46961E" w:rsidR="00F64DC1" w:rsidRPr="0003580D" w:rsidRDefault="00F64DC1" w:rsidP="00186E99">
      <w:pPr>
        <w:spacing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03580D">
        <w:rPr>
          <w:rStyle w:val="markj5k6nuzqm"/>
          <w:rFonts w:ascii="Times New Roman" w:hAnsi="Times New Roman" w:cs="Times New Roman"/>
          <w:color w:val="000000"/>
          <w:spacing w:val="-4"/>
          <w:bdr w:val="none" w:sz="0" w:space="0" w:color="auto" w:frame="1"/>
          <w:shd w:val="clear" w:color="auto" w:fill="FFFFFF"/>
        </w:rPr>
        <w:t>denize</w:t>
      </w:r>
      <w:r w:rsidRPr="0003580D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.souza@hotmail.com</w:t>
      </w:r>
    </w:p>
    <w:p w14:paraId="6F2CEBA1" w14:textId="77777777" w:rsidR="00E601F4" w:rsidRPr="0003580D" w:rsidRDefault="004E00B1" w:rsidP="00B546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OBJETIVO</w:t>
      </w:r>
    </w:p>
    <w:p w14:paraId="295866E4" w14:textId="2709DCB9" w:rsidR="00E601F4" w:rsidRPr="0003580D" w:rsidRDefault="004E00B1" w:rsidP="00B546B8">
      <w:pPr>
        <w:spacing w:before="240" w:after="240" w:line="360" w:lineRule="auto"/>
        <w:ind w:firstLine="69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1B017F">
        <w:rPr>
          <w:rFonts w:ascii="Times New Roman" w:eastAsia="Times New Roman" w:hAnsi="Times New Roman" w:cs="Times New Roman"/>
          <w:spacing w:val="-4"/>
          <w:sz w:val="24"/>
          <w:szCs w:val="24"/>
        </w:rPr>
        <w:t>Relatar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os procedimentos de uma atividade 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voltada aos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anos iniciais denominada soma 15 (ou quadrado mágico)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Bem 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como, comentar os resultados d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aplicações desenvolvidas durante as Oficinas de Matemática, organizadas pelo Laboratório Itinerante de Aprendizagem Matemática (LIAM), o qual é um Projeto de Extensão vinculado ao Curso de Licenciatura em Matemática do Departamento de Matemática da Universidade Federal de Sergipe.</w:t>
      </w:r>
    </w:p>
    <w:p w14:paraId="3F7005C8" w14:textId="77777777" w:rsidR="00E601F4" w:rsidRPr="0003580D" w:rsidRDefault="004E00B1" w:rsidP="00B546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FUNDAMENTAÇÃO TEÓRICA</w:t>
      </w:r>
    </w:p>
    <w:p w14:paraId="479A9209" w14:textId="767B92BA" w:rsidR="00E601F4" w:rsidRPr="0003580D" w:rsidRDefault="004E00B1" w:rsidP="00B546B8">
      <w:pPr>
        <w:widowControl w:val="0"/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Os planos de atividades desenvolvidos ou adaptados para as Oficinas visam atender as competências e habilidades propostas pel</w:t>
      </w:r>
      <w:r w:rsidR="005309D9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="005309D9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309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a 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Base Nacional Comum Currículo (BNCC), no qual “[...] define o conjunto orgânico e progressivo de aprendizagens essenciais que todos os alunos devem desenvolver ao longo das etapas e modalidades da Educação Básica” (BRASIL, 2018, p.7). Este conjunto orgânico e progressivo é 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realizado por meio do desenvolvimento de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competências e habilidades, sendo elas gerais ou de áreas do conhecimento específicas.</w:t>
      </w:r>
    </w:p>
    <w:p w14:paraId="0FE14EF2" w14:textId="77777777" w:rsidR="00E601F4" w:rsidRPr="0003580D" w:rsidRDefault="004E00B1" w:rsidP="00B546B8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PERCURSO METODOLÓGICO</w:t>
      </w:r>
    </w:p>
    <w:p w14:paraId="519E4E10" w14:textId="77777777" w:rsidR="00E601F4" w:rsidRPr="0003580D" w:rsidRDefault="004E00B1" w:rsidP="00B546B8">
      <w:pPr>
        <w:widowControl w:val="0"/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pacing w:val="-4"/>
        </w:rPr>
      </w:pP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Inicialmente, 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organiza-se 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a turma 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em grupos,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conforme a quantidade de estudantes e material disponível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. Para tanto, os estudantes são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informados que irão participar de um desafio 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com um tabuleiro e fichas 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numeradas. Com os grupos formados e os materiais distribuídos (um tabuleiro 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e um envelope com 9 fichas- Anexo 1 e 2, respectivamente), 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expõe-se o seguinte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desafio: “Vocês terão que organizar as peças de 1 a 9 de tal maneira que a soma das retas verticais, horizontais e diagonais resultem no número 15”.</w:t>
      </w:r>
      <w:r w:rsidRPr="0003580D">
        <w:rPr>
          <w:rFonts w:ascii="Times New Roman" w:eastAsia="Times New Roman" w:hAnsi="Times New Roman" w:cs="Times New Roman"/>
          <w:spacing w:val="-4"/>
        </w:rPr>
        <w:t xml:space="preserve"> </w:t>
      </w:r>
    </w:p>
    <w:p w14:paraId="4125A5D6" w14:textId="77777777" w:rsidR="00E601F4" w:rsidRPr="0003580D" w:rsidRDefault="004E00B1" w:rsidP="00B546B8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Ao final, solicita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-se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que um grupo apresente seu registro no quadro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(ou lousa)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Logo em seguida, são realizados alguns questionamentos: “Todos chegaram a mesma configuração?”, “Como fizeram a escolha da configuração dos números?”, “Ainda que mude as configurações, 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podem perceber se há um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padrão?”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“Sabem dizer por quê?”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5C57DD67" w14:textId="77777777" w:rsidR="00E601F4" w:rsidRPr="0003580D" w:rsidRDefault="004E00B1" w:rsidP="00B546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RESULTADOS</w:t>
      </w:r>
    </w:p>
    <w:p w14:paraId="31D5B061" w14:textId="619C9A74" w:rsidR="00E601F4" w:rsidRPr="0003580D" w:rsidRDefault="004E00B1" w:rsidP="00B546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ab/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Ao longo das aplicações, durante as Oficinas, pode-se perceber o entusiasmo dos estudantes para resolver o desafio proposto. Foi observado também que mais da metade das equipes consegue solucionar e se voluntaria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 fazer seus registros no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quadro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(ou lousa)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explicando como o grupo chegou 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ao resultado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03580D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 caso dos grupos que não conseguem a solução no tempo previsto, após 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explicação</w:t>
      </w:r>
      <w:r w:rsidR="00F85205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dos colegas e apresentação dos registros, conseguem compreender a lógica e padrão que soluciona o desafio desta atividade</w:t>
      </w:r>
      <w:r w:rsidR="008D65CD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6DDC4BA8" w14:textId="77777777" w:rsidR="00E601F4" w:rsidRPr="0003580D" w:rsidRDefault="004E00B1" w:rsidP="00B546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CONSIDERAÇÕES FINAIS</w:t>
      </w:r>
    </w:p>
    <w:p w14:paraId="374F64BE" w14:textId="77777777" w:rsidR="00E601F4" w:rsidRPr="0003580D" w:rsidRDefault="004E00B1" w:rsidP="00B546B8">
      <w:pPr>
        <w:widowControl w:val="0"/>
        <w:spacing w:before="240" w:after="240" w:line="360" w:lineRule="auto"/>
        <w:ind w:firstLine="69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Com aplicações </w:t>
      </w:r>
      <w:r w:rsidR="008D65CD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em diferentes Oficinas de Matemática, constata-se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como as atividades que envolv</w:t>
      </w:r>
      <w:r w:rsidR="008D65CD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 desafios podem promover o interesse do estudante pela matemática e aumentar a participação durante a aula. Além disso, </w:t>
      </w:r>
      <w:r w:rsidR="008D65CD"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observa-se ocorrer a aprendizagem dos fatos básicos da adição, como o caso da soma 15. Após resultado encontrado, os grupos interagem expondo suas estratégias de solução. </w:t>
      </w:r>
    </w:p>
    <w:p w14:paraId="7BD89879" w14:textId="77777777" w:rsidR="008D65CD" w:rsidRPr="0003580D" w:rsidRDefault="008D65CD" w:rsidP="00B546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bookmarkStart w:id="0" w:name="_Hlk515407826"/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REFERÊNCIAS</w:t>
      </w:r>
    </w:p>
    <w:p w14:paraId="3F5E56CA" w14:textId="6B24B4BB" w:rsidR="008D65CD" w:rsidRPr="0003580D" w:rsidRDefault="008D65CD" w:rsidP="00B546B8">
      <w:pPr>
        <w:spacing w:line="240" w:lineRule="auto"/>
        <w:jc w:val="both"/>
        <w:rPr>
          <w:rFonts w:ascii="Times New Roman" w:hAnsi="Times New Roman" w:cs="Times New Roman"/>
          <w:spacing w:val="-4"/>
        </w:rPr>
      </w:pPr>
      <w:r w:rsidRPr="0003580D">
        <w:rPr>
          <w:rFonts w:ascii="Times New Roman" w:hAnsi="Times New Roman" w:cs="Times New Roman"/>
          <w:spacing w:val="-4"/>
        </w:rPr>
        <w:t xml:space="preserve">BRASIL. </w:t>
      </w:r>
      <w:r w:rsidRPr="0003580D">
        <w:rPr>
          <w:rFonts w:ascii="Times New Roman" w:hAnsi="Times New Roman" w:cs="Times New Roman"/>
          <w:b/>
          <w:spacing w:val="-4"/>
        </w:rPr>
        <w:t>Base Nacional Comum Curricular.</w:t>
      </w:r>
      <w:r w:rsidRPr="0003580D">
        <w:rPr>
          <w:rFonts w:ascii="Times New Roman" w:hAnsi="Times New Roman" w:cs="Times New Roman"/>
          <w:spacing w:val="-4"/>
        </w:rPr>
        <w:t xml:space="preserve">  Ministério da Educação. Ministério de Estado da Educação. Secretaria Executiva. Secretaria de Educação Básica. Brasília-DF: MEC/SE/SEB. 2018.</w:t>
      </w:r>
    </w:p>
    <w:p w14:paraId="1405B8E0" w14:textId="77777777" w:rsidR="00F64DC1" w:rsidRPr="0003580D" w:rsidRDefault="00F64DC1" w:rsidP="008D65CD">
      <w:pPr>
        <w:spacing w:line="240" w:lineRule="auto"/>
        <w:jc w:val="both"/>
        <w:rPr>
          <w:rFonts w:ascii="Times New Roman" w:hAnsi="Times New Roman" w:cs="Times New Roman"/>
          <w:spacing w:val="-4"/>
        </w:rPr>
      </w:pPr>
    </w:p>
    <w:bookmarkEnd w:id="0"/>
    <w:p w14:paraId="21344E8A" w14:textId="77777777" w:rsidR="00E601F4" w:rsidRPr="0003580D" w:rsidRDefault="004E00B1" w:rsidP="008D65CD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03580D">
        <w:rPr>
          <w:rFonts w:ascii="Times New Roman" w:eastAsia="Times New Roman" w:hAnsi="Times New Roman" w:cs="Times New Roman"/>
          <w:spacing w:val="-4"/>
        </w:rPr>
        <w:t xml:space="preserve">ACERVO IBILCE. </w:t>
      </w:r>
      <w:r w:rsidRPr="0003580D">
        <w:rPr>
          <w:rFonts w:ascii="Times New Roman" w:eastAsia="Times New Roman" w:hAnsi="Times New Roman" w:cs="Times New Roman"/>
          <w:b/>
          <w:spacing w:val="-4"/>
        </w:rPr>
        <w:t>Soma 15</w:t>
      </w:r>
      <w:r w:rsidRPr="0003580D">
        <w:rPr>
          <w:rFonts w:ascii="Times New Roman" w:eastAsia="Times New Roman" w:hAnsi="Times New Roman" w:cs="Times New Roman"/>
          <w:spacing w:val="-4"/>
        </w:rPr>
        <w:t xml:space="preserve">. Instituto de Biociências, Letras e Ciências Exatas - IBILCE, Universidade Estadual Paulista, 2023. Disponível em: </w:t>
      </w:r>
      <w:hyperlink r:id="rId8">
        <w:r w:rsidRPr="0003580D">
          <w:rPr>
            <w:rFonts w:ascii="Times New Roman" w:eastAsia="Times New Roman" w:hAnsi="Times New Roman" w:cs="Times New Roman"/>
            <w:spacing w:val="-4"/>
            <w:u w:val="single"/>
          </w:rPr>
          <w:t>soma15.pdf (unesp.br)</w:t>
        </w:r>
      </w:hyperlink>
      <w:r w:rsidRPr="0003580D">
        <w:rPr>
          <w:rFonts w:ascii="Times New Roman" w:eastAsia="Times New Roman" w:hAnsi="Times New Roman" w:cs="Times New Roman"/>
          <w:spacing w:val="-4"/>
        </w:rPr>
        <w:t>. Acesso em: 21 jul. 2023.</w:t>
      </w:r>
    </w:p>
    <w:p w14:paraId="6EB5BEB9" w14:textId="77777777" w:rsidR="00E601F4" w:rsidRPr="0003580D" w:rsidRDefault="004E00B1" w:rsidP="008D65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 xml:space="preserve">ANEXO </w:t>
      </w:r>
    </w:p>
    <w:p w14:paraId="4D62C10F" w14:textId="77777777" w:rsidR="00E601F4" w:rsidRPr="0003580D" w:rsidRDefault="004E00B1" w:rsidP="008D65CD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Anexo 1 - 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Tabuleiro</w:t>
      </w:r>
    </w:p>
    <w:p w14:paraId="60952E0B" w14:textId="77777777" w:rsidR="00E601F4" w:rsidRPr="0003580D" w:rsidRDefault="004E00B1" w:rsidP="008D65CD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</w:rPr>
        <w:drawing>
          <wp:inline distT="114300" distB="114300" distL="114300" distR="114300" wp14:anchorId="2008E47C" wp14:editId="10322A03">
            <wp:extent cx="4140000" cy="4140000"/>
            <wp:effectExtent l="19050" t="19050" r="13335" b="1333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2292" b="5455"/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41400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61454C8" w14:textId="77777777" w:rsidR="00E601F4" w:rsidRPr="0003580D" w:rsidRDefault="004E00B1" w:rsidP="008D65CD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Fonte: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Acervo IBILCE, 2023</w:t>
      </w:r>
    </w:p>
    <w:p w14:paraId="65054F00" w14:textId="77777777" w:rsidR="00E601F4" w:rsidRPr="0003580D" w:rsidRDefault="00E601F4" w:rsidP="008D65C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17B4A4BE" w14:textId="77777777" w:rsidR="00E601F4" w:rsidRPr="0003580D" w:rsidRDefault="004E00B1" w:rsidP="008D65CD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Anexo 2 - 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>Fichas</w:t>
      </w:r>
    </w:p>
    <w:p w14:paraId="0820DC87" w14:textId="77777777" w:rsidR="00E601F4" w:rsidRPr="0003580D" w:rsidRDefault="004E00B1" w:rsidP="008D65CD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</w:rPr>
        <w:drawing>
          <wp:inline distT="114300" distB="114300" distL="114300" distR="114300" wp14:anchorId="6F827B12" wp14:editId="27EC057A">
            <wp:extent cx="2676525" cy="1981200"/>
            <wp:effectExtent l="19050" t="19050" r="28575" b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979" cy="198153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FB8CFCD" w14:textId="77777777" w:rsidR="00E601F4" w:rsidRPr="0003580D" w:rsidRDefault="004E00B1" w:rsidP="008D65CD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8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Fonte:</w:t>
      </w:r>
      <w:r w:rsidRPr="000358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Acervo IBILCE, 2023</w:t>
      </w:r>
    </w:p>
    <w:sectPr w:rsidR="00E601F4" w:rsidRPr="0003580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14B2" w14:textId="77777777" w:rsidR="009962A2" w:rsidRDefault="009962A2">
      <w:pPr>
        <w:spacing w:line="240" w:lineRule="auto"/>
      </w:pPr>
      <w:r>
        <w:separator/>
      </w:r>
    </w:p>
  </w:endnote>
  <w:endnote w:type="continuationSeparator" w:id="0">
    <w:p w14:paraId="3777BF5F" w14:textId="77777777" w:rsidR="009962A2" w:rsidRDefault="00996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E5DE" w14:textId="77777777" w:rsidR="009962A2" w:rsidRDefault="009962A2">
      <w:pPr>
        <w:spacing w:line="240" w:lineRule="auto"/>
      </w:pPr>
      <w:r>
        <w:separator/>
      </w:r>
    </w:p>
  </w:footnote>
  <w:footnote w:type="continuationSeparator" w:id="0">
    <w:p w14:paraId="704AA69E" w14:textId="77777777" w:rsidR="009962A2" w:rsidRDefault="009962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8AF1" w14:textId="77777777" w:rsidR="00E601F4" w:rsidRDefault="004E00B1">
    <w:pPr>
      <w:jc w:val="right"/>
    </w:pPr>
    <w:r>
      <w:rPr>
        <w:noProof/>
      </w:rPr>
      <w:drawing>
        <wp:inline distT="0" distB="0" distL="0" distR="0" wp14:anchorId="48391074" wp14:editId="448E9FF7">
          <wp:extent cx="5776608" cy="1238897"/>
          <wp:effectExtent l="0" t="0" r="0" b="0"/>
          <wp:docPr id="3" name="image3.png" descr="C:\Users\Carloney\Desktop\AT\EVENTO TEMA 2023\LOGOMARCA\LOGO FUNDO TRANSP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arloney\Desktop\AT\EVENTO TEMA 2023\LOGOMARCA\LOGO FUNDO TRANSP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D6248D1" w14:textId="77777777" w:rsidR="00E601F4" w:rsidRDefault="004E00B1">
    <w:pPr>
      <w:tabs>
        <w:tab w:val="center" w:pos="4514"/>
        <w:tab w:val="right" w:pos="9029"/>
      </w:tabs>
      <w:spacing w:line="240" w:lineRule="auto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ab/>
      <w:t>18 a 20 de outubro de 2023</w:t>
    </w:r>
  </w:p>
  <w:p w14:paraId="6E907122" w14:textId="77777777" w:rsidR="00E601F4" w:rsidRDefault="004E00B1">
    <w:pPr>
      <w:jc w:val="right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>ISSN: 2764-9059</w:t>
    </w:r>
  </w:p>
  <w:p w14:paraId="36512541" w14:textId="77777777" w:rsidR="00E601F4" w:rsidRDefault="00000000">
    <w:pPr>
      <w:jc w:val="right"/>
      <w:rPr>
        <w:rFonts w:ascii="Arial Rounded" w:eastAsia="Arial Rounded" w:hAnsi="Arial Rounded" w:cs="Arial Rounded"/>
        <w:b/>
        <w:color w:val="002060"/>
      </w:rPr>
    </w:pPr>
    <w:r>
      <w:pict w14:anchorId="379EAD15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F4"/>
    <w:rsid w:val="0003580D"/>
    <w:rsid w:val="00186E99"/>
    <w:rsid w:val="001B017F"/>
    <w:rsid w:val="004E00B1"/>
    <w:rsid w:val="005309D9"/>
    <w:rsid w:val="007C5113"/>
    <w:rsid w:val="007E0553"/>
    <w:rsid w:val="008D5F73"/>
    <w:rsid w:val="008D65CD"/>
    <w:rsid w:val="009962A2"/>
    <w:rsid w:val="009F1A54"/>
    <w:rsid w:val="00B32929"/>
    <w:rsid w:val="00B546B8"/>
    <w:rsid w:val="00D67648"/>
    <w:rsid w:val="00E35E9F"/>
    <w:rsid w:val="00E601F4"/>
    <w:rsid w:val="00F64DC1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70B8"/>
  <w15:docId w15:val="{2F59917C-ED4C-4D6E-A224-41E3AE64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markj5k6nuzqm">
    <w:name w:val="markj5k6nuzqm"/>
    <w:basedOn w:val="Fontepargpadro"/>
    <w:rsid w:val="00F64DC1"/>
  </w:style>
  <w:style w:type="paragraph" w:styleId="Cabealho">
    <w:name w:val="header"/>
    <w:basedOn w:val="Normal"/>
    <w:link w:val="CabealhoChar"/>
    <w:uiPriority w:val="99"/>
    <w:unhideWhenUsed/>
    <w:rsid w:val="000358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80D"/>
  </w:style>
  <w:style w:type="paragraph" w:styleId="Rodap">
    <w:name w:val="footer"/>
    <w:basedOn w:val="Normal"/>
    <w:link w:val="RodapChar"/>
    <w:uiPriority w:val="99"/>
    <w:unhideWhenUsed/>
    <w:rsid w:val="000358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ilce.unesp.br/Home/Departamentos/Matematica/labmat/soma15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mmth2020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leamorim1325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Denize</dc:creator>
  <cp:lastModifiedBy>camille amorim</cp:lastModifiedBy>
  <cp:revision>2</cp:revision>
  <dcterms:created xsi:type="dcterms:W3CDTF">2023-08-13T15:34:00Z</dcterms:created>
  <dcterms:modified xsi:type="dcterms:W3CDTF">2023-08-13T15:34:00Z</dcterms:modified>
</cp:coreProperties>
</file>