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FB" w:rsidRPr="00B95068" w:rsidRDefault="005B1EFB" w:rsidP="00D22A2A">
      <w:pPr>
        <w:spacing w:line="276" w:lineRule="auto"/>
        <w:jc w:val="center"/>
        <w:rPr>
          <w:rFonts w:ascii="Times" w:hAnsi="Times"/>
          <w:b/>
          <w:sz w:val="24"/>
          <w:szCs w:val="24"/>
          <w:lang w:val="en-US"/>
        </w:rPr>
      </w:pPr>
      <w:r w:rsidRPr="00755977">
        <w:rPr>
          <w:rFonts w:ascii="Times New Roman" w:hAnsi="Times New Roman"/>
          <w:b/>
          <w:sz w:val="28"/>
          <w:szCs w:val="28"/>
          <w:lang w:val="en-US"/>
        </w:rPr>
        <w:t>ESTIMATION OF THE GLOBAL DIVERSITY OF MEGASPORACEAE</w:t>
      </w:r>
    </w:p>
    <w:p w:rsidR="005B1EFB" w:rsidRPr="00B95068" w:rsidRDefault="005B1EFB" w:rsidP="00E40E38">
      <w:pPr>
        <w:spacing w:after="120"/>
        <w:jc w:val="center"/>
        <w:rPr>
          <w:rFonts w:ascii="Times" w:hAnsi="Times"/>
          <w:sz w:val="24"/>
          <w:szCs w:val="24"/>
          <w:vertAlign w:val="superscript"/>
          <w:lang w:val="en-US"/>
        </w:rPr>
      </w:pPr>
      <w:r w:rsidRPr="00755977">
        <w:rPr>
          <w:rFonts w:ascii="Times New Roman" w:hAnsi="Times New Roman"/>
          <w:sz w:val="24"/>
          <w:szCs w:val="24"/>
          <w:lang w:val="en-US" w:eastAsia="de-DE"/>
        </w:rPr>
        <w:t>Alexander Paukov</w:t>
      </w:r>
      <w:r w:rsidRPr="00755977">
        <w:rPr>
          <w:rFonts w:ascii="Times New Roman" w:hAnsi="Times New Roman"/>
          <w:sz w:val="24"/>
          <w:szCs w:val="24"/>
          <w:vertAlign w:val="superscript"/>
          <w:lang w:val="en-US" w:eastAsia="de-DE"/>
        </w:rPr>
        <w:t>1</w:t>
      </w:r>
      <w:r w:rsidRPr="00755977">
        <w:rPr>
          <w:rFonts w:ascii="Times New Roman" w:hAnsi="Times New Roman"/>
          <w:sz w:val="24"/>
          <w:szCs w:val="24"/>
          <w:lang w:val="en-US" w:eastAsia="de-DE"/>
        </w:rPr>
        <w:t>*, Evgeny Davydov</w:t>
      </w:r>
      <w:r w:rsidRPr="00755977">
        <w:rPr>
          <w:rFonts w:ascii="Times New Roman" w:hAnsi="Times New Roman"/>
          <w:sz w:val="24"/>
          <w:szCs w:val="24"/>
          <w:vertAlign w:val="superscript"/>
          <w:lang w:val="en-US" w:eastAsia="de-DE"/>
        </w:rPr>
        <w:t>2</w:t>
      </w:r>
      <w:r w:rsidRPr="00755977">
        <w:rPr>
          <w:rFonts w:ascii="Times New Roman" w:hAnsi="Times New Roman"/>
          <w:sz w:val="24"/>
          <w:szCs w:val="24"/>
          <w:lang w:val="en-US" w:eastAsia="de-DE"/>
        </w:rPr>
        <w:t>, Anders Nordin</w:t>
      </w:r>
      <w:r w:rsidRPr="00755977">
        <w:rPr>
          <w:rFonts w:ascii="Times New Roman" w:hAnsi="Times New Roman"/>
          <w:sz w:val="24"/>
          <w:szCs w:val="24"/>
          <w:vertAlign w:val="superscript"/>
          <w:lang w:val="en-US" w:eastAsia="de-DE"/>
        </w:rPr>
        <w:t>3</w:t>
      </w:r>
      <w:r w:rsidRPr="00755977">
        <w:rPr>
          <w:rFonts w:ascii="Times New Roman" w:hAnsi="Times New Roman"/>
          <w:sz w:val="24"/>
          <w:szCs w:val="24"/>
          <w:lang w:val="en-US" w:eastAsia="de-DE"/>
        </w:rPr>
        <w:t>, Björn Owe-Larsson</w:t>
      </w:r>
      <w:r w:rsidRPr="00755977">
        <w:rPr>
          <w:rFonts w:ascii="Times New Roman" w:hAnsi="Times New Roman"/>
          <w:sz w:val="24"/>
          <w:szCs w:val="24"/>
          <w:vertAlign w:val="superscript"/>
          <w:lang w:val="en-US" w:eastAsia="de-DE"/>
        </w:rPr>
        <w:t>3</w:t>
      </w:r>
      <w:r w:rsidRPr="00755977">
        <w:rPr>
          <w:rFonts w:ascii="Times New Roman" w:hAnsi="Times New Roman"/>
          <w:sz w:val="24"/>
          <w:szCs w:val="24"/>
          <w:lang w:val="en-US" w:eastAsia="de-DE"/>
        </w:rPr>
        <w:t>, Mohammad Sohrabi</w:t>
      </w:r>
      <w:r w:rsidRPr="00755977">
        <w:rPr>
          <w:rFonts w:ascii="Times New Roman" w:hAnsi="Times New Roman"/>
          <w:sz w:val="24"/>
          <w:szCs w:val="24"/>
          <w:vertAlign w:val="superscript"/>
          <w:lang w:val="en-US" w:eastAsia="de-DE"/>
        </w:rPr>
        <w:t>4</w:t>
      </w:r>
      <w:r w:rsidRPr="00755977">
        <w:rPr>
          <w:rFonts w:ascii="Times New Roman" w:hAnsi="Times New Roman"/>
          <w:sz w:val="24"/>
          <w:szCs w:val="24"/>
          <w:lang w:val="en-US" w:eastAsia="de-DE"/>
        </w:rPr>
        <w:t>, Anzhelika Teptina</w:t>
      </w:r>
      <w:r w:rsidRPr="00755977">
        <w:rPr>
          <w:rFonts w:ascii="Times New Roman" w:hAnsi="Times New Roman"/>
          <w:sz w:val="24"/>
          <w:szCs w:val="24"/>
          <w:vertAlign w:val="superscript"/>
          <w:lang w:val="en-US" w:eastAsia="de-DE"/>
        </w:rPr>
        <w:t>1</w:t>
      </w:r>
    </w:p>
    <w:p w:rsidR="005B1EFB" w:rsidRPr="00E7764D" w:rsidRDefault="005B1EFB" w:rsidP="00E40E38">
      <w:pPr>
        <w:jc w:val="center"/>
        <w:rPr>
          <w:rStyle w:val="Hyperlink"/>
          <w:rFonts w:ascii="Times" w:hAnsi="Times"/>
          <w:color w:val="000000"/>
          <w:sz w:val="24"/>
          <w:szCs w:val="24"/>
          <w:u w:val="none"/>
          <w:lang w:val="en-US"/>
        </w:rPr>
      </w:pPr>
      <w:r w:rsidRPr="00755977">
        <w:rPr>
          <w:rFonts w:ascii="Times New Roman" w:hAnsi="Times New Roman"/>
          <w:sz w:val="24"/>
          <w:szCs w:val="24"/>
          <w:vertAlign w:val="superscript"/>
          <w:lang w:val="en-US" w:eastAsia="de-DE"/>
        </w:rPr>
        <w:t>1</w:t>
      </w:r>
      <w:r w:rsidRPr="00755977">
        <w:rPr>
          <w:rFonts w:ascii="Times New Roman" w:hAnsi="Times New Roman"/>
          <w:sz w:val="24"/>
          <w:szCs w:val="24"/>
          <w:lang w:val="en-US" w:eastAsia="de-DE"/>
        </w:rPr>
        <w:t xml:space="preserve"> Ural Federal University; </w:t>
      </w:r>
      <w:r w:rsidRPr="00755977">
        <w:rPr>
          <w:rFonts w:ascii="Times New Roman" w:hAnsi="Times New Roman"/>
          <w:sz w:val="24"/>
          <w:szCs w:val="24"/>
          <w:vertAlign w:val="superscript"/>
          <w:lang w:val="en-US" w:eastAsia="de-DE"/>
        </w:rPr>
        <w:t>2</w:t>
      </w:r>
      <w:r w:rsidRPr="00755977">
        <w:rPr>
          <w:rFonts w:ascii="Times New Roman" w:hAnsi="Times New Roman"/>
          <w:sz w:val="24"/>
          <w:szCs w:val="24"/>
          <w:lang w:val="en-US" w:eastAsia="de-DE"/>
        </w:rPr>
        <w:t xml:space="preserve"> </w:t>
      </w:r>
      <w:r w:rsidRPr="00755977">
        <w:rPr>
          <w:rFonts w:ascii="Times New Roman" w:hAnsi="Times New Roman"/>
          <w:sz w:val="24"/>
          <w:szCs w:val="24"/>
          <w:lang w:val="en-US"/>
        </w:rPr>
        <w:t>Altai State University</w:t>
      </w:r>
      <w:r w:rsidRPr="00755977">
        <w:rPr>
          <w:rFonts w:ascii="Times New Roman" w:hAnsi="Times New Roman"/>
          <w:sz w:val="24"/>
          <w:szCs w:val="24"/>
          <w:lang w:val="en-US" w:eastAsia="de-DE"/>
        </w:rPr>
        <w:t xml:space="preserve">; </w:t>
      </w:r>
      <w:r w:rsidRPr="00755977">
        <w:rPr>
          <w:rFonts w:ascii="Times New Roman" w:hAnsi="Times New Roman"/>
          <w:sz w:val="24"/>
          <w:szCs w:val="24"/>
          <w:vertAlign w:val="superscript"/>
          <w:lang w:val="en-US" w:eastAsia="de-DE"/>
        </w:rPr>
        <w:t>3</w:t>
      </w:r>
      <w:r w:rsidRPr="00755977">
        <w:rPr>
          <w:rFonts w:ascii="Times New Roman" w:hAnsi="Times New Roman"/>
          <w:sz w:val="24"/>
          <w:szCs w:val="24"/>
          <w:lang w:val="en-US" w:eastAsia="de-DE"/>
        </w:rPr>
        <w:t xml:space="preserve"> Uppsala University; </w:t>
      </w:r>
      <w:r w:rsidRPr="00755977">
        <w:rPr>
          <w:rFonts w:ascii="Times New Roman" w:hAnsi="Times New Roman"/>
          <w:sz w:val="24"/>
          <w:szCs w:val="24"/>
          <w:vertAlign w:val="superscript"/>
          <w:lang w:val="en-US" w:eastAsia="de-DE"/>
        </w:rPr>
        <w:t>4</w:t>
      </w:r>
      <w:r w:rsidRPr="00755977">
        <w:rPr>
          <w:rFonts w:ascii="Times New Roman" w:hAnsi="Times New Roman"/>
          <w:sz w:val="24"/>
          <w:szCs w:val="24"/>
          <w:lang w:val="en-US"/>
        </w:rPr>
        <w:t xml:space="preserve"> Iranian Research Organization for Science and Technology</w:t>
      </w:r>
      <w:r w:rsidRPr="00755977">
        <w:rPr>
          <w:rFonts w:ascii="Times New Roman" w:hAnsi="Times New Roman"/>
          <w:sz w:val="24"/>
          <w:szCs w:val="24"/>
          <w:lang w:val="en-US" w:eastAsia="de-DE"/>
        </w:rPr>
        <w:t>; *</w:t>
      </w:r>
      <w:r w:rsidRPr="00755977">
        <w:rPr>
          <w:rFonts w:ascii="Times New Roman" w:hAnsi="Times New Roman"/>
          <w:color w:val="000000"/>
          <w:sz w:val="24"/>
          <w:szCs w:val="24"/>
          <w:lang w:val="en-US" w:eastAsia="de-DE"/>
        </w:rPr>
        <w:t>alexander.paukov@urfu.ru</w:t>
      </w:r>
    </w:p>
    <w:p w:rsidR="005B1EFB" w:rsidRPr="00B95068" w:rsidRDefault="005B1EFB" w:rsidP="00D22A2A">
      <w:pPr>
        <w:rPr>
          <w:rStyle w:val="Hyperlink"/>
          <w:rFonts w:ascii="Times" w:hAnsi="Times"/>
          <w:sz w:val="24"/>
          <w:szCs w:val="24"/>
          <w:lang w:val="en-US"/>
        </w:rPr>
      </w:pPr>
    </w:p>
    <w:p w:rsidR="005B1EFB" w:rsidRDefault="005B1EFB" w:rsidP="005315E0">
      <w:pPr>
        <w:spacing w:line="276" w:lineRule="auto"/>
        <w:jc w:val="both"/>
        <w:rPr>
          <w:rFonts w:ascii="Times" w:hAnsi="Times"/>
          <w:color w:val="000000"/>
          <w:sz w:val="24"/>
          <w:szCs w:val="24"/>
          <w:bdr w:val="none" w:sz="0" w:space="0" w:color="auto" w:frame="1"/>
          <w:lang w:val="en-US"/>
        </w:rPr>
      </w:pPr>
      <w:r w:rsidRPr="00755977">
        <w:rPr>
          <w:rFonts w:ascii="Times New Roman" w:hAnsi="Times New Roman"/>
          <w:i/>
          <w:iCs/>
          <w:sz w:val="24"/>
          <w:szCs w:val="24"/>
          <w:lang w:val="en-US"/>
        </w:rPr>
        <w:t>Megasporaceae</w:t>
      </w:r>
      <w:r w:rsidRPr="00755977">
        <w:rPr>
          <w:rFonts w:ascii="Times New Roman" w:hAnsi="Times New Roman"/>
          <w:sz w:val="24"/>
          <w:szCs w:val="24"/>
          <w:lang w:val="en-US"/>
        </w:rPr>
        <w:t xml:space="preserve"> (or </w:t>
      </w:r>
      <w:r w:rsidRPr="00755977">
        <w:rPr>
          <w:rFonts w:ascii="Times New Roman" w:hAnsi="Times New Roman"/>
          <w:i/>
          <w:iCs/>
          <w:sz w:val="24"/>
          <w:szCs w:val="24"/>
          <w:lang w:val="en-US"/>
        </w:rPr>
        <w:t>Aspicilia</w:t>
      </w:r>
      <w:r w:rsidRPr="00755977">
        <w:rPr>
          <w:rFonts w:ascii="Times New Roman" w:hAnsi="Times New Roman"/>
          <w:sz w:val="24"/>
          <w:szCs w:val="24"/>
          <w:lang w:val="en-US"/>
        </w:rPr>
        <w:t xml:space="preserve"> s.l.) is a family in </w:t>
      </w:r>
      <w:r w:rsidRPr="00755977">
        <w:rPr>
          <w:rFonts w:ascii="Times New Roman" w:hAnsi="Times New Roman"/>
          <w:i/>
          <w:iCs/>
          <w:sz w:val="24"/>
          <w:szCs w:val="24"/>
          <w:lang w:val="en-US"/>
        </w:rPr>
        <w:t>Pertusariales</w:t>
      </w:r>
      <w:r w:rsidRPr="00755977">
        <w:rPr>
          <w:rFonts w:ascii="Times New Roman" w:hAnsi="Times New Roman"/>
          <w:sz w:val="24"/>
          <w:szCs w:val="24"/>
          <w:lang w:val="en-US"/>
        </w:rPr>
        <w:t xml:space="preserve"> which is, in a contrast to </w:t>
      </w:r>
      <w:r w:rsidRPr="00755977">
        <w:rPr>
          <w:rFonts w:ascii="Times New Roman" w:hAnsi="Times New Roman"/>
          <w:i/>
          <w:iCs/>
          <w:sz w:val="24"/>
          <w:szCs w:val="24"/>
          <w:lang w:val="en-US"/>
        </w:rPr>
        <w:t>Ochrolechiaceae</w:t>
      </w:r>
      <w:r w:rsidRPr="00755977">
        <w:rPr>
          <w:rFonts w:ascii="Times New Roman" w:hAnsi="Times New Roman"/>
          <w:sz w:val="24"/>
          <w:szCs w:val="24"/>
          <w:lang w:val="en-US"/>
        </w:rPr>
        <w:t xml:space="preserve"> and </w:t>
      </w:r>
      <w:r w:rsidRPr="00755977">
        <w:rPr>
          <w:rFonts w:ascii="Times New Roman" w:hAnsi="Times New Roman"/>
          <w:i/>
          <w:iCs/>
          <w:sz w:val="24"/>
          <w:szCs w:val="24"/>
          <w:lang w:val="en-US"/>
        </w:rPr>
        <w:t>Pertusariaceae</w:t>
      </w:r>
      <w:r w:rsidRPr="00755977">
        <w:rPr>
          <w:rFonts w:ascii="Times New Roman" w:hAnsi="Times New Roman"/>
          <w:sz w:val="24"/>
          <w:szCs w:val="24"/>
          <w:lang w:val="en-US"/>
        </w:rPr>
        <w:t xml:space="preserve">, characterized by a non-amyloid tholus, moniliform paraphyses in most representatives, and a lack of some secondary metabolites. The amount of species in </w:t>
      </w:r>
      <w:r w:rsidRPr="00755977">
        <w:rPr>
          <w:rFonts w:ascii="Times New Roman" w:hAnsi="Times New Roman"/>
          <w:i/>
          <w:iCs/>
          <w:sz w:val="24"/>
          <w:szCs w:val="24"/>
          <w:lang w:val="en-US"/>
        </w:rPr>
        <w:t>Megasporaceae</w:t>
      </w:r>
      <w:r w:rsidRPr="00755977">
        <w:rPr>
          <w:rFonts w:ascii="Times New Roman" w:hAnsi="Times New Roman"/>
          <w:sz w:val="24"/>
          <w:szCs w:val="24"/>
          <w:lang w:val="en-US"/>
        </w:rPr>
        <w:t xml:space="preserve"> is ranged from 200 to almost 300 in the latest works (Wijayawardene et al., 2020). Since the first representative of </w:t>
      </w:r>
      <w:r w:rsidRPr="00755977">
        <w:rPr>
          <w:rFonts w:ascii="Times New Roman" w:hAnsi="Times New Roman"/>
          <w:i/>
          <w:iCs/>
          <w:sz w:val="24"/>
          <w:szCs w:val="24"/>
          <w:lang w:val="en-US"/>
        </w:rPr>
        <w:t>Megasporaceae</w:t>
      </w:r>
      <w:r w:rsidRPr="00755977">
        <w:rPr>
          <w:rFonts w:ascii="Times New Roman" w:hAnsi="Times New Roman"/>
          <w:sz w:val="24"/>
          <w:szCs w:val="24"/>
          <w:lang w:val="en-US"/>
        </w:rPr>
        <w:t xml:space="preserve"> was described in the 1753, there were 1008 taxa of species, subspecies and form ranks described as </w:t>
      </w:r>
      <w:r w:rsidRPr="00755977">
        <w:rPr>
          <w:rFonts w:ascii="Times New Roman" w:hAnsi="Times New Roman"/>
          <w:i/>
          <w:iCs/>
          <w:sz w:val="24"/>
          <w:szCs w:val="24"/>
          <w:lang w:val="en-US"/>
        </w:rPr>
        <w:t>Aspicilia</w:t>
      </w:r>
      <w:r w:rsidRPr="00755977">
        <w:rPr>
          <w:rFonts w:ascii="Times New Roman" w:hAnsi="Times New Roman"/>
          <w:sz w:val="24"/>
          <w:szCs w:val="24"/>
          <w:lang w:val="en-US"/>
        </w:rPr>
        <w:t xml:space="preserve"> s.l., </w:t>
      </w:r>
      <w:r w:rsidRPr="00755977">
        <w:rPr>
          <w:rFonts w:ascii="Times New Roman" w:hAnsi="Times New Roman"/>
          <w:i/>
          <w:iCs/>
          <w:sz w:val="24"/>
          <w:szCs w:val="24"/>
          <w:lang w:val="en-US"/>
        </w:rPr>
        <w:t>Lecanora</w:t>
      </w:r>
      <w:r w:rsidRPr="00755977">
        <w:rPr>
          <w:rFonts w:ascii="Times New Roman" w:hAnsi="Times New Roman"/>
          <w:sz w:val="24"/>
          <w:szCs w:val="24"/>
          <w:lang w:val="en-US"/>
        </w:rPr>
        <w:t xml:space="preserve"> subgenus </w:t>
      </w:r>
      <w:r w:rsidRPr="00755977">
        <w:rPr>
          <w:rFonts w:ascii="Times New Roman" w:hAnsi="Times New Roman"/>
          <w:i/>
          <w:iCs/>
          <w:sz w:val="24"/>
          <w:szCs w:val="24"/>
          <w:lang w:val="en-US"/>
        </w:rPr>
        <w:t>Aspicilia</w:t>
      </w:r>
      <w:r w:rsidRPr="00755977">
        <w:rPr>
          <w:rFonts w:ascii="Times New Roman" w:hAnsi="Times New Roman"/>
          <w:sz w:val="24"/>
          <w:szCs w:val="24"/>
          <w:lang w:val="en-US"/>
        </w:rPr>
        <w:t xml:space="preserve"> or ones that were temporarily moved to this genus until the clarification of their true systematic position. Of them, according to our estimations, 169 taxa are representatives of other families while 839 names formally or validly belong to </w:t>
      </w:r>
      <w:r w:rsidRPr="00755977">
        <w:rPr>
          <w:rFonts w:ascii="Times New Roman" w:hAnsi="Times New Roman"/>
          <w:i/>
          <w:iCs/>
          <w:sz w:val="24"/>
          <w:szCs w:val="24"/>
          <w:lang w:val="en-US"/>
        </w:rPr>
        <w:t>Megasporaceae</w:t>
      </w:r>
      <w:r w:rsidRPr="00755977">
        <w:rPr>
          <w:rFonts w:ascii="Times New Roman" w:hAnsi="Times New Roman"/>
          <w:sz w:val="24"/>
          <w:szCs w:val="24"/>
          <w:lang w:val="en-US"/>
        </w:rPr>
        <w:t xml:space="preserve">. Recent studies of the diversity and phylogeny of the family reduced many names to synonymy while at the same time gave rise to a discovery of new species and genera in </w:t>
      </w:r>
      <w:r w:rsidRPr="00755977">
        <w:rPr>
          <w:rFonts w:ascii="Times New Roman" w:hAnsi="Times New Roman"/>
          <w:i/>
          <w:iCs/>
          <w:sz w:val="24"/>
          <w:szCs w:val="24"/>
          <w:lang w:val="en-US"/>
        </w:rPr>
        <w:t>Megasporaceae</w:t>
      </w:r>
      <w:r w:rsidRPr="00755977">
        <w:rPr>
          <w:rFonts w:ascii="Times New Roman" w:hAnsi="Times New Roman"/>
          <w:sz w:val="24"/>
          <w:szCs w:val="24"/>
          <w:lang w:val="en-US"/>
        </w:rPr>
        <w:t xml:space="preserve">. We made an attempt to estimate an amount of validly described species of </w:t>
      </w:r>
      <w:r w:rsidRPr="00755977">
        <w:rPr>
          <w:rFonts w:ascii="Times New Roman" w:hAnsi="Times New Roman"/>
          <w:i/>
          <w:iCs/>
          <w:sz w:val="24"/>
          <w:szCs w:val="24"/>
          <w:lang w:val="en-US"/>
        </w:rPr>
        <w:t>Aspicilia</w:t>
      </w:r>
      <w:r w:rsidRPr="00755977">
        <w:rPr>
          <w:rFonts w:ascii="Times New Roman" w:hAnsi="Times New Roman"/>
          <w:sz w:val="24"/>
          <w:szCs w:val="24"/>
          <w:lang w:val="en-US"/>
        </w:rPr>
        <w:t xml:space="preserve"> s.l. excluding subspecies, varieties and forms that resulted in 433 names. Of them, 313 currently belong to </w:t>
      </w:r>
      <w:r w:rsidRPr="00755977">
        <w:rPr>
          <w:rFonts w:ascii="Times New Roman" w:hAnsi="Times New Roman"/>
          <w:i/>
          <w:iCs/>
          <w:sz w:val="24"/>
          <w:szCs w:val="24"/>
          <w:lang w:val="en-US"/>
        </w:rPr>
        <w:t>Aspicilia</w:t>
      </w:r>
      <w:r w:rsidRPr="00755977">
        <w:rPr>
          <w:rFonts w:ascii="Times New Roman" w:hAnsi="Times New Roman"/>
          <w:sz w:val="24"/>
          <w:szCs w:val="24"/>
          <w:lang w:val="en-US"/>
        </w:rPr>
        <w:t xml:space="preserve"> s.s., 38 – to </w:t>
      </w:r>
      <w:r w:rsidRPr="00755977">
        <w:rPr>
          <w:rFonts w:ascii="Times New Roman" w:hAnsi="Times New Roman"/>
          <w:i/>
          <w:iCs/>
          <w:sz w:val="24"/>
          <w:szCs w:val="24"/>
          <w:lang w:val="en-US"/>
        </w:rPr>
        <w:t>Circinaria</w:t>
      </w:r>
      <w:r w:rsidRPr="00755977">
        <w:rPr>
          <w:rFonts w:ascii="Times New Roman" w:hAnsi="Times New Roman"/>
          <w:sz w:val="24"/>
          <w:szCs w:val="24"/>
          <w:lang w:val="en-US"/>
        </w:rPr>
        <w:t xml:space="preserve">, 18 – to </w:t>
      </w:r>
      <w:r w:rsidRPr="00755977">
        <w:rPr>
          <w:rFonts w:ascii="Times New Roman" w:hAnsi="Times New Roman"/>
          <w:i/>
          <w:iCs/>
          <w:sz w:val="24"/>
          <w:szCs w:val="24"/>
          <w:lang w:val="en-US"/>
        </w:rPr>
        <w:t>Lobothallia</w:t>
      </w:r>
      <w:r w:rsidRPr="00755977">
        <w:rPr>
          <w:rFonts w:ascii="Times New Roman" w:hAnsi="Times New Roman"/>
          <w:sz w:val="24"/>
          <w:szCs w:val="24"/>
          <w:lang w:val="en-US"/>
        </w:rPr>
        <w:t xml:space="preserve">, 9 – to </w:t>
      </w:r>
      <w:r w:rsidRPr="00755977">
        <w:rPr>
          <w:rFonts w:ascii="Times New Roman" w:hAnsi="Times New Roman"/>
          <w:i/>
          <w:iCs/>
          <w:sz w:val="24"/>
          <w:szCs w:val="24"/>
          <w:lang w:val="en-US"/>
        </w:rPr>
        <w:t>Oxneriaria</w:t>
      </w:r>
      <w:r w:rsidRPr="00755977">
        <w:rPr>
          <w:rFonts w:ascii="Times New Roman" w:hAnsi="Times New Roman"/>
          <w:sz w:val="24"/>
          <w:szCs w:val="24"/>
          <w:lang w:val="en-US"/>
        </w:rPr>
        <w:t>,</w:t>
      </w:r>
      <w:r w:rsidRPr="00755977">
        <w:rPr>
          <w:rFonts w:ascii="Times New Roman" w:hAnsi="Times New Roman"/>
          <w:i/>
          <w:iCs/>
          <w:sz w:val="24"/>
          <w:szCs w:val="24"/>
          <w:lang w:val="en-US"/>
        </w:rPr>
        <w:t xml:space="preserve"> </w:t>
      </w:r>
      <w:r w:rsidRPr="00755977">
        <w:rPr>
          <w:rFonts w:ascii="Times New Roman" w:hAnsi="Times New Roman"/>
          <w:sz w:val="24"/>
          <w:szCs w:val="24"/>
          <w:lang w:val="en-US"/>
        </w:rPr>
        <w:t xml:space="preserve">5 – to </w:t>
      </w:r>
      <w:r w:rsidRPr="00755977">
        <w:rPr>
          <w:rFonts w:ascii="Times New Roman" w:hAnsi="Times New Roman"/>
          <w:i/>
          <w:iCs/>
          <w:sz w:val="24"/>
          <w:szCs w:val="24"/>
          <w:lang w:val="en-US"/>
        </w:rPr>
        <w:t>Teuvoa</w:t>
      </w:r>
      <w:r w:rsidRPr="00755977">
        <w:rPr>
          <w:rFonts w:ascii="Times New Roman" w:hAnsi="Times New Roman"/>
          <w:sz w:val="24"/>
          <w:szCs w:val="24"/>
          <w:lang w:val="en-US"/>
        </w:rPr>
        <w:t>, 4 –</w:t>
      </w:r>
      <w:r>
        <w:rPr>
          <w:rFonts w:ascii="Times New Roman" w:hAnsi="Times New Roman"/>
          <w:sz w:val="24"/>
          <w:szCs w:val="24"/>
          <w:lang w:val="ru-RU"/>
        </w:rPr>
        <w:t xml:space="preserve"> </w:t>
      </w:r>
      <w:r w:rsidRPr="00755977">
        <w:rPr>
          <w:rFonts w:ascii="Times New Roman" w:hAnsi="Times New Roman"/>
          <w:sz w:val="24"/>
          <w:szCs w:val="24"/>
          <w:lang w:val="en-US"/>
        </w:rPr>
        <w:t xml:space="preserve">to </w:t>
      </w:r>
      <w:r w:rsidRPr="00755977">
        <w:rPr>
          <w:rFonts w:ascii="Times New Roman" w:hAnsi="Times New Roman"/>
          <w:i/>
          <w:iCs/>
          <w:sz w:val="24"/>
          <w:szCs w:val="24"/>
          <w:lang w:val="en-US"/>
        </w:rPr>
        <w:t xml:space="preserve">Megaspora </w:t>
      </w:r>
      <w:r w:rsidRPr="00755977">
        <w:rPr>
          <w:rFonts w:ascii="Times New Roman" w:hAnsi="Times New Roman"/>
          <w:sz w:val="24"/>
          <w:szCs w:val="24"/>
          <w:lang w:val="en-US"/>
        </w:rPr>
        <w:t xml:space="preserve">and </w:t>
      </w:r>
      <w:r w:rsidRPr="00755977">
        <w:rPr>
          <w:rFonts w:ascii="Times New Roman" w:hAnsi="Times New Roman"/>
          <w:i/>
          <w:iCs/>
          <w:sz w:val="24"/>
          <w:szCs w:val="24"/>
          <w:lang w:val="en-US"/>
        </w:rPr>
        <w:t>Sagedia</w:t>
      </w:r>
      <w:r w:rsidRPr="00755977">
        <w:rPr>
          <w:rFonts w:ascii="Times New Roman" w:hAnsi="Times New Roman"/>
          <w:sz w:val="24"/>
          <w:szCs w:val="24"/>
          <w:lang w:val="en-US"/>
        </w:rPr>
        <w:t xml:space="preserve">, and 3 – to </w:t>
      </w:r>
      <w:r w:rsidRPr="00755977">
        <w:rPr>
          <w:rFonts w:ascii="Times New Roman" w:hAnsi="Times New Roman"/>
          <w:i/>
          <w:iCs/>
          <w:sz w:val="24"/>
          <w:szCs w:val="24"/>
          <w:lang w:val="en-US"/>
        </w:rPr>
        <w:t>Aspiciliella</w:t>
      </w:r>
      <w:r w:rsidRPr="00755977">
        <w:rPr>
          <w:rFonts w:ascii="Times New Roman" w:hAnsi="Times New Roman"/>
          <w:sz w:val="24"/>
          <w:szCs w:val="24"/>
          <w:lang w:val="en-US"/>
        </w:rPr>
        <w:t xml:space="preserve">. Thirty nine species of </w:t>
      </w:r>
      <w:r w:rsidRPr="00755977">
        <w:rPr>
          <w:rFonts w:ascii="Times New Roman" w:hAnsi="Times New Roman"/>
          <w:i/>
          <w:iCs/>
          <w:sz w:val="24"/>
          <w:szCs w:val="24"/>
          <w:lang w:val="en-US"/>
        </w:rPr>
        <w:t>Lecanora</w:t>
      </w:r>
      <w:r w:rsidRPr="00755977">
        <w:rPr>
          <w:rFonts w:ascii="Times New Roman" w:hAnsi="Times New Roman"/>
          <w:sz w:val="24"/>
          <w:szCs w:val="24"/>
          <w:lang w:val="en-US"/>
        </w:rPr>
        <w:t xml:space="preserve"> have not been moved to </w:t>
      </w:r>
      <w:r w:rsidRPr="00755977">
        <w:rPr>
          <w:rFonts w:ascii="Times New Roman" w:hAnsi="Times New Roman"/>
          <w:i/>
          <w:iCs/>
          <w:sz w:val="24"/>
          <w:szCs w:val="24"/>
          <w:lang w:val="en-US"/>
        </w:rPr>
        <w:t>Megasporaceae</w:t>
      </w:r>
      <w:r w:rsidRPr="00755977">
        <w:rPr>
          <w:rFonts w:ascii="Times New Roman" w:hAnsi="Times New Roman"/>
          <w:sz w:val="24"/>
          <w:szCs w:val="24"/>
          <w:lang w:val="en-US"/>
        </w:rPr>
        <w:t xml:space="preserve">, but were attributed to the subgenus </w:t>
      </w:r>
      <w:r w:rsidRPr="00755977">
        <w:rPr>
          <w:rFonts w:ascii="Times New Roman" w:hAnsi="Times New Roman"/>
          <w:i/>
          <w:iCs/>
          <w:sz w:val="24"/>
          <w:szCs w:val="24"/>
          <w:lang w:val="en-US"/>
        </w:rPr>
        <w:t>Aspicilia</w:t>
      </w:r>
      <w:r w:rsidRPr="00755977">
        <w:rPr>
          <w:rFonts w:ascii="Times New Roman" w:hAnsi="Times New Roman"/>
          <w:sz w:val="24"/>
          <w:szCs w:val="24"/>
          <w:lang w:val="en-US"/>
        </w:rPr>
        <w:t xml:space="preserve"> in the protologues. The following studies will decrease the number of </w:t>
      </w:r>
      <w:r w:rsidRPr="00755977">
        <w:rPr>
          <w:rFonts w:ascii="Times New Roman" w:hAnsi="Times New Roman"/>
          <w:i/>
          <w:iCs/>
          <w:sz w:val="24"/>
          <w:szCs w:val="24"/>
          <w:lang w:val="en-US"/>
        </w:rPr>
        <w:t>Aspicilia</w:t>
      </w:r>
      <w:r w:rsidRPr="00755977">
        <w:rPr>
          <w:rFonts w:ascii="Times New Roman" w:hAnsi="Times New Roman"/>
          <w:sz w:val="24"/>
          <w:szCs w:val="24"/>
          <w:lang w:val="en-US"/>
        </w:rPr>
        <w:t xml:space="preserve"> s.s. by synonymization and by moving some taxa to other families or to other genera within </w:t>
      </w:r>
      <w:r w:rsidRPr="00755977">
        <w:rPr>
          <w:rFonts w:ascii="Times New Roman" w:hAnsi="Times New Roman"/>
          <w:i/>
          <w:iCs/>
          <w:sz w:val="24"/>
          <w:szCs w:val="24"/>
          <w:lang w:val="en-US"/>
        </w:rPr>
        <w:t>Megasporaceae</w:t>
      </w:r>
      <w:r w:rsidRPr="00755977">
        <w:rPr>
          <w:rFonts w:ascii="Times New Roman" w:hAnsi="Times New Roman"/>
          <w:sz w:val="24"/>
          <w:szCs w:val="24"/>
          <w:lang w:val="en-US"/>
        </w:rPr>
        <w:t xml:space="preserve">. This decline however will be compensated by changing of statuses of known taxa below the species level and by describing of new species. Thus we estimate the credible number of species in </w:t>
      </w:r>
      <w:r w:rsidRPr="00755977">
        <w:rPr>
          <w:rFonts w:ascii="Times New Roman" w:hAnsi="Times New Roman"/>
          <w:i/>
          <w:iCs/>
          <w:sz w:val="24"/>
          <w:szCs w:val="24"/>
          <w:lang w:val="en-US"/>
        </w:rPr>
        <w:t>Megasporaceae</w:t>
      </w:r>
      <w:r w:rsidRPr="00755977">
        <w:rPr>
          <w:rFonts w:ascii="Times New Roman" w:hAnsi="Times New Roman"/>
          <w:sz w:val="24"/>
          <w:szCs w:val="24"/>
          <w:lang w:val="en-US"/>
        </w:rPr>
        <w:t xml:space="preserve"> in the range of 350–400.</w:t>
      </w:r>
    </w:p>
    <w:sectPr w:rsidR="005B1EFB" w:rsidSect="00E7764D">
      <w:pgSz w:w="12240" w:h="15840"/>
      <w:pgMar w:top="1134"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A2A"/>
    <w:rsid w:val="00095D96"/>
    <w:rsid w:val="000C0216"/>
    <w:rsid w:val="000F146E"/>
    <w:rsid w:val="001C759D"/>
    <w:rsid w:val="00200EAE"/>
    <w:rsid w:val="00215F6C"/>
    <w:rsid w:val="00226CB5"/>
    <w:rsid w:val="002416A1"/>
    <w:rsid w:val="00260A60"/>
    <w:rsid w:val="002F4395"/>
    <w:rsid w:val="003911A7"/>
    <w:rsid w:val="003F32BF"/>
    <w:rsid w:val="0041562C"/>
    <w:rsid w:val="005315E0"/>
    <w:rsid w:val="005B1EFB"/>
    <w:rsid w:val="0062477E"/>
    <w:rsid w:val="006C6BAE"/>
    <w:rsid w:val="00755977"/>
    <w:rsid w:val="0082173C"/>
    <w:rsid w:val="00894CF2"/>
    <w:rsid w:val="0096647E"/>
    <w:rsid w:val="00B63FA9"/>
    <w:rsid w:val="00B8346A"/>
    <w:rsid w:val="00B95068"/>
    <w:rsid w:val="00BC3BF3"/>
    <w:rsid w:val="00BD2764"/>
    <w:rsid w:val="00CA5970"/>
    <w:rsid w:val="00D22A2A"/>
    <w:rsid w:val="00D33B09"/>
    <w:rsid w:val="00E40E38"/>
    <w:rsid w:val="00E74D8F"/>
    <w:rsid w:val="00E7764D"/>
    <w:rsid w:val="00F44110"/>
    <w:rsid w:val="00FA3FC0"/>
    <w:rsid w:val="00FB42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A2A"/>
    <w:pPr>
      <w:spacing w:after="160" w:line="259" w:lineRule="auto"/>
    </w:pPr>
    <w:rPr>
      <w:lang w:val="pt-B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22A2A"/>
    <w:rPr>
      <w:rFonts w:cs="Times New Roman"/>
      <w:color w:val="0000FF"/>
      <w:u w:val="single"/>
    </w:rPr>
  </w:style>
  <w:style w:type="character" w:customStyle="1" w:styleId="UnresolvedMention">
    <w:name w:val="Unresolved Mention"/>
    <w:basedOn w:val="DefaultParagraphFont"/>
    <w:uiPriority w:val="99"/>
    <w:semiHidden/>
    <w:rsid w:val="00BD2764"/>
    <w:rPr>
      <w:rFonts w:cs="Times New Roman"/>
      <w:color w:val="auto"/>
      <w:shd w:val="clear" w:color="auto" w:fill="auto"/>
    </w:rPr>
  </w:style>
  <w:style w:type="paragraph" w:customStyle="1" w:styleId="a">
    <w:name w:val="Без интервала"/>
    <w:uiPriority w:val="99"/>
    <w:rsid w:val="00095D96"/>
    <w:rPr>
      <w:rFonts w:ascii="Calibri" w:hAnsi="Calibri" w:cs="Calibri"/>
      <w:lang w:val="de-DE" w:eastAsia="en-US"/>
    </w:rPr>
  </w:style>
</w:styles>
</file>

<file path=word/webSettings.xml><?xml version="1.0" encoding="utf-8"?>
<w:webSettings xmlns:r="http://schemas.openxmlformats.org/officeDocument/2006/relationships" xmlns:w="http://schemas.openxmlformats.org/wordprocessingml/2006/main">
  <w:divs>
    <w:div w:id="407843536">
      <w:marLeft w:val="0"/>
      <w:marRight w:val="0"/>
      <w:marTop w:val="0"/>
      <w:marBottom w:val="0"/>
      <w:divBdr>
        <w:top w:val="none" w:sz="0" w:space="0" w:color="auto"/>
        <w:left w:val="none" w:sz="0" w:space="0" w:color="auto"/>
        <w:bottom w:val="none" w:sz="0" w:space="0" w:color="auto"/>
        <w:right w:val="none" w:sz="0" w:space="0" w:color="auto"/>
      </w:divBdr>
    </w:div>
    <w:div w:id="407843537">
      <w:marLeft w:val="0"/>
      <w:marRight w:val="0"/>
      <w:marTop w:val="0"/>
      <w:marBottom w:val="0"/>
      <w:divBdr>
        <w:top w:val="none" w:sz="0" w:space="0" w:color="auto"/>
        <w:left w:val="none" w:sz="0" w:space="0" w:color="auto"/>
        <w:bottom w:val="none" w:sz="0" w:space="0" w:color="auto"/>
        <w:right w:val="none" w:sz="0" w:space="0" w:color="auto"/>
      </w:divBdr>
    </w:div>
    <w:div w:id="407843538">
      <w:marLeft w:val="0"/>
      <w:marRight w:val="0"/>
      <w:marTop w:val="0"/>
      <w:marBottom w:val="0"/>
      <w:divBdr>
        <w:top w:val="none" w:sz="0" w:space="0" w:color="auto"/>
        <w:left w:val="none" w:sz="0" w:space="0" w:color="auto"/>
        <w:bottom w:val="none" w:sz="0" w:space="0" w:color="auto"/>
        <w:right w:val="none" w:sz="0" w:space="0" w:color="auto"/>
      </w:divBdr>
    </w:div>
    <w:div w:id="407843539">
      <w:marLeft w:val="0"/>
      <w:marRight w:val="0"/>
      <w:marTop w:val="0"/>
      <w:marBottom w:val="0"/>
      <w:divBdr>
        <w:top w:val="none" w:sz="0" w:space="0" w:color="auto"/>
        <w:left w:val="none" w:sz="0" w:space="0" w:color="auto"/>
        <w:bottom w:val="none" w:sz="0" w:space="0" w:color="auto"/>
        <w:right w:val="none" w:sz="0" w:space="0" w:color="auto"/>
      </w:divBdr>
    </w:div>
    <w:div w:id="407843540">
      <w:marLeft w:val="0"/>
      <w:marRight w:val="0"/>
      <w:marTop w:val="0"/>
      <w:marBottom w:val="0"/>
      <w:divBdr>
        <w:top w:val="none" w:sz="0" w:space="0" w:color="auto"/>
        <w:left w:val="none" w:sz="0" w:space="0" w:color="auto"/>
        <w:bottom w:val="none" w:sz="0" w:space="0" w:color="auto"/>
        <w:right w:val="none" w:sz="0" w:space="0" w:color="auto"/>
      </w:divBdr>
    </w:div>
    <w:div w:id="407843541">
      <w:marLeft w:val="0"/>
      <w:marRight w:val="0"/>
      <w:marTop w:val="0"/>
      <w:marBottom w:val="0"/>
      <w:divBdr>
        <w:top w:val="none" w:sz="0" w:space="0" w:color="auto"/>
        <w:left w:val="none" w:sz="0" w:space="0" w:color="auto"/>
        <w:bottom w:val="none" w:sz="0" w:space="0" w:color="auto"/>
        <w:right w:val="none" w:sz="0" w:space="0" w:color="auto"/>
      </w:divBdr>
    </w:div>
    <w:div w:id="407843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Pages>
  <Words>327</Words>
  <Characters>1870</Characters>
  <Application>Microsoft Office Outlook</Application>
  <DocSecurity>0</DocSecurity>
  <Lines>0</Lines>
  <Paragraphs>0</Paragraphs>
  <ScaleCrop>false</ScaleCrop>
  <Company>NMNH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ESTIMATION OF THE GLOBAL DIVERSITY OF MEGASPORACEAE</dc:title>
  <dc:subject/>
  <dc:creator>Manuela Dal Forno</dc:creator>
  <cp:keywords/>
  <dc:description/>
  <cp:lastModifiedBy>Alexander</cp:lastModifiedBy>
  <cp:revision>4</cp:revision>
  <dcterms:created xsi:type="dcterms:W3CDTF">2021-04-29T12:04:00Z</dcterms:created>
  <dcterms:modified xsi:type="dcterms:W3CDTF">2021-04-30T06:08:00Z</dcterms:modified>
</cp:coreProperties>
</file>