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91E931" w14:textId="33C6A190" w:rsidR="00D8471E" w:rsidRPr="006F452E" w:rsidRDefault="005503B5">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b/>
          <w:i/>
          <w:color w:val="808080" w:themeColor="background1" w:themeShade="80"/>
        </w:rPr>
      </w:pPr>
      <w:r w:rsidRPr="005503B5">
        <w:rPr>
          <w:rFonts w:ascii="Times New Roman" w:eastAsia="Times New Roman" w:hAnsi="Times New Roman" w:cs="Times New Roman"/>
          <w:b/>
          <w:color w:val="808080" w:themeColor="background1" w:themeShade="80"/>
        </w:rPr>
        <w:t>TRILHA 4 - Tendências Emergentes</w:t>
      </w:r>
    </w:p>
    <w:p w14:paraId="6EBCBD64" w14:textId="77777777" w:rsidR="00D8471E" w:rsidRDefault="00D8471E">
      <w:pPr>
        <w:spacing w:line="240" w:lineRule="auto"/>
        <w:jc w:val="both"/>
        <w:rPr>
          <w:rFonts w:ascii="Times New Roman" w:eastAsia="Times New Roman" w:hAnsi="Times New Roman" w:cs="Times New Roman"/>
          <w:b/>
          <w:sz w:val="24"/>
          <w:szCs w:val="24"/>
        </w:rPr>
      </w:pPr>
    </w:p>
    <w:p w14:paraId="1B89AB29" w14:textId="18AC7765" w:rsidR="00F76658" w:rsidRDefault="00F76658">
      <w:pPr>
        <w:spacing w:line="240" w:lineRule="auto"/>
        <w:jc w:val="center"/>
        <w:rPr>
          <w:rFonts w:ascii="Times New Roman" w:eastAsia="Times New Roman" w:hAnsi="Times New Roman" w:cs="Times New Roman"/>
          <w:b/>
          <w:sz w:val="28"/>
          <w:szCs w:val="28"/>
        </w:rPr>
      </w:pPr>
      <w:r w:rsidRPr="00F76658">
        <w:rPr>
          <w:rFonts w:ascii="Times New Roman" w:eastAsia="Times New Roman" w:hAnsi="Times New Roman" w:cs="Times New Roman"/>
          <w:b/>
          <w:sz w:val="28"/>
          <w:szCs w:val="28"/>
        </w:rPr>
        <w:t>O PAPEL DO CONHECIMENTO DOS TRABALHADORES SENIORES NO CONTEXTO DA INTELIGÊNCIA ARTIFICIAL: BARREIRAS E FACILITADORES</w:t>
      </w:r>
    </w:p>
    <w:p w14:paraId="170E1265" w14:textId="3A859354" w:rsidR="00D8471E" w:rsidRDefault="003D21B8">
      <w:pPr>
        <w:spacing w:line="240" w:lineRule="auto"/>
        <w:jc w:val="center"/>
        <w:rPr>
          <w:rFonts w:ascii="Times New Roman" w:eastAsia="Times New Roman" w:hAnsi="Times New Roman" w:cs="Times New Roman"/>
          <w:i/>
          <w:sz w:val="28"/>
          <w:szCs w:val="28"/>
          <w:lang w:val="en-US"/>
        </w:rPr>
      </w:pPr>
      <w:r w:rsidRPr="003D21B8">
        <w:rPr>
          <w:rFonts w:ascii="Times New Roman" w:eastAsia="Times New Roman" w:hAnsi="Times New Roman" w:cs="Times New Roman"/>
          <w:i/>
          <w:sz w:val="28"/>
          <w:szCs w:val="28"/>
          <w:lang w:val="en-US"/>
        </w:rPr>
        <w:t>THE ROLE OF SENIOR WORKERS' KNOWLEDGE IN THE CONTEXT OF ARTIFICIAL INTELLIGENCE: BARRIERS AND FACILITATORS</w:t>
      </w:r>
    </w:p>
    <w:p w14:paraId="7468B1DF" w14:textId="77777777" w:rsidR="003D21B8" w:rsidRPr="003D21B8" w:rsidRDefault="003D21B8">
      <w:pPr>
        <w:spacing w:line="240" w:lineRule="auto"/>
        <w:jc w:val="center"/>
        <w:rPr>
          <w:rFonts w:ascii="Times New Roman" w:eastAsia="Times New Roman" w:hAnsi="Times New Roman" w:cs="Times New Roman"/>
          <w:b/>
          <w:sz w:val="24"/>
          <w:szCs w:val="24"/>
          <w:lang w:val="en-US"/>
        </w:rPr>
      </w:pPr>
    </w:p>
    <w:p w14:paraId="04F33923" w14:textId="33B2D418" w:rsidR="00D8471E" w:rsidRPr="006F452E" w:rsidRDefault="00624C90"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Felipe Pinheiro Sousa</w:t>
      </w:r>
    </w:p>
    <w:p w14:paraId="1E7ECD4E" w14:textId="722E178D" w:rsidR="00624C90" w:rsidRDefault="00624C90" w:rsidP="00624C90">
      <w:pPr>
        <w:spacing w:line="240" w:lineRule="auto"/>
        <w:jc w:val="right"/>
        <w:rPr>
          <w:rFonts w:ascii="Times New Roman" w:eastAsia="Times New Roman" w:hAnsi="Times New Roman" w:cs="Times New Roman"/>
        </w:rPr>
      </w:pPr>
      <w:r>
        <w:rPr>
          <w:rFonts w:ascii="Times New Roman" w:eastAsia="Times New Roman" w:hAnsi="Times New Roman" w:cs="Times New Roman"/>
        </w:rPr>
        <w:t xml:space="preserve">UFABC – Brasil. </w:t>
      </w:r>
    </w:p>
    <w:p w14:paraId="33DE70C1" w14:textId="5CD44D32" w:rsidR="00254A6D" w:rsidRDefault="00770C1B" w:rsidP="006F452E">
      <w:pPr>
        <w:spacing w:line="240" w:lineRule="auto"/>
        <w:jc w:val="right"/>
        <w:rPr>
          <w:rFonts w:ascii="Times New Roman" w:eastAsia="Times New Roman" w:hAnsi="Times New Roman" w:cs="Times New Roman"/>
        </w:rPr>
      </w:pPr>
      <w:hyperlink r:id="rId14" w:history="1">
        <w:r w:rsidR="00254A6D" w:rsidRPr="00681C5B">
          <w:rPr>
            <w:rStyle w:val="Hyperlink"/>
            <w:rFonts w:ascii="Times New Roman" w:eastAsia="Times New Roman" w:hAnsi="Times New Roman" w:cs="Times New Roman"/>
          </w:rPr>
          <w:t>pinheiro.felipesousa@gmail.com</w:t>
        </w:r>
      </w:hyperlink>
      <w:r w:rsidR="00254A6D" w:rsidRPr="00254A6D">
        <w:rPr>
          <w:rFonts w:ascii="Times New Roman" w:eastAsia="Times New Roman" w:hAnsi="Times New Roman" w:cs="Times New Roman"/>
        </w:rPr>
        <w:t xml:space="preserve"> </w:t>
      </w:r>
    </w:p>
    <w:p w14:paraId="14B903E5" w14:textId="3CEB8F1F" w:rsidR="004E641A" w:rsidRDefault="004E641A" w:rsidP="006F452E">
      <w:pPr>
        <w:spacing w:line="240" w:lineRule="auto"/>
        <w:jc w:val="right"/>
        <w:rPr>
          <w:rFonts w:ascii="Times New Roman" w:eastAsia="Times New Roman" w:hAnsi="Times New Roman" w:cs="Times New Roman"/>
          <w:b/>
          <w:bCs/>
        </w:rPr>
      </w:pPr>
      <w:r w:rsidRPr="004E641A">
        <w:rPr>
          <w:rFonts w:ascii="Times New Roman" w:eastAsia="Times New Roman" w:hAnsi="Times New Roman" w:cs="Times New Roman"/>
          <w:b/>
          <w:bCs/>
        </w:rPr>
        <w:t xml:space="preserve">Silvia Novaes </w:t>
      </w:r>
      <w:proofErr w:type="spellStart"/>
      <w:r w:rsidRPr="004E641A">
        <w:rPr>
          <w:rFonts w:ascii="Times New Roman" w:eastAsia="Times New Roman" w:hAnsi="Times New Roman" w:cs="Times New Roman"/>
          <w:b/>
          <w:bCs/>
        </w:rPr>
        <w:t>Zilber</w:t>
      </w:r>
      <w:proofErr w:type="spellEnd"/>
      <w:r w:rsidRPr="004E641A">
        <w:rPr>
          <w:rFonts w:ascii="Times New Roman" w:eastAsia="Times New Roman" w:hAnsi="Times New Roman" w:cs="Times New Roman"/>
          <w:b/>
          <w:bCs/>
        </w:rPr>
        <w:t xml:space="preserve"> </w:t>
      </w:r>
      <w:proofErr w:type="spellStart"/>
      <w:r w:rsidRPr="004E641A">
        <w:rPr>
          <w:rFonts w:ascii="Times New Roman" w:eastAsia="Times New Roman" w:hAnsi="Times New Roman" w:cs="Times New Roman"/>
          <w:b/>
          <w:bCs/>
        </w:rPr>
        <w:t>Turri</w:t>
      </w:r>
      <w:proofErr w:type="spellEnd"/>
      <w:r w:rsidRPr="004E641A">
        <w:rPr>
          <w:rFonts w:ascii="Times New Roman" w:eastAsia="Times New Roman" w:hAnsi="Times New Roman" w:cs="Times New Roman"/>
          <w:b/>
          <w:bCs/>
        </w:rPr>
        <w:t xml:space="preserve"> </w:t>
      </w:r>
    </w:p>
    <w:p w14:paraId="63A67B30" w14:textId="46CF2B32" w:rsidR="006F452E" w:rsidRDefault="00624C90"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Dra</w:t>
      </w:r>
      <w:r w:rsidR="006F452E">
        <w:rPr>
          <w:rFonts w:ascii="Times New Roman" w:eastAsia="Times New Roman" w:hAnsi="Times New Roman" w:cs="Times New Roman"/>
        </w:rPr>
        <w:t xml:space="preserve">. </w:t>
      </w:r>
      <w:r>
        <w:rPr>
          <w:rFonts w:ascii="Times New Roman" w:eastAsia="Times New Roman" w:hAnsi="Times New Roman" w:cs="Times New Roman"/>
        </w:rPr>
        <w:t>UFABC</w:t>
      </w:r>
      <w:r w:rsidR="006F452E">
        <w:rPr>
          <w:rFonts w:ascii="Times New Roman" w:eastAsia="Times New Roman" w:hAnsi="Times New Roman" w:cs="Times New Roman"/>
        </w:rPr>
        <w:t xml:space="preserve"> – </w:t>
      </w:r>
      <w:r>
        <w:rPr>
          <w:rFonts w:ascii="Times New Roman" w:eastAsia="Times New Roman" w:hAnsi="Times New Roman" w:cs="Times New Roman"/>
        </w:rPr>
        <w:t>Brasil</w:t>
      </w:r>
      <w:r w:rsidR="006F452E">
        <w:rPr>
          <w:rFonts w:ascii="Times New Roman" w:eastAsia="Times New Roman" w:hAnsi="Times New Roman" w:cs="Times New Roman"/>
        </w:rPr>
        <w:t xml:space="preserve">. </w:t>
      </w:r>
    </w:p>
    <w:p w14:paraId="6626F3F6" w14:textId="4E84763F" w:rsidR="00152DDB" w:rsidRDefault="00770C1B" w:rsidP="006F452E">
      <w:pPr>
        <w:spacing w:line="240" w:lineRule="auto"/>
        <w:jc w:val="right"/>
        <w:rPr>
          <w:rFonts w:ascii="Times New Roman" w:eastAsia="Times New Roman" w:hAnsi="Times New Roman" w:cs="Times New Roman"/>
        </w:rPr>
      </w:pPr>
      <w:hyperlink r:id="rId15" w:history="1">
        <w:r w:rsidR="00152DDB" w:rsidRPr="00681C5B">
          <w:rPr>
            <w:rStyle w:val="Hyperlink"/>
            <w:rFonts w:ascii="Times New Roman" w:eastAsia="Times New Roman" w:hAnsi="Times New Roman" w:cs="Times New Roman"/>
          </w:rPr>
          <w:t>silvia.zilber@ufabc.edu.br</w:t>
        </w:r>
      </w:hyperlink>
      <w:r w:rsidR="00152DDB" w:rsidRPr="00152DDB">
        <w:rPr>
          <w:rFonts w:ascii="Times New Roman" w:eastAsia="Times New Roman" w:hAnsi="Times New Roman" w:cs="Times New Roman"/>
        </w:rPr>
        <w:t xml:space="preserve"> </w:t>
      </w:r>
    </w:p>
    <w:p w14:paraId="33B4A761" w14:textId="77777777" w:rsidR="006F452E" w:rsidRDefault="006F452E" w:rsidP="006F452E">
      <w:pPr>
        <w:spacing w:line="240" w:lineRule="auto"/>
        <w:jc w:val="right"/>
        <w:rPr>
          <w:rFonts w:ascii="Times New Roman" w:eastAsia="Times New Roman" w:hAnsi="Times New Roman" w:cs="Times New Roman"/>
          <w:sz w:val="24"/>
          <w:szCs w:val="24"/>
        </w:rPr>
      </w:pPr>
    </w:p>
    <w:p w14:paraId="13C745F7" w14:textId="77777777" w:rsidR="00D8471E" w:rsidRDefault="00D1413B" w:rsidP="006F452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RESUMO</w:t>
      </w:r>
    </w:p>
    <w:p w14:paraId="165BF1B5" w14:textId="77777777" w:rsidR="009B5151" w:rsidRDefault="009B5151" w:rsidP="009D050D">
      <w:pPr>
        <w:spacing w:line="240" w:lineRule="auto"/>
        <w:jc w:val="both"/>
        <w:rPr>
          <w:rFonts w:ascii="Times New Roman" w:eastAsia="Times New Roman" w:hAnsi="Times New Roman" w:cs="Times New Roman"/>
          <w:sz w:val="24"/>
          <w:szCs w:val="24"/>
        </w:rPr>
      </w:pPr>
      <w:r w:rsidRPr="009B5151">
        <w:rPr>
          <w:rFonts w:ascii="Times New Roman" w:eastAsia="Times New Roman" w:hAnsi="Times New Roman" w:cs="Times New Roman"/>
          <w:sz w:val="24"/>
          <w:szCs w:val="24"/>
        </w:rPr>
        <w:t>Considerando o envelhecimento da força de trabalho e a crescente adoção da Inteligência Artificial (IA) em várias áreas das empresas, inclusive na área de manufatura, o objetivo da pesquisa foi identificar as barreiras e facilitadores ao uso do conhecimento tácito dos colaboradores seniores nos processos de empresas de manufatura, no contexto do uso de Inteligência Artificial. O método utilizado foi uma revisão da literatura, usando a base de dados Scopus, em publicações dos últimos dez anos que tratam da gestão do conhecimento, IA e conhecimento dos trabalhadores seniores. Os resultados indicam como barreiras: resistência tecnológica e etarismo. Facilitadores: cultura organizacional colaborativa e programas de capacitação contínua, que potencializam a transferência de conhecimento tácito e promovem a inovação. O artigo destaca a necessidade de estratégias organizacionais que combinem a expertise dos trabalhadores seniores com as capacidades da IA, contribuindo para ambientes de trabalho intergeracionais e digitalmente adaptados. O estudo contribui ao propor caminhos estratégicos para aliar experiência humana e inteligência artificial, oferecendo subsídios práticos para organizações que buscam competitividade no cenário digital.</w:t>
      </w:r>
    </w:p>
    <w:p w14:paraId="6DF09880" w14:textId="454256C2" w:rsidR="00D8471E" w:rsidRDefault="00D1413B" w:rsidP="00675B4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PALAVRAS-CHAVE: </w:t>
      </w:r>
      <w:r w:rsidR="00F1130F" w:rsidRPr="00F4772E">
        <w:rPr>
          <w:rFonts w:ascii="Times New Roman" w:eastAsia="Times New Roman" w:hAnsi="Times New Roman" w:cs="Times New Roman"/>
          <w:i/>
          <w:iCs/>
          <w:sz w:val="24"/>
          <w:szCs w:val="24"/>
        </w:rPr>
        <w:t>Gestão do conhecimento, Inteligência artificial, Trabalhadores seniores, Transferência de conhecimento</w:t>
      </w:r>
    </w:p>
    <w:p w14:paraId="42175E9C" w14:textId="77777777" w:rsidR="00D8471E" w:rsidRDefault="00D8471E">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1595671C" w14:textId="77777777" w:rsidR="00D8471E" w:rsidRPr="00624C90" w:rsidRDefault="00D1413B" w:rsidP="006F452E">
      <w:pPr>
        <w:spacing w:line="240" w:lineRule="auto"/>
        <w:jc w:val="both"/>
        <w:rPr>
          <w:rFonts w:ascii="Times New Roman" w:eastAsia="Times New Roman" w:hAnsi="Times New Roman" w:cs="Times New Roman"/>
          <w:b/>
          <w:sz w:val="28"/>
          <w:szCs w:val="28"/>
          <w:lang w:val="en-US"/>
        </w:rPr>
      </w:pPr>
      <w:r w:rsidRPr="00624C90">
        <w:rPr>
          <w:rFonts w:ascii="Times New Roman" w:eastAsia="Times New Roman" w:hAnsi="Times New Roman" w:cs="Times New Roman"/>
          <w:b/>
          <w:sz w:val="28"/>
          <w:szCs w:val="28"/>
          <w:lang w:val="en-US"/>
        </w:rPr>
        <w:t>ABSTRACT (</w:t>
      </w:r>
      <w:proofErr w:type="spellStart"/>
      <w:r w:rsidRPr="00624C90">
        <w:rPr>
          <w:rFonts w:ascii="Times New Roman" w:eastAsia="Times New Roman" w:hAnsi="Times New Roman" w:cs="Times New Roman"/>
          <w:b/>
          <w:sz w:val="28"/>
          <w:szCs w:val="28"/>
          <w:lang w:val="en-US"/>
        </w:rPr>
        <w:t>replicar</w:t>
      </w:r>
      <w:proofErr w:type="spellEnd"/>
      <w:r w:rsidRPr="00624C90">
        <w:rPr>
          <w:rFonts w:ascii="Times New Roman" w:eastAsia="Times New Roman" w:hAnsi="Times New Roman" w:cs="Times New Roman"/>
          <w:b/>
          <w:sz w:val="28"/>
          <w:szCs w:val="28"/>
          <w:lang w:val="en-US"/>
        </w:rPr>
        <w:t xml:space="preserve"> </w:t>
      </w:r>
      <w:proofErr w:type="spellStart"/>
      <w:r w:rsidRPr="00624C90">
        <w:rPr>
          <w:rFonts w:ascii="Times New Roman" w:eastAsia="Times New Roman" w:hAnsi="Times New Roman" w:cs="Times New Roman"/>
          <w:b/>
          <w:sz w:val="28"/>
          <w:szCs w:val="28"/>
          <w:lang w:val="en-US"/>
        </w:rPr>
        <w:t>em</w:t>
      </w:r>
      <w:proofErr w:type="spellEnd"/>
      <w:r w:rsidRPr="00624C90">
        <w:rPr>
          <w:rFonts w:ascii="Times New Roman" w:eastAsia="Times New Roman" w:hAnsi="Times New Roman" w:cs="Times New Roman"/>
          <w:b/>
          <w:sz w:val="28"/>
          <w:szCs w:val="28"/>
          <w:lang w:val="en-US"/>
        </w:rPr>
        <w:t xml:space="preserve"> </w:t>
      </w:r>
      <w:proofErr w:type="spellStart"/>
      <w:r w:rsidRPr="00624C90">
        <w:rPr>
          <w:rFonts w:ascii="Times New Roman" w:eastAsia="Times New Roman" w:hAnsi="Times New Roman" w:cs="Times New Roman"/>
          <w:b/>
          <w:sz w:val="28"/>
          <w:szCs w:val="28"/>
          <w:lang w:val="en-US"/>
        </w:rPr>
        <w:t>inglês</w:t>
      </w:r>
      <w:proofErr w:type="spellEnd"/>
      <w:r w:rsidRPr="00624C90">
        <w:rPr>
          <w:rFonts w:ascii="Times New Roman" w:eastAsia="Times New Roman" w:hAnsi="Times New Roman" w:cs="Times New Roman"/>
          <w:b/>
          <w:sz w:val="28"/>
          <w:szCs w:val="28"/>
          <w:lang w:val="en-US"/>
        </w:rPr>
        <w:t>)</w:t>
      </w:r>
    </w:p>
    <w:p w14:paraId="3B8C05D8" w14:textId="77777777" w:rsidR="003D52D2" w:rsidRDefault="003D52D2" w:rsidP="009D050D">
      <w:pPr>
        <w:spacing w:line="240" w:lineRule="auto"/>
        <w:jc w:val="both"/>
        <w:rPr>
          <w:rFonts w:ascii="Times New Roman" w:eastAsia="Times New Roman" w:hAnsi="Times New Roman" w:cs="Times New Roman"/>
          <w:sz w:val="24"/>
          <w:szCs w:val="24"/>
          <w:lang w:val="en-US"/>
        </w:rPr>
      </w:pPr>
      <w:r w:rsidRPr="003D52D2">
        <w:rPr>
          <w:rFonts w:ascii="Times New Roman" w:eastAsia="Times New Roman" w:hAnsi="Times New Roman" w:cs="Times New Roman"/>
          <w:sz w:val="24"/>
          <w:szCs w:val="24"/>
          <w:lang w:val="en-US"/>
        </w:rPr>
        <w:t>Considering the aging workforce and the increasing adoption of Artificial Intelligence (AI) in various areas of companies, including manufacturing, the objective of the research was to identify the barriers and facilitators to the use of tacit knowledge from senior employees in the processes of manufacturing companies within the context of AI usage. The method employed was a literature review, utilizing the Scopus database, focusing on publications from the last ten years that discuss knowledge management, AI, and the knowledge of senior workers. The results indicate the following barriers: technological resistance and ageism. The facilitators identified include a collaborative organizational culture and continuous training programs, which enhance the transfer of tacit knowledge and promote innovation. The article emphasizes the need for organizational strategies that combine the expertise of senior workers with the capabilities of AI, contributing to intergenerational and digitally adapted work environments. The study contributes by proposing strategic pathways to align human experience with artificial intelligence, offering practical insights for organizations seeking competitiveness in the digital landscape.</w:t>
      </w:r>
    </w:p>
    <w:p w14:paraId="47B30801" w14:textId="63C4A45C" w:rsidR="00D8471E" w:rsidRPr="00624C90" w:rsidRDefault="00D1413B" w:rsidP="00D1413B">
      <w:pPr>
        <w:spacing w:line="360" w:lineRule="auto"/>
        <w:jc w:val="both"/>
        <w:rPr>
          <w:rFonts w:ascii="Times New Roman" w:eastAsia="Times New Roman" w:hAnsi="Times New Roman" w:cs="Times New Roman"/>
          <w:sz w:val="24"/>
          <w:szCs w:val="24"/>
          <w:lang w:val="en-US"/>
        </w:rPr>
      </w:pPr>
      <w:r w:rsidRPr="00624C90">
        <w:rPr>
          <w:rFonts w:ascii="Times New Roman" w:eastAsia="Times New Roman" w:hAnsi="Times New Roman" w:cs="Times New Roman"/>
          <w:b/>
          <w:sz w:val="24"/>
          <w:szCs w:val="24"/>
          <w:lang w:val="en-US"/>
        </w:rPr>
        <w:lastRenderedPageBreak/>
        <w:t xml:space="preserve">KEYWORDS: </w:t>
      </w:r>
      <w:r w:rsidR="00E3411C" w:rsidRPr="00E3411C">
        <w:rPr>
          <w:rFonts w:ascii="Times New Roman" w:eastAsia="Times New Roman" w:hAnsi="Times New Roman" w:cs="Times New Roman"/>
          <w:i/>
          <w:lang w:val="en-US"/>
        </w:rPr>
        <w:t>Knowledge management, Artificial intelligence, older workers, Knowledge transfer</w:t>
      </w:r>
    </w:p>
    <w:p w14:paraId="3A46D71F" w14:textId="77777777" w:rsidR="00D8471E" w:rsidRPr="00624C90" w:rsidRDefault="00D8471E">
      <w:pPr>
        <w:pBdr>
          <w:top w:val="nil"/>
          <w:left w:val="nil"/>
          <w:bottom w:val="nil"/>
          <w:right w:val="nil"/>
          <w:between w:val="nil"/>
        </w:pBdr>
        <w:spacing w:line="360" w:lineRule="auto"/>
        <w:jc w:val="both"/>
        <w:rPr>
          <w:rFonts w:ascii="Times New Roman" w:eastAsia="Times New Roman" w:hAnsi="Times New Roman" w:cs="Times New Roman"/>
          <w:sz w:val="24"/>
          <w:szCs w:val="24"/>
          <w:lang w:val="en-US"/>
        </w:rPr>
      </w:pPr>
    </w:p>
    <w:p w14:paraId="4AB7820C" w14:textId="77777777" w:rsidR="00D8471E" w:rsidRDefault="00D1413B">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INTRODUÇÃO</w:t>
      </w:r>
    </w:p>
    <w:p w14:paraId="5E1BF207" w14:textId="77777777" w:rsidR="00FC4A6A" w:rsidRPr="00FC4A6A" w:rsidRDefault="00FC4A6A" w:rsidP="00FC4A6A">
      <w:pPr>
        <w:spacing w:line="360" w:lineRule="auto"/>
        <w:ind w:firstLine="720"/>
        <w:jc w:val="both"/>
        <w:rPr>
          <w:rFonts w:ascii="Times New Roman" w:eastAsia="Times New Roman" w:hAnsi="Times New Roman" w:cs="Times New Roman"/>
          <w:sz w:val="24"/>
          <w:szCs w:val="24"/>
        </w:rPr>
      </w:pPr>
      <w:r w:rsidRPr="00FC4A6A">
        <w:rPr>
          <w:rFonts w:ascii="Times New Roman" w:eastAsia="Times New Roman" w:hAnsi="Times New Roman" w:cs="Times New Roman"/>
          <w:sz w:val="24"/>
          <w:szCs w:val="24"/>
        </w:rPr>
        <w:t xml:space="preserve">A inteligência artificial tem se destacado como uma das tecnologias mais influentes do século XXI, transformando a dinâmica do ambiente de trabalho em diversas organizações, especialmente no setor de manufatura (BRYNJOLFSSON; </w:t>
      </w:r>
      <w:proofErr w:type="spellStart"/>
      <w:r w:rsidRPr="00FC4A6A">
        <w:rPr>
          <w:rFonts w:ascii="Times New Roman" w:eastAsia="Times New Roman" w:hAnsi="Times New Roman" w:cs="Times New Roman"/>
          <w:sz w:val="24"/>
          <w:szCs w:val="24"/>
        </w:rPr>
        <w:t>McAFEE</w:t>
      </w:r>
      <w:proofErr w:type="spellEnd"/>
      <w:r w:rsidRPr="00FC4A6A">
        <w:rPr>
          <w:rFonts w:ascii="Times New Roman" w:eastAsia="Times New Roman" w:hAnsi="Times New Roman" w:cs="Times New Roman"/>
          <w:sz w:val="24"/>
          <w:szCs w:val="24"/>
        </w:rPr>
        <w:t>, 2017). Este fenômeno altera não apenas os processos produtivos, mas também impõe novos desafios e oportunidades para a força de trabalho, particularmente para os trabalhadores seniores. Nesse contexto, o envelhecimento da população e o aumento da expectativa de vida têm contribuído para um crescimento significativo do número de trabalhadores com 60 anos ou mais, o que representa um desafio para as empresas que buscam integrar essa força de trabalho à questão da inteligência artificial (GUERREIRO; SILVA, 2021; LEE et al., 2022).</w:t>
      </w:r>
    </w:p>
    <w:p w14:paraId="7120E56F" w14:textId="77777777" w:rsidR="00FC4A6A" w:rsidRPr="00FC4A6A" w:rsidRDefault="00FC4A6A" w:rsidP="00FC4A6A">
      <w:pPr>
        <w:spacing w:line="360" w:lineRule="auto"/>
        <w:ind w:firstLine="720"/>
        <w:jc w:val="both"/>
        <w:rPr>
          <w:rFonts w:ascii="Times New Roman" w:eastAsia="Times New Roman" w:hAnsi="Times New Roman" w:cs="Times New Roman"/>
          <w:sz w:val="24"/>
          <w:szCs w:val="24"/>
        </w:rPr>
      </w:pPr>
      <w:r w:rsidRPr="00FC4A6A">
        <w:rPr>
          <w:rFonts w:ascii="Times New Roman" w:eastAsia="Times New Roman" w:hAnsi="Times New Roman" w:cs="Times New Roman"/>
          <w:sz w:val="24"/>
          <w:szCs w:val="24"/>
        </w:rPr>
        <w:t>Os trabalhadores seniores possuem um conhecimento tácito valioso, acumulado ao longo de suas longas trajetórias profissionais, que é essencial para a preservação da memória organizacional e a inovação dentro das empresas (FASBENDER et al., 2021; KOOIJ et al., 2020). No entanto, a resistência à adoção de novas tecnologias e os preconceitos etários podem criar barreiras significativas à plena integração desses profissionais em ambientes de trabalho que utilizam inteligência artificial (POSTHUMA; CAMPION, 2009; HARDY; CASTONGUAY, 2018). A literatura existente frequentemente não aborda de maneira abrangente como as organizações podem efetivamente superar essas barreiras e quais facilitadores podem ser implementados para promover o uso do conhecimento dos trabalhadores seniores.</w:t>
      </w:r>
    </w:p>
    <w:p w14:paraId="160ECCF0" w14:textId="77777777" w:rsidR="00FC4A6A" w:rsidRPr="00FC4A6A" w:rsidRDefault="00FC4A6A" w:rsidP="00FC4A6A">
      <w:pPr>
        <w:spacing w:line="360" w:lineRule="auto"/>
        <w:ind w:firstLine="720"/>
        <w:jc w:val="both"/>
        <w:rPr>
          <w:rFonts w:ascii="Times New Roman" w:eastAsia="Times New Roman" w:hAnsi="Times New Roman" w:cs="Times New Roman"/>
          <w:sz w:val="24"/>
          <w:szCs w:val="24"/>
        </w:rPr>
      </w:pPr>
      <w:r w:rsidRPr="00FC4A6A">
        <w:rPr>
          <w:rFonts w:ascii="Times New Roman" w:eastAsia="Times New Roman" w:hAnsi="Times New Roman" w:cs="Times New Roman"/>
          <w:sz w:val="24"/>
          <w:szCs w:val="24"/>
        </w:rPr>
        <w:t>Diante desse cenário, a presente pesquisa teve como objetivo identificar as barreiras e facilitadores ao uso do conhecimento tácito dos colaboradores seniores nos processos de empresas de manufatura, no contexto do uso de Inteligência Artificial.</w:t>
      </w:r>
    </w:p>
    <w:p w14:paraId="50D8BF2B" w14:textId="77777777" w:rsidR="00FC4A6A" w:rsidRPr="00FC4A6A" w:rsidRDefault="00FC4A6A" w:rsidP="00FC4A6A">
      <w:pPr>
        <w:spacing w:line="360" w:lineRule="auto"/>
        <w:ind w:firstLine="720"/>
        <w:jc w:val="both"/>
        <w:rPr>
          <w:rFonts w:ascii="Times New Roman" w:eastAsia="Times New Roman" w:hAnsi="Times New Roman" w:cs="Times New Roman"/>
          <w:sz w:val="24"/>
          <w:szCs w:val="24"/>
        </w:rPr>
      </w:pPr>
      <w:r w:rsidRPr="00FC4A6A">
        <w:rPr>
          <w:rFonts w:ascii="Times New Roman" w:eastAsia="Times New Roman" w:hAnsi="Times New Roman" w:cs="Times New Roman"/>
          <w:sz w:val="24"/>
          <w:szCs w:val="24"/>
        </w:rPr>
        <w:t>O método de pesquisa foi uma pesquisa de natureza exploratória, de natureza descritiva, através de uma revisão da literatura, permitindo uma análise teórica sobre o tema.</w:t>
      </w:r>
    </w:p>
    <w:p w14:paraId="14055A4D" w14:textId="262AC65D" w:rsidR="00B009E4" w:rsidRDefault="00FC4A6A" w:rsidP="00FC4A6A">
      <w:pPr>
        <w:spacing w:line="360" w:lineRule="auto"/>
        <w:ind w:firstLine="720"/>
        <w:jc w:val="both"/>
        <w:rPr>
          <w:rFonts w:ascii="Times New Roman" w:eastAsia="Times New Roman" w:hAnsi="Times New Roman" w:cs="Times New Roman"/>
          <w:sz w:val="24"/>
          <w:szCs w:val="24"/>
        </w:rPr>
      </w:pPr>
      <w:r w:rsidRPr="00FC4A6A">
        <w:rPr>
          <w:rFonts w:ascii="Times New Roman" w:eastAsia="Times New Roman" w:hAnsi="Times New Roman" w:cs="Times New Roman"/>
          <w:sz w:val="24"/>
          <w:szCs w:val="24"/>
        </w:rPr>
        <w:t xml:space="preserve">A relevância deste trabalho reside na sua capacidade de oferecer insights práticos para gestores e pesquisadores, ampliando a compreensão sobre a importância da gestão do conhecimento em um cenário de crescente adoção de inteligência artificial. Ao explorar as dinâmicas de integração do conhecimento dos trabalhadores seniores, este estudo visa contribuir para a formulação de estratégias organizacionais que promovam o uso da experiência desses profissionais, destacando seu papel no ambiente digitalizado da </w:t>
      </w:r>
      <w:r w:rsidRPr="00FC4A6A">
        <w:rPr>
          <w:rFonts w:ascii="Times New Roman" w:eastAsia="Times New Roman" w:hAnsi="Times New Roman" w:cs="Times New Roman"/>
          <w:sz w:val="24"/>
          <w:szCs w:val="24"/>
        </w:rPr>
        <w:lastRenderedPageBreak/>
        <w:t>manufatura. Além disso, espera-se que os resultados ajudem a identificar práticas que possam facilitar o uso do conhecimento dos trabalhadores seniores, garantindo que suas contribuições sejam aproveitadas nas organizações.</w:t>
      </w:r>
    </w:p>
    <w:p w14:paraId="41DCF663" w14:textId="77777777" w:rsidR="00D8471E" w:rsidRDefault="00D8471E">
      <w:pPr>
        <w:pBdr>
          <w:top w:val="nil"/>
          <w:left w:val="nil"/>
          <w:bottom w:val="nil"/>
          <w:right w:val="nil"/>
          <w:between w:val="nil"/>
        </w:pBdr>
        <w:spacing w:line="360" w:lineRule="auto"/>
        <w:ind w:left="426"/>
        <w:jc w:val="both"/>
        <w:rPr>
          <w:rFonts w:ascii="Times New Roman" w:eastAsia="Times New Roman" w:hAnsi="Times New Roman" w:cs="Times New Roman"/>
          <w:b/>
          <w:sz w:val="24"/>
          <w:szCs w:val="24"/>
        </w:rPr>
      </w:pPr>
    </w:p>
    <w:p w14:paraId="54E4FD05" w14:textId="77777777" w:rsidR="00D8471E" w:rsidRDefault="00D1413B">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REFERENCIAL TEÓRICO</w:t>
      </w:r>
    </w:p>
    <w:p w14:paraId="76071BC1" w14:textId="77777777" w:rsidR="00536211" w:rsidRPr="00426FBB" w:rsidRDefault="00536211" w:rsidP="00536211">
      <w:pPr>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sidRPr="00426FBB">
        <w:rPr>
          <w:rFonts w:ascii="Times New Roman" w:eastAsia="Times New Roman" w:hAnsi="Times New Roman" w:cs="Times New Roman"/>
          <w:b/>
          <w:bCs/>
          <w:sz w:val="24"/>
          <w:szCs w:val="24"/>
        </w:rPr>
        <w:t>2.1. Inteligência artificial e o ambiente de trabalho</w:t>
      </w:r>
    </w:p>
    <w:p w14:paraId="68491CCD" w14:textId="77777777" w:rsidR="00536211" w:rsidRDefault="00536211" w:rsidP="00536211">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36211">
        <w:rPr>
          <w:rFonts w:ascii="Times New Roman" w:eastAsia="Times New Roman" w:hAnsi="Times New Roman" w:cs="Times New Roman"/>
          <w:sz w:val="24"/>
          <w:szCs w:val="24"/>
        </w:rPr>
        <w:t xml:space="preserve">A inteligência artificial tem se tornado um elemento central nas discussões sobre a transformação do ambiente de trabalho, especialmente no que se refere à integração de trabalhadores seniores. Segundo </w:t>
      </w:r>
      <w:proofErr w:type="spellStart"/>
      <w:r w:rsidRPr="00536211">
        <w:rPr>
          <w:rFonts w:ascii="Times New Roman" w:eastAsia="Times New Roman" w:hAnsi="Times New Roman" w:cs="Times New Roman"/>
          <w:sz w:val="24"/>
          <w:szCs w:val="24"/>
        </w:rPr>
        <w:t>Vial</w:t>
      </w:r>
      <w:proofErr w:type="spellEnd"/>
      <w:r w:rsidRPr="00536211">
        <w:rPr>
          <w:rFonts w:ascii="Times New Roman" w:eastAsia="Times New Roman" w:hAnsi="Times New Roman" w:cs="Times New Roman"/>
          <w:sz w:val="24"/>
          <w:szCs w:val="24"/>
        </w:rPr>
        <w:t xml:space="preserve"> (2021), a transformação digital consiste em um processo que explora tecnologias digitais para provocar mudanças profundas nos modelos organizacionais, nos processos e nos papéis desempenhados pelos indivíduos. Nesse cenário, a IA configura-se como uma das tecnologias capazes de alterar significativamente a dinâmica do trabalho, influenciando tanto a eficiência operacional quanto a reconfiguração de funções.</w:t>
      </w:r>
    </w:p>
    <w:p w14:paraId="53959092" w14:textId="77777777" w:rsidR="0031678B" w:rsidRDefault="00536211" w:rsidP="00536211">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36211">
        <w:rPr>
          <w:rFonts w:ascii="Times New Roman" w:eastAsia="Times New Roman" w:hAnsi="Times New Roman" w:cs="Times New Roman"/>
          <w:sz w:val="24"/>
          <w:szCs w:val="24"/>
        </w:rPr>
        <w:t xml:space="preserve">Essa mudança exige que os trabalhadores, independentemente da idade, desenvolvam habilidades digitais avançadas e se adaptem a novas formas de atuação. A adoção da inteligência artificial transcende a mera implementação de ferramentas tecnológicas, implicando transformações estruturais que demandam uma cultura organizacional orientada ao aprendizado contínuo e à inovação (KUCHARSKA; ERICKSON, 2023; BRYNJOLFSSON; </w:t>
      </w:r>
      <w:proofErr w:type="spellStart"/>
      <w:r w:rsidRPr="00536211">
        <w:rPr>
          <w:rFonts w:ascii="Times New Roman" w:eastAsia="Times New Roman" w:hAnsi="Times New Roman" w:cs="Times New Roman"/>
          <w:sz w:val="24"/>
          <w:szCs w:val="24"/>
        </w:rPr>
        <w:t>McAFEE</w:t>
      </w:r>
      <w:proofErr w:type="spellEnd"/>
      <w:r w:rsidRPr="00536211">
        <w:rPr>
          <w:rFonts w:ascii="Times New Roman" w:eastAsia="Times New Roman" w:hAnsi="Times New Roman" w:cs="Times New Roman"/>
          <w:sz w:val="24"/>
          <w:szCs w:val="24"/>
        </w:rPr>
        <w:t xml:space="preserve">, 2017). </w:t>
      </w:r>
    </w:p>
    <w:p w14:paraId="3DFC50EB" w14:textId="7DA8E63C" w:rsidR="00536211" w:rsidRPr="00536211" w:rsidRDefault="00536211" w:rsidP="00536211">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36211">
        <w:rPr>
          <w:rFonts w:ascii="Times New Roman" w:eastAsia="Times New Roman" w:hAnsi="Times New Roman" w:cs="Times New Roman"/>
          <w:sz w:val="24"/>
          <w:szCs w:val="24"/>
        </w:rPr>
        <w:t>Nesse contexto, a pressão competitiva por adaptação rápida às inovações tecnológicas reforça a importância de mecanismos que promovam o uso do conhecimento tácito dos trabalhadores seniores, cuja experiência acumulada representa um recurso estratégico para a gestão do conhecimento e para a promoção da inovação organizacional (FASBENDER; GERPOTT; UNGER, 2021; ALAVI; LEIDNER, 2001).</w:t>
      </w:r>
    </w:p>
    <w:p w14:paraId="660F5AA0" w14:textId="77777777" w:rsidR="00426FBB" w:rsidRDefault="00426FBB" w:rsidP="00426FBB">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422D2FEA" w14:textId="2C29BAEF" w:rsidR="00536211" w:rsidRPr="00426FBB" w:rsidRDefault="00536211" w:rsidP="00426FBB">
      <w:pPr>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sidRPr="00426FBB">
        <w:rPr>
          <w:rFonts w:ascii="Times New Roman" w:eastAsia="Times New Roman" w:hAnsi="Times New Roman" w:cs="Times New Roman"/>
          <w:b/>
          <w:bCs/>
          <w:sz w:val="24"/>
          <w:szCs w:val="24"/>
        </w:rPr>
        <w:t>2.2</w:t>
      </w:r>
      <w:r w:rsidR="00426FBB" w:rsidRPr="00426FBB">
        <w:rPr>
          <w:rFonts w:ascii="Times New Roman" w:eastAsia="Times New Roman" w:hAnsi="Times New Roman" w:cs="Times New Roman"/>
          <w:b/>
          <w:bCs/>
          <w:sz w:val="24"/>
          <w:szCs w:val="24"/>
        </w:rPr>
        <w:t xml:space="preserve">. </w:t>
      </w:r>
      <w:r w:rsidRPr="00426FBB">
        <w:rPr>
          <w:rFonts w:ascii="Times New Roman" w:eastAsia="Times New Roman" w:hAnsi="Times New Roman" w:cs="Times New Roman"/>
          <w:b/>
          <w:bCs/>
          <w:sz w:val="24"/>
          <w:szCs w:val="24"/>
        </w:rPr>
        <w:t>O envelhecimento da força de trabalho</w:t>
      </w:r>
    </w:p>
    <w:p w14:paraId="6074DE51" w14:textId="77777777" w:rsidR="00426FBB" w:rsidRDefault="00536211" w:rsidP="00426FBB">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36211">
        <w:rPr>
          <w:rFonts w:ascii="Times New Roman" w:eastAsia="Times New Roman" w:hAnsi="Times New Roman" w:cs="Times New Roman"/>
          <w:sz w:val="24"/>
          <w:szCs w:val="24"/>
        </w:rPr>
        <w:t xml:space="preserve">O envelhecimento da força de trabalho constitui uma tendência demográfica global que impõe desafios e oferece oportunidades relevantes para as organizações contemporâneas. De acordo com a Organização das Nações Unidas (2019), a população mundial com 60 anos ou mais deverá dobrar até 2050, o que reforça a urgência de integrar trabalhadores seniores nas dinâmicas produtivas atuais. O aumento da expectativa de vida, aliado às mudanças nas políticas de bem-estar social, tem incentivado os trabalhadores mais velhos a permanecerem </w:t>
      </w:r>
      <w:r w:rsidRPr="00536211">
        <w:rPr>
          <w:rFonts w:ascii="Times New Roman" w:eastAsia="Times New Roman" w:hAnsi="Times New Roman" w:cs="Times New Roman"/>
          <w:sz w:val="24"/>
          <w:szCs w:val="24"/>
        </w:rPr>
        <w:lastRenderedPageBreak/>
        <w:t>ativos por mais tempo, exigindo das organizações estratégias voltadas à inclusão e valorização dessa parcela da força laboral (GUERREIRO; SILVA, 2021; LEE et al., 2022).</w:t>
      </w:r>
    </w:p>
    <w:p w14:paraId="7CAD5791" w14:textId="77777777" w:rsidR="00426FBB" w:rsidRDefault="00536211" w:rsidP="00426FBB">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36211">
        <w:rPr>
          <w:rFonts w:ascii="Times New Roman" w:eastAsia="Times New Roman" w:hAnsi="Times New Roman" w:cs="Times New Roman"/>
          <w:sz w:val="24"/>
          <w:szCs w:val="24"/>
        </w:rPr>
        <w:t>Estudos apontam que trabalhadores seniores exercem papel central na preservação da memória organizacional, contribuindo para a transferência de conhecimento e para a promoção da inovação (FASBENDER; GERPOTT; UNGER, 2021). A experiência acumulada ao longo da carreira favorece a resolução de problemas complexos e a tomada de decisões mais fundamentadas, especialmente em contextos que demandam análise crítica e julgamento estratégico. No entanto, barreiras como a resistência à adoção de novas tecnologias e o etarismo ainda limitam a plena participação desses profissionais no ambiente organizacional (POSTHUMA; CAMPION, 2009; HARDY; CASTONGUAY, 2018).</w:t>
      </w:r>
    </w:p>
    <w:p w14:paraId="6DF2D21B" w14:textId="152D0F36" w:rsidR="00D8471E" w:rsidRDefault="00536211" w:rsidP="00426FBB">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36211">
        <w:rPr>
          <w:rFonts w:ascii="Times New Roman" w:eastAsia="Times New Roman" w:hAnsi="Times New Roman" w:cs="Times New Roman"/>
          <w:sz w:val="24"/>
          <w:szCs w:val="24"/>
        </w:rPr>
        <w:t>Nesse sentido, torna-se necessário que as organizações desenvolvam políticas ativas que não apenas promovam a inclusão, mas também possibilitem a capacitação contínua dos trabalhadores seniores, com foco na atualização digital e na adaptação às novas exigências do mercado de trabalho.</w:t>
      </w:r>
    </w:p>
    <w:p w14:paraId="4F97F8D7" w14:textId="77777777" w:rsidR="00A04CEC" w:rsidRDefault="00A04CEC" w:rsidP="00A04CEC">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2A7A9AE5" w14:textId="6B1B2B28" w:rsidR="001C3D0B" w:rsidRPr="00945B47" w:rsidRDefault="001C3D0B" w:rsidP="001C3D0B">
      <w:pPr>
        <w:keepNext/>
        <w:spacing w:after="200" w:line="240" w:lineRule="auto"/>
        <w:jc w:val="center"/>
        <w:rPr>
          <w:rFonts w:ascii="Times New Roman" w:hAnsi="Times New Roman" w:cs="Times New Roman"/>
          <w:i/>
          <w:iCs/>
        </w:rPr>
      </w:pPr>
      <w:r w:rsidRPr="00B22CCA">
        <w:rPr>
          <w:rFonts w:ascii="Times New Roman" w:hAnsi="Times New Roman" w:cs="Times New Roman"/>
          <w:i/>
          <w:iCs/>
        </w:rPr>
        <w:t>Quadro</w:t>
      </w:r>
      <w:r w:rsidRPr="00945B47">
        <w:rPr>
          <w:rFonts w:ascii="Times New Roman" w:hAnsi="Times New Roman" w:cs="Times New Roman"/>
          <w:i/>
          <w:iCs/>
        </w:rPr>
        <w:t xml:space="preserve"> </w:t>
      </w:r>
      <w:r w:rsidRPr="00945B47">
        <w:rPr>
          <w:rFonts w:ascii="Times New Roman" w:hAnsi="Times New Roman" w:cs="Times New Roman"/>
          <w:i/>
          <w:iCs/>
        </w:rPr>
        <w:fldChar w:fldCharType="begin"/>
      </w:r>
      <w:r w:rsidRPr="00945B47">
        <w:rPr>
          <w:rFonts w:ascii="Times New Roman" w:hAnsi="Times New Roman" w:cs="Times New Roman"/>
          <w:i/>
          <w:iCs/>
        </w:rPr>
        <w:instrText xml:space="preserve"> SEQ Tabela \* ARABIC </w:instrText>
      </w:r>
      <w:r w:rsidRPr="00945B47">
        <w:rPr>
          <w:rFonts w:ascii="Times New Roman" w:hAnsi="Times New Roman" w:cs="Times New Roman"/>
          <w:i/>
          <w:iCs/>
        </w:rPr>
        <w:fldChar w:fldCharType="separate"/>
      </w:r>
      <w:r w:rsidR="00AD55D8">
        <w:rPr>
          <w:rFonts w:ascii="Times New Roman" w:hAnsi="Times New Roman" w:cs="Times New Roman"/>
          <w:i/>
          <w:iCs/>
          <w:noProof/>
        </w:rPr>
        <w:t>1</w:t>
      </w:r>
      <w:r w:rsidRPr="00945B47">
        <w:rPr>
          <w:rFonts w:ascii="Times New Roman" w:hAnsi="Times New Roman" w:cs="Times New Roman"/>
          <w:i/>
          <w:iCs/>
        </w:rPr>
        <w:fldChar w:fldCharType="end"/>
      </w:r>
      <w:r w:rsidRPr="00945B47">
        <w:rPr>
          <w:rFonts w:ascii="Times New Roman" w:hAnsi="Times New Roman" w:cs="Times New Roman"/>
          <w:i/>
          <w:iCs/>
        </w:rPr>
        <w:t xml:space="preserve">. </w:t>
      </w:r>
      <w:r w:rsidRPr="00B22CCA">
        <w:rPr>
          <w:rFonts w:ascii="Times New Roman" w:hAnsi="Times New Roman" w:cs="Times New Roman"/>
          <w:i/>
          <w:iCs/>
        </w:rPr>
        <w:t>Síntese</w:t>
      </w:r>
      <w:r w:rsidRPr="00945B47">
        <w:rPr>
          <w:rFonts w:ascii="Times New Roman" w:hAnsi="Times New Roman" w:cs="Times New Roman"/>
          <w:i/>
          <w:iCs/>
        </w:rPr>
        <w:t>: envelhecimento da força de trabalho</w:t>
      </w:r>
    </w:p>
    <w:tbl>
      <w:tblPr>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4252"/>
        <w:gridCol w:w="2691"/>
      </w:tblGrid>
      <w:tr w:rsidR="001C3D0B" w:rsidRPr="00945B47" w14:paraId="2888DA82" w14:textId="77777777" w:rsidTr="00285CFC">
        <w:tc>
          <w:tcPr>
            <w:tcW w:w="2122" w:type="dxa"/>
            <w:vAlign w:val="center"/>
          </w:tcPr>
          <w:p w14:paraId="3C95164A" w14:textId="77777777" w:rsidR="001C3D0B" w:rsidRPr="00945B47" w:rsidRDefault="001C3D0B" w:rsidP="00285CFC">
            <w:pPr>
              <w:spacing w:line="360" w:lineRule="auto"/>
              <w:jc w:val="center"/>
              <w:rPr>
                <w:rFonts w:ascii="Times New Roman" w:eastAsia="Times New Roman" w:hAnsi="Times New Roman" w:cs="Times New Roman"/>
                <w:b/>
                <w:sz w:val="20"/>
                <w:szCs w:val="20"/>
              </w:rPr>
            </w:pPr>
            <w:r w:rsidRPr="00945B47">
              <w:rPr>
                <w:rFonts w:ascii="Times New Roman" w:eastAsia="Times New Roman" w:hAnsi="Times New Roman" w:cs="Times New Roman"/>
                <w:b/>
                <w:sz w:val="20"/>
                <w:szCs w:val="20"/>
              </w:rPr>
              <w:t>Conceito</w:t>
            </w:r>
          </w:p>
        </w:tc>
        <w:tc>
          <w:tcPr>
            <w:tcW w:w="4252" w:type="dxa"/>
            <w:vAlign w:val="center"/>
          </w:tcPr>
          <w:p w14:paraId="3E84D938" w14:textId="77777777" w:rsidR="001C3D0B" w:rsidRPr="00945B47" w:rsidRDefault="001C3D0B" w:rsidP="00285CFC">
            <w:pPr>
              <w:spacing w:line="360" w:lineRule="auto"/>
              <w:jc w:val="center"/>
              <w:rPr>
                <w:rFonts w:ascii="Times New Roman" w:eastAsia="Times New Roman" w:hAnsi="Times New Roman" w:cs="Times New Roman"/>
                <w:b/>
                <w:sz w:val="20"/>
                <w:szCs w:val="20"/>
              </w:rPr>
            </w:pPr>
            <w:r w:rsidRPr="00945B47">
              <w:rPr>
                <w:rFonts w:ascii="Times New Roman" w:eastAsia="Times New Roman" w:hAnsi="Times New Roman" w:cs="Times New Roman"/>
                <w:b/>
                <w:sz w:val="20"/>
                <w:szCs w:val="20"/>
              </w:rPr>
              <w:t>Definição / Características</w:t>
            </w:r>
          </w:p>
        </w:tc>
        <w:tc>
          <w:tcPr>
            <w:tcW w:w="2691" w:type="dxa"/>
            <w:vAlign w:val="center"/>
          </w:tcPr>
          <w:p w14:paraId="098E0600" w14:textId="77777777" w:rsidR="001C3D0B" w:rsidRPr="00945B47" w:rsidRDefault="001C3D0B" w:rsidP="00285CFC">
            <w:pPr>
              <w:spacing w:line="360" w:lineRule="auto"/>
              <w:jc w:val="center"/>
              <w:rPr>
                <w:rFonts w:ascii="Times New Roman" w:eastAsia="Times New Roman" w:hAnsi="Times New Roman" w:cs="Times New Roman"/>
                <w:b/>
                <w:sz w:val="20"/>
                <w:szCs w:val="20"/>
              </w:rPr>
            </w:pPr>
            <w:r w:rsidRPr="00945B47">
              <w:rPr>
                <w:rFonts w:ascii="Times New Roman" w:eastAsia="Times New Roman" w:hAnsi="Times New Roman" w:cs="Times New Roman"/>
                <w:b/>
                <w:sz w:val="20"/>
                <w:szCs w:val="20"/>
              </w:rPr>
              <w:t>Autor</w:t>
            </w:r>
          </w:p>
        </w:tc>
      </w:tr>
      <w:tr w:rsidR="001C3D0B" w:rsidRPr="00945B47" w14:paraId="3E9E3BFC" w14:textId="77777777" w:rsidTr="00285CFC">
        <w:trPr>
          <w:trHeight w:val="916"/>
        </w:trPr>
        <w:tc>
          <w:tcPr>
            <w:tcW w:w="2122" w:type="dxa"/>
            <w:vAlign w:val="center"/>
          </w:tcPr>
          <w:p w14:paraId="25338305" w14:textId="77777777" w:rsidR="001C3D0B" w:rsidRPr="00945B47" w:rsidRDefault="001C3D0B" w:rsidP="00285CFC">
            <w:pPr>
              <w:rPr>
                <w:rFonts w:ascii="Times New Roman" w:eastAsia="Times New Roman" w:hAnsi="Times New Roman" w:cs="Times New Roman"/>
                <w:sz w:val="20"/>
                <w:szCs w:val="20"/>
              </w:rPr>
            </w:pPr>
            <w:r w:rsidRPr="00945B47">
              <w:rPr>
                <w:rFonts w:ascii="Times New Roman" w:eastAsia="Times New Roman" w:hAnsi="Times New Roman" w:cs="Times New Roman"/>
                <w:sz w:val="20"/>
                <w:szCs w:val="20"/>
              </w:rPr>
              <w:t>Trabalhador sênior</w:t>
            </w:r>
          </w:p>
        </w:tc>
        <w:tc>
          <w:tcPr>
            <w:tcW w:w="4252" w:type="dxa"/>
            <w:vAlign w:val="center"/>
          </w:tcPr>
          <w:p w14:paraId="44362FD5" w14:textId="77777777" w:rsidR="001C3D0B" w:rsidRPr="00945B47" w:rsidRDefault="001C3D0B" w:rsidP="00285CFC">
            <w:pPr>
              <w:rPr>
                <w:rFonts w:ascii="Times New Roman" w:eastAsia="Times New Roman" w:hAnsi="Times New Roman" w:cs="Times New Roman"/>
                <w:sz w:val="20"/>
                <w:szCs w:val="20"/>
              </w:rPr>
            </w:pPr>
            <w:r w:rsidRPr="00945B47">
              <w:rPr>
                <w:rFonts w:ascii="Times New Roman" w:eastAsia="Times New Roman" w:hAnsi="Times New Roman" w:cs="Times New Roman"/>
                <w:sz w:val="20"/>
                <w:szCs w:val="20"/>
              </w:rPr>
              <w:t>Pessoas com 50 anos ou mais são geralmente classificadas como trabalhadores mais velhos.</w:t>
            </w:r>
          </w:p>
        </w:tc>
        <w:tc>
          <w:tcPr>
            <w:tcW w:w="2691" w:type="dxa"/>
            <w:vAlign w:val="center"/>
          </w:tcPr>
          <w:p w14:paraId="6DD5D020" w14:textId="77777777" w:rsidR="001C3D0B" w:rsidRPr="00945B47" w:rsidRDefault="001C3D0B" w:rsidP="00285CFC">
            <w:pPr>
              <w:rPr>
                <w:rFonts w:ascii="Times New Roman" w:eastAsia="Times New Roman" w:hAnsi="Times New Roman" w:cs="Times New Roman"/>
                <w:sz w:val="20"/>
                <w:szCs w:val="20"/>
              </w:rPr>
            </w:pPr>
            <w:proofErr w:type="spellStart"/>
            <w:r w:rsidRPr="00945B47">
              <w:rPr>
                <w:rFonts w:ascii="Times New Roman" w:eastAsia="Times New Roman" w:hAnsi="Times New Roman" w:cs="Times New Roman"/>
                <w:sz w:val="20"/>
                <w:szCs w:val="20"/>
              </w:rPr>
              <w:t>Caines</w:t>
            </w:r>
            <w:proofErr w:type="spellEnd"/>
            <w:r w:rsidRPr="00945B47">
              <w:rPr>
                <w:rFonts w:ascii="Times New Roman" w:eastAsia="Times New Roman" w:hAnsi="Times New Roman" w:cs="Times New Roman"/>
                <w:sz w:val="20"/>
                <w:szCs w:val="20"/>
              </w:rPr>
              <w:t xml:space="preserve"> et al. (2020)</w:t>
            </w:r>
          </w:p>
        </w:tc>
      </w:tr>
      <w:tr w:rsidR="001C3D0B" w:rsidRPr="00945B47" w14:paraId="03AE006E" w14:textId="77777777" w:rsidTr="00285CFC">
        <w:trPr>
          <w:trHeight w:val="699"/>
        </w:trPr>
        <w:tc>
          <w:tcPr>
            <w:tcW w:w="2122" w:type="dxa"/>
            <w:vAlign w:val="center"/>
          </w:tcPr>
          <w:p w14:paraId="576FFCCD" w14:textId="77777777" w:rsidR="001C3D0B" w:rsidRPr="00945B47" w:rsidRDefault="001C3D0B" w:rsidP="00285CFC">
            <w:pPr>
              <w:rPr>
                <w:rFonts w:ascii="Times New Roman" w:eastAsia="Times New Roman" w:hAnsi="Times New Roman" w:cs="Times New Roman"/>
                <w:sz w:val="20"/>
                <w:szCs w:val="20"/>
              </w:rPr>
            </w:pPr>
            <w:r w:rsidRPr="00945B47">
              <w:rPr>
                <w:rFonts w:ascii="Times New Roman" w:eastAsia="Times New Roman" w:hAnsi="Times New Roman" w:cs="Times New Roman"/>
                <w:sz w:val="20"/>
                <w:szCs w:val="20"/>
              </w:rPr>
              <w:t>Consequências do envelhecimento da força de trabalho</w:t>
            </w:r>
          </w:p>
        </w:tc>
        <w:tc>
          <w:tcPr>
            <w:tcW w:w="4252" w:type="dxa"/>
            <w:vAlign w:val="center"/>
          </w:tcPr>
          <w:p w14:paraId="7E421E88" w14:textId="77777777" w:rsidR="001C3D0B" w:rsidRPr="00945B47" w:rsidRDefault="001C3D0B" w:rsidP="00285CFC">
            <w:pPr>
              <w:rPr>
                <w:rFonts w:ascii="Times New Roman" w:eastAsia="Times New Roman" w:hAnsi="Times New Roman" w:cs="Times New Roman"/>
                <w:sz w:val="20"/>
                <w:szCs w:val="20"/>
              </w:rPr>
            </w:pPr>
            <w:r w:rsidRPr="00945B47">
              <w:rPr>
                <w:rFonts w:ascii="Times New Roman" w:eastAsia="Times New Roman" w:hAnsi="Times New Roman" w:cs="Times New Roman"/>
                <w:sz w:val="20"/>
                <w:szCs w:val="20"/>
              </w:rPr>
              <w:t xml:space="preserve">Aumento da necessidade de retenção de talentos </w:t>
            </w:r>
            <w:r>
              <w:rPr>
                <w:rFonts w:ascii="Times New Roman" w:eastAsia="Times New Roman" w:hAnsi="Times New Roman" w:cs="Times New Roman"/>
                <w:sz w:val="20"/>
                <w:szCs w:val="20"/>
              </w:rPr>
              <w:br/>
            </w:r>
          </w:p>
          <w:p w14:paraId="499A5459" w14:textId="77777777" w:rsidR="001C3D0B" w:rsidRPr="00945B47" w:rsidRDefault="001C3D0B" w:rsidP="00285CFC">
            <w:pPr>
              <w:rPr>
                <w:rFonts w:ascii="Times New Roman" w:eastAsia="Times New Roman" w:hAnsi="Times New Roman" w:cs="Times New Roman"/>
                <w:sz w:val="20"/>
                <w:szCs w:val="20"/>
              </w:rPr>
            </w:pPr>
            <w:r w:rsidRPr="00945B47">
              <w:rPr>
                <w:rFonts w:ascii="Times New Roman" w:eastAsia="Times New Roman" w:hAnsi="Times New Roman" w:cs="Times New Roman"/>
                <w:sz w:val="20"/>
                <w:szCs w:val="20"/>
              </w:rPr>
              <w:t xml:space="preserve">Valorização da experiência e do conhecimento acumulado </w:t>
            </w:r>
          </w:p>
          <w:p w14:paraId="40A2A76F" w14:textId="77777777" w:rsidR="001C3D0B" w:rsidRPr="00945B47" w:rsidRDefault="001C3D0B" w:rsidP="00285CFC">
            <w:pPr>
              <w:rPr>
                <w:rFonts w:ascii="Times New Roman" w:eastAsia="Times New Roman" w:hAnsi="Times New Roman" w:cs="Times New Roman"/>
                <w:sz w:val="20"/>
                <w:szCs w:val="20"/>
              </w:rPr>
            </w:pPr>
          </w:p>
          <w:p w14:paraId="3AFE23A4" w14:textId="77777777" w:rsidR="001C3D0B" w:rsidRPr="00945B47" w:rsidRDefault="001C3D0B" w:rsidP="00285CFC">
            <w:pPr>
              <w:rPr>
                <w:rFonts w:ascii="Times New Roman" w:eastAsia="Times New Roman" w:hAnsi="Times New Roman" w:cs="Times New Roman"/>
                <w:sz w:val="20"/>
                <w:szCs w:val="20"/>
              </w:rPr>
            </w:pPr>
            <w:r w:rsidRPr="00945B47">
              <w:rPr>
                <w:rFonts w:ascii="Times New Roman" w:eastAsia="Times New Roman" w:hAnsi="Times New Roman" w:cs="Times New Roman"/>
                <w:sz w:val="20"/>
                <w:szCs w:val="20"/>
              </w:rPr>
              <w:t xml:space="preserve">Desafios na adaptação a novas tecnologias </w:t>
            </w:r>
          </w:p>
          <w:p w14:paraId="42AA2E02" w14:textId="77777777" w:rsidR="001C3D0B" w:rsidRPr="00945B47" w:rsidRDefault="001C3D0B" w:rsidP="00285CFC">
            <w:pPr>
              <w:rPr>
                <w:rFonts w:ascii="Times New Roman" w:eastAsia="Times New Roman" w:hAnsi="Times New Roman" w:cs="Times New Roman"/>
                <w:sz w:val="20"/>
                <w:szCs w:val="20"/>
              </w:rPr>
            </w:pPr>
          </w:p>
          <w:p w14:paraId="15B3DDFE" w14:textId="77777777" w:rsidR="001C3D0B" w:rsidRPr="00945B47" w:rsidRDefault="001C3D0B" w:rsidP="00285CFC">
            <w:pPr>
              <w:rPr>
                <w:rFonts w:ascii="Times New Roman" w:eastAsia="Times New Roman" w:hAnsi="Times New Roman" w:cs="Times New Roman"/>
                <w:sz w:val="20"/>
                <w:szCs w:val="20"/>
              </w:rPr>
            </w:pPr>
            <w:r w:rsidRPr="00945B47">
              <w:rPr>
                <w:rFonts w:ascii="Times New Roman" w:eastAsia="Times New Roman" w:hAnsi="Times New Roman" w:cs="Times New Roman"/>
                <w:sz w:val="20"/>
                <w:szCs w:val="20"/>
              </w:rPr>
              <w:t xml:space="preserve">Impacto na produtividade e necessidade de adaptação organizacional </w:t>
            </w:r>
          </w:p>
          <w:p w14:paraId="305815E4" w14:textId="77777777" w:rsidR="001C3D0B" w:rsidRPr="00945B47" w:rsidRDefault="001C3D0B" w:rsidP="00285CFC">
            <w:pPr>
              <w:rPr>
                <w:rFonts w:ascii="Times New Roman" w:eastAsia="Times New Roman" w:hAnsi="Times New Roman" w:cs="Times New Roman"/>
                <w:sz w:val="20"/>
                <w:szCs w:val="20"/>
              </w:rPr>
            </w:pPr>
          </w:p>
          <w:p w14:paraId="3E4CA3A5" w14:textId="77777777" w:rsidR="001C3D0B" w:rsidRPr="00945B47" w:rsidRDefault="001C3D0B" w:rsidP="00285CFC">
            <w:pPr>
              <w:rPr>
                <w:rFonts w:ascii="Times New Roman" w:eastAsia="Times New Roman" w:hAnsi="Times New Roman" w:cs="Times New Roman"/>
                <w:sz w:val="20"/>
                <w:szCs w:val="20"/>
              </w:rPr>
            </w:pPr>
            <w:r w:rsidRPr="00945B47">
              <w:rPr>
                <w:rFonts w:ascii="Times New Roman" w:eastAsia="Times New Roman" w:hAnsi="Times New Roman" w:cs="Times New Roman"/>
                <w:sz w:val="20"/>
                <w:szCs w:val="20"/>
              </w:rPr>
              <w:t xml:space="preserve">Possibilidade de exclusão digital e baixa autoeficácia tecnológica </w:t>
            </w:r>
          </w:p>
          <w:p w14:paraId="1D2EC64A" w14:textId="77777777" w:rsidR="001C3D0B" w:rsidRPr="00945B47" w:rsidRDefault="001C3D0B" w:rsidP="00285CFC">
            <w:pPr>
              <w:rPr>
                <w:rFonts w:ascii="Times New Roman" w:eastAsia="Times New Roman" w:hAnsi="Times New Roman" w:cs="Times New Roman"/>
                <w:sz w:val="20"/>
                <w:szCs w:val="20"/>
              </w:rPr>
            </w:pPr>
          </w:p>
          <w:p w14:paraId="2679B417" w14:textId="77777777" w:rsidR="001C3D0B" w:rsidRPr="00945B47" w:rsidRDefault="001C3D0B" w:rsidP="00285CFC">
            <w:pPr>
              <w:rPr>
                <w:rFonts w:ascii="Times New Roman" w:eastAsia="Times New Roman" w:hAnsi="Times New Roman" w:cs="Times New Roman"/>
                <w:sz w:val="20"/>
                <w:szCs w:val="20"/>
              </w:rPr>
            </w:pPr>
            <w:r w:rsidRPr="00945B47">
              <w:rPr>
                <w:rFonts w:ascii="Times New Roman" w:eastAsia="Times New Roman" w:hAnsi="Times New Roman" w:cs="Times New Roman"/>
                <w:sz w:val="20"/>
                <w:szCs w:val="20"/>
              </w:rPr>
              <w:t xml:space="preserve">Importância de programas de treinamento para inclusão digital </w:t>
            </w:r>
          </w:p>
        </w:tc>
        <w:tc>
          <w:tcPr>
            <w:tcW w:w="2691" w:type="dxa"/>
            <w:vAlign w:val="center"/>
          </w:tcPr>
          <w:p w14:paraId="25FE9A78" w14:textId="77777777" w:rsidR="001C3D0B" w:rsidRDefault="001C3D0B" w:rsidP="00285CFC">
            <w:pPr>
              <w:rPr>
                <w:rFonts w:ascii="Times New Roman" w:eastAsia="Times New Roman" w:hAnsi="Times New Roman" w:cs="Times New Roman"/>
                <w:sz w:val="20"/>
                <w:szCs w:val="20"/>
                <w:lang w:val="en-US"/>
              </w:rPr>
            </w:pPr>
            <w:r w:rsidRPr="00945B47">
              <w:rPr>
                <w:rFonts w:ascii="Times New Roman" w:eastAsia="Times New Roman" w:hAnsi="Times New Roman" w:cs="Times New Roman"/>
                <w:sz w:val="20"/>
                <w:szCs w:val="20"/>
                <w:lang w:val="en-US"/>
              </w:rPr>
              <w:t>Cascio, 2019</w:t>
            </w:r>
          </w:p>
          <w:p w14:paraId="3378A557" w14:textId="77777777" w:rsidR="001C3D0B" w:rsidRDefault="001C3D0B" w:rsidP="00285CFC">
            <w:pPr>
              <w:rPr>
                <w:rFonts w:ascii="Times New Roman" w:eastAsia="Times New Roman" w:hAnsi="Times New Roman" w:cs="Times New Roman"/>
                <w:sz w:val="20"/>
                <w:szCs w:val="20"/>
                <w:lang w:val="en-US"/>
              </w:rPr>
            </w:pPr>
            <w:r w:rsidRPr="00945B47">
              <w:rPr>
                <w:rFonts w:ascii="Times New Roman" w:eastAsia="Times New Roman" w:hAnsi="Times New Roman" w:cs="Times New Roman"/>
                <w:sz w:val="20"/>
                <w:szCs w:val="20"/>
                <w:lang w:val="en-US"/>
              </w:rPr>
              <w:br/>
              <w:t>Burmeister et al., 2020</w:t>
            </w:r>
          </w:p>
          <w:p w14:paraId="366BD9D7" w14:textId="77777777" w:rsidR="001C3D0B" w:rsidRDefault="001C3D0B" w:rsidP="00285CFC">
            <w:pPr>
              <w:rPr>
                <w:rFonts w:ascii="Times New Roman" w:eastAsia="Times New Roman" w:hAnsi="Times New Roman" w:cs="Times New Roman"/>
                <w:sz w:val="20"/>
                <w:szCs w:val="20"/>
                <w:lang w:val="en-US"/>
              </w:rPr>
            </w:pPr>
          </w:p>
          <w:p w14:paraId="6290E1C6" w14:textId="77777777" w:rsidR="001C3D0B" w:rsidRPr="00945B47" w:rsidRDefault="001C3D0B" w:rsidP="00285CFC">
            <w:pPr>
              <w:rPr>
                <w:rFonts w:ascii="Times New Roman" w:eastAsia="Times New Roman" w:hAnsi="Times New Roman" w:cs="Times New Roman"/>
                <w:sz w:val="20"/>
                <w:szCs w:val="20"/>
                <w:lang w:val="en-US"/>
              </w:rPr>
            </w:pPr>
            <w:r w:rsidRPr="00945B47">
              <w:rPr>
                <w:rFonts w:ascii="Times New Roman" w:eastAsia="Times New Roman" w:hAnsi="Times New Roman" w:cs="Times New Roman"/>
                <w:sz w:val="20"/>
                <w:szCs w:val="20"/>
                <w:lang w:val="en-US"/>
              </w:rPr>
              <w:br/>
            </w:r>
            <w:proofErr w:type="spellStart"/>
            <w:r w:rsidRPr="00945B47">
              <w:rPr>
                <w:rFonts w:ascii="Times New Roman" w:eastAsia="Times New Roman" w:hAnsi="Times New Roman" w:cs="Times New Roman"/>
                <w:sz w:val="20"/>
                <w:szCs w:val="20"/>
                <w:lang w:val="en-US"/>
              </w:rPr>
              <w:t>Hülür</w:t>
            </w:r>
            <w:proofErr w:type="spellEnd"/>
            <w:r w:rsidRPr="00945B47">
              <w:rPr>
                <w:rFonts w:ascii="Times New Roman" w:eastAsia="Times New Roman" w:hAnsi="Times New Roman" w:cs="Times New Roman"/>
                <w:sz w:val="20"/>
                <w:szCs w:val="20"/>
                <w:lang w:val="en-US"/>
              </w:rPr>
              <w:t xml:space="preserve"> &amp; Macdonald, 2020</w:t>
            </w:r>
            <w:r w:rsidRPr="00945B47">
              <w:rPr>
                <w:rFonts w:ascii="Times New Roman" w:eastAsia="Times New Roman" w:hAnsi="Times New Roman" w:cs="Times New Roman"/>
                <w:sz w:val="20"/>
                <w:szCs w:val="20"/>
                <w:lang w:val="en-US"/>
              </w:rPr>
              <w:br/>
            </w:r>
            <w:r w:rsidRPr="00945B47">
              <w:rPr>
                <w:rFonts w:ascii="Times New Roman" w:eastAsia="Times New Roman" w:hAnsi="Times New Roman" w:cs="Times New Roman"/>
                <w:sz w:val="20"/>
                <w:szCs w:val="20"/>
                <w:lang w:val="en-US"/>
              </w:rPr>
              <w:br/>
              <w:t>Fasbender et al., 2019.</w:t>
            </w:r>
          </w:p>
          <w:p w14:paraId="6B324C82" w14:textId="77777777" w:rsidR="001C3D0B" w:rsidRPr="00945B47" w:rsidRDefault="001C3D0B" w:rsidP="00285CFC">
            <w:pPr>
              <w:rPr>
                <w:rFonts w:ascii="Times New Roman" w:eastAsia="Times New Roman" w:hAnsi="Times New Roman" w:cs="Times New Roman"/>
                <w:sz w:val="20"/>
                <w:szCs w:val="20"/>
              </w:rPr>
            </w:pPr>
            <w:r w:rsidRPr="00945B47">
              <w:rPr>
                <w:rFonts w:ascii="Times New Roman" w:eastAsia="Times New Roman" w:hAnsi="Times New Roman" w:cs="Times New Roman"/>
                <w:sz w:val="20"/>
                <w:szCs w:val="20"/>
                <w:lang w:val="en-US"/>
              </w:rPr>
              <w:br/>
            </w:r>
            <w:r w:rsidRPr="00945B47">
              <w:rPr>
                <w:rFonts w:ascii="Times New Roman" w:eastAsia="Times New Roman" w:hAnsi="Times New Roman" w:cs="Times New Roman"/>
                <w:sz w:val="20"/>
                <w:szCs w:val="20"/>
                <w:lang w:val="en-US"/>
              </w:rPr>
              <w:br/>
            </w:r>
            <w:r w:rsidRPr="00CB54C9">
              <w:rPr>
                <w:rFonts w:ascii="Times New Roman" w:eastAsia="Times New Roman" w:hAnsi="Times New Roman" w:cs="Times New Roman"/>
                <w:sz w:val="20"/>
                <w:szCs w:val="20"/>
                <w:lang w:val="en-US"/>
              </w:rPr>
              <w:t>Timming et al., 2023.</w:t>
            </w:r>
            <w:r w:rsidRPr="00CB54C9">
              <w:rPr>
                <w:rFonts w:ascii="Times New Roman" w:eastAsia="Times New Roman" w:hAnsi="Times New Roman" w:cs="Times New Roman"/>
                <w:sz w:val="20"/>
                <w:szCs w:val="20"/>
                <w:lang w:val="en-US"/>
              </w:rPr>
              <w:br/>
            </w:r>
            <w:r w:rsidRPr="00CB54C9">
              <w:rPr>
                <w:rFonts w:ascii="Times New Roman" w:eastAsia="Times New Roman" w:hAnsi="Times New Roman" w:cs="Times New Roman"/>
                <w:sz w:val="20"/>
                <w:szCs w:val="20"/>
                <w:lang w:val="en-US"/>
              </w:rPr>
              <w:br/>
            </w:r>
            <w:r w:rsidRPr="00CB54C9">
              <w:rPr>
                <w:rFonts w:ascii="Times New Roman" w:eastAsia="Times New Roman" w:hAnsi="Times New Roman" w:cs="Times New Roman"/>
                <w:sz w:val="20"/>
                <w:szCs w:val="20"/>
                <w:lang w:val="en-US"/>
              </w:rPr>
              <w:br/>
            </w:r>
            <w:proofErr w:type="spellStart"/>
            <w:r w:rsidRPr="00945B47">
              <w:rPr>
                <w:rFonts w:ascii="Times New Roman" w:eastAsia="Times New Roman" w:hAnsi="Times New Roman" w:cs="Times New Roman"/>
                <w:sz w:val="20"/>
                <w:szCs w:val="20"/>
              </w:rPr>
              <w:t>Davey</w:t>
            </w:r>
            <w:proofErr w:type="spellEnd"/>
            <w:r w:rsidRPr="00945B47">
              <w:rPr>
                <w:rFonts w:ascii="Times New Roman" w:eastAsia="Times New Roman" w:hAnsi="Times New Roman" w:cs="Times New Roman"/>
                <w:sz w:val="20"/>
                <w:szCs w:val="20"/>
              </w:rPr>
              <w:t>, 2018.</w:t>
            </w:r>
          </w:p>
        </w:tc>
      </w:tr>
      <w:tr w:rsidR="001C3D0B" w:rsidRPr="00246F71" w14:paraId="2EC06B39" w14:textId="77777777" w:rsidTr="00285CFC">
        <w:trPr>
          <w:trHeight w:val="992"/>
        </w:trPr>
        <w:tc>
          <w:tcPr>
            <w:tcW w:w="2122" w:type="dxa"/>
            <w:vAlign w:val="center"/>
          </w:tcPr>
          <w:p w14:paraId="45533056" w14:textId="77777777" w:rsidR="001C3D0B" w:rsidRPr="00945B47" w:rsidRDefault="001C3D0B" w:rsidP="00285CFC">
            <w:pPr>
              <w:rPr>
                <w:rFonts w:ascii="Times New Roman" w:eastAsia="Times New Roman" w:hAnsi="Times New Roman" w:cs="Times New Roman"/>
                <w:sz w:val="20"/>
                <w:szCs w:val="20"/>
              </w:rPr>
            </w:pPr>
            <w:r w:rsidRPr="00945B47">
              <w:rPr>
                <w:rFonts w:ascii="Times New Roman" w:eastAsia="Times New Roman" w:hAnsi="Times New Roman" w:cs="Times New Roman"/>
                <w:sz w:val="20"/>
                <w:szCs w:val="20"/>
              </w:rPr>
              <w:t xml:space="preserve">Expertise: </w:t>
            </w:r>
            <w:proofErr w:type="gramStart"/>
            <w:r w:rsidRPr="00945B47">
              <w:rPr>
                <w:rFonts w:ascii="Times New Roman" w:eastAsia="Times New Roman" w:hAnsi="Times New Roman" w:cs="Times New Roman"/>
                <w:sz w:val="20"/>
                <w:szCs w:val="20"/>
              </w:rPr>
              <w:t>trabalhadores sênior</w:t>
            </w:r>
            <w:proofErr w:type="gramEnd"/>
          </w:p>
        </w:tc>
        <w:tc>
          <w:tcPr>
            <w:tcW w:w="4252" w:type="dxa"/>
            <w:vAlign w:val="center"/>
          </w:tcPr>
          <w:p w14:paraId="23722BCF" w14:textId="77777777" w:rsidR="001C3D0B" w:rsidRPr="00945B47" w:rsidRDefault="001C3D0B" w:rsidP="00285CFC">
            <w:pPr>
              <w:rPr>
                <w:rFonts w:ascii="Times New Roman" w:eastAsia="Times New Roman" w:hAnsi="Times New Roman" w:cs="Times New Roman"/>
                <w:sz w:val="20"/>
                <w:szCs w:val="20"/>
              </w:rPr>
            </w:pPr>
            <w:r w:rsidRPr="00945B47">
              <w:rPr>
                <w:rFonts w:ascii="Times New Roman" w:eastAsia="Times New Roman" w:hAnsi="Times New Roman" w:cs="Times New Roman"/>
                <w:sz w:val="20"/>
                <w:szCs w:val="20"/>
              </w:rPr>
              <w:t>Preservação da memória organizacional e na facilitação da gestão do conhecimento.</w:t>
            </w:r>
          </w:p>
        </w:tc>
        <w:tc>
          <w:tcPr>
            <w:tcW w:w="2691" w:type="dxa"/>
            <w:vAlign w:val="center"/>
          </w:tcPr>
          <w:p w14:paraId="6E07727F" w14:textId="77777777" w:rsidR="001C3D0B" w:rsidRPr="00945B47" w:rsidRDefault="001C3D0B" w:rsidP="00285CFC">
            <w:pPr>
              <w:rPr>
                <w:rFonts w:ascii="Times New Roman" w:eastAsia="Times New Roman" w:hAnsi="Times New Roman" w:cs="Times New Roman"/>
                <w:sz w:val="20"/>
                <w:szCs w:val="20"/>
                <w:lang w:val="en-US"/>
              </w:rPr>
            </w:pPr>
            <w:r w:rsidRPr="00945B47">
              <w:rPr>
                <w:rFonts w:ascii="Times New Roman" w:eastAsia="Times New Roman" w:hAnsi="Times New Roman" w:cs="Times New Roman"/>
                <w:sz w:val="20"/>
                <w:szCs w:val="20"/>
                <w:lang w:val="en-US"/>
              </w:rPr>
              <w:t>Burmeister et al., 2020</w:t>
            </w:r>
          </w:p>
        </w:tc>
      </w:tr>
      <w:tr w:rsidR="001C3D0B" w:rsidRPr="009D050D" w14:paraId="69ACDF6F" w14:textId="77777777" w:rsidTr="00285CFC">
        <w:trPr>
          <w:trHeight w:val="1372"/>
        </w:trPr>
        <w:tc>
          <w:tcPr>
            <w:tcW w:w="2122" w:type="dxa"/>
            <w:vAlign w:val="center"/>
          </w:tcPr>
          <w:p w14:paraId="26DE3191" w14:textId="77777777" w:rsidR="001C3D0B" w:rsidRPr="00945B47" w:rsidRDefault="001C3D0B" w:rsidP="00285CFC">
            <w:pPr>
              <w:rPr>
                <w:rFonts w:ascii="Times New Roman" w:eastAsia="Times New Roman" w:hAnsi="Times New Roman" w:cs="Times New Roman"/>
                <w:sz w:val="20"/>
                <w:szCs w:val="20"/>
              </w:rPr>
            </w:pPr>
            <w:r w:rsidRPr="00945B47">
              <w:rPr>
                <w:rFonts w:ascii="Times New Roman" w:eastAsia="Times New Roman" w:hAnsi="Times New Roman" w:cs="Times New Roman"/>
                <w:sz w:val="20"/>
                <w:szCs w:val="20"/>
              </w:rPr>
              <w:lastRenderedPageBreak/>
              <w:t>Etarismo</w:t>
            </w:r>
          </w:p>
        </w:tc>
        <w:tc>
          <w:tcPr>
            <w:tcW w:w="4252" w:type="dxa"/>
            <w:vAlign w:val="center"/>
          </w:tcPr>
          <w:p w14:paraId="35204292" w14:textId="77777777" w:rsidR="001C3D0B" w:rsidRPr="00945B47" w:rsidRDefault="001C3D0B" w:rsidP="00285CFC">
            <w:pPr>
              <w:rPr>
                <w:rFonts w:ascii="Times New Roman" w:eastAsia="Times New Roman" w:hAnsi="Times New Roman" w:cs="Times New Roman"/>
                <w:sz w:val="20"/>
                <w:szCs w:val="20"/>
              </w:rPr>
            </w:pPr>
            <w:r w:rsidRPr="00945B47">
              <w:rPr>
                <w:rFonts w:ascii="Times New Roman" w:eastAsia="Times New Roman" w:hAnsi="Times New Roman" w:cs="Times New Roman"/>
                <w:sz w:val="20"/>
                <w:szCs w:val="20"/>
              </w:rPr>
              <w:t>Discriminação baseada na idade, especialmente no ambiente de trabalho. Estereótipos negativos afetam a percepção da capacidade dos trabalhadores mais velhos.</w:t>
            </w:r>
            <w:r w:rsidRPr="00945B47">
              <w:rPr>
                <w:rFonts w:ascii="Times New Roman" w:eastAsia="Times New Roman" w:hAnsi="Times New Roman" w:cs="Times New Roman"/>
                <w:sz w:val="20"/>
                <w:szCs w:val="20"/>
              </w:rPr>
              <w:tab/>
            </w:r>
          </w:p>
        </w:tc>
        <w:tc>
          <w:tcPr>
            <w:tcW w:w="2691" w:type="dxa"/>
          </w:tcPr>
          <w:p w14:paraId="31A6AC0A" w14:textId="77777777" w:rsidR="001C3D0B" w:rsidRPr="00945B47" w:rsidRDefault="001C3D0B" w:rsidP="00285CFC">
            <w:pPr>
              <w:rPr>
                <w:rFonts w:ascii="Times New Roman" w:eastAsia="Times New Roman" w:hAnsi="Times New Roman" w:cs="Times New Roman"/>
                <w:sz w:val="20"/>
                <w:szCs w:val="20"/>
              </w:rPr>
            </w:pPr>
          </w:p>
          <w:p w14:paraId="6222BCAB" w14:textId="77777777" w:rsidR="001C3D0B" w:rsidRPr="00945B47" w:rsidRDefault="001C3D0B" w:rsidP="00285CFC">
            <w:pPr>
              <w:rPr>
                <w:rFonts w:ascii="Times New Roman" w:eastAsia="Times New Roman" w:hAnsi="Times New Roman" w:cs="Times New Roman"/>
                <w:sz w:val="20"/>
                <w:szCs w:val="20"/>
                <w:lang w:val="en-US"/>
              </w:rPr>
            </w:pPr>
            <w:r w:rsidRPr="00945B47">
              <w:rPr>
                <w:rFonts w:ascii="Times New Roman" w:eastAsia="Times New Roman" w:hAnsi="Times New Roman" w:cs="Times New Roman"/>
                <w:sz w:val="20"/>
                <w:szCs w:val="20"/>
                <w:lang w:val="en-US"/>
              </w:rPr>
              <w:t>Posthuma e Campion (2009); Robert Half (2023).</w:t>
            </w:r>
          </w:p>
        </w:tc>
      </w:tr>
    </w:tbl>
    <w:p w14:paraId="28049412" w14:textId="77777777" w:rsidR="001C3D0B" w:rsidRPr="00945B47" w:rsidRDefault="001C3D0B" w:rsidP="001C3D0B">
      <w:pPr>
        <w:pBdr>
          <w:top w:val="nil"/>
          <w:left w:val="nil"/>
          <w:bottom w:val="nil"/>
          <w:right w:val="nil"/>
          <w:between w:val="nil"/>
        </w:pBdr>
        <w:spacing w:after="200" w:line="240" w:lineRule="auto"/>
        <w:jc w:val="center"/>
        <w:rPr>
          <w:rFonts w:ascii="Times New Roman" w:eastAsia="Times New Roman" w:hAnsi="Times New Roman" w:cs="Times New Roman"/>
          <w:color w:val="000000"/>
        </w:rPr>
      </w:pPr>
      <w:r w:rsidRPr="00945B47">
        <w:rPr>
          <w:rFonts w:ascii="Times New Roman" w:eastAsia="Times New Roman" w:hAnsi="Times New Roman" w:cs="Times New Roman"/>
          <w:color w:val="000000"/>
        </w:rPr>
        <w:t>Fonte: elaborado pelo</w:t>
      </w:r>
      <w:r>
        <w:rPr>
          <w:rFonts w:ascii="Times New Roman" w:eastAsia="Times New Roman" w:hAnsi="Times New Roman" w:cs="Times New Roman"/>
          <w:color w:val="000000"/>
        </w:rPr>
        <w:t>s</w:t>
      </w:r>
      <w:r w:rsidRPr="00945B47">
        <w:rPr>
          <w:rFonts w:ascii="Times New Roman" w:eastAsia="Times New Roman" w:hAnsi="Times New Roman" w:cs="Times New Roman"/>
          <w:color w:val="000000"/>
        </w:rPr>
        <w:t xml:space="preserve"> autor</w:t>
      </w:r>
      <w:r>
        <w:rPr>
          <w:rFonts w:ascii="Times New Roman" w:eastAsia="Times New Roman" w:hAnsi="Times New Roman" w:cs="Times New Roman"/>
          <w:color w:val="000000"/>
        </w:rPr>
        <w:t>es</w:t>
      </w:r>
      <w:r w:rsidRPr="00945B47">
        <w:rPr>
          <w:rFonts w:ascii="Times New Roman" w:eastAsia="Times New Roman" w:hAnsi="Times New Roman" w:cs="Times New Roman"/>
          <w:color w:val="000000"/>
        </w:rPr>
        <w:t>.</w:t>
      </w:r>
    </w:p>
    <w:p w14:paraId="11C57ACE" w14:textId="77777777" w:rsidR="0040288B" w:rsidRPr="00400FC6" w:rsidRDefault="0040288B" w:rsidP="0040288B">
      <w:pPr>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sidRPr="00400FC6">
        <w:rPr>
          <w:rFonts w:ascii="Times New Roman" w:eastAsia="Times New Roman" w:hAnsi="Times New Roman" w:cs="Times New Roman"/>
          <w:b/>
          <w:bCs/>
          <w:sz w:val="24"/>
          <w:szCs w:val="24"/>
        </w:rPr>
        <w:t>2.3</w:t>
      </w:r>
      <w:r>
        <w:rPr>
          <w:rFonts w:ascii="Times New Roman" w:eastAsia="Times New Roman" w:hAnsi="Times New Roman" w:cs="Times New Roman"/>
          <w:b/>
          <w:bCs/>
          <w:sz w:val="24"/>
          <w:szCs w:val="24"/>
        </w:rPr>
        <w:t xml:space="preserve"> G</w:t>
      </w:r>
      <w:r w:rsidRPr="00400FC6">
        <w:rPr>
          <w:rFonts w:ascii="Times New Roman" w:eastAsia="Times New Roman" w:hAnsi="Times New Roman" w:cs="Times New Roman"/>
          <w:b/>
          <w:bCs/>
          <w:sz w:val="24"/>
          <w:szCs w:val="24"/>
        </w:rPr>
        <w:t>estão do conhecimento e transferência de conhecimento</w:t>
      </w:r>
    </w:p>
    <w:p w14:paraId="6004FBB0" w14:textId="77777777" w:rsidR="0040288B" w:rsidRDefault="0040288B" w:rsidP="0040288B">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8F23DC">
        <w:rPr>
          <w:rFonts w:ascii="Times New Roman" w:eastAsia="Times New Roman" w:hAnsi="Times New Roman" w:cs="Times New Roman"/>
          <w:sz w:val="24"/>
          <w:szCs w:val="24"/>
        </w:rPr>
        <w:t xml:space="preserve">A gestão do conhecimento é um conceito para compreender como as organizações podem maximizar o potencial de sua força de trabalho, especialmente em contextos digitalizados. Esse processo dinâmico envolve a criação, o compartilhamento e a aplicação do conhecimento no interior das organizações. Segundo </w:t>
      </w:r>
      <w:proofErr w:type="spellStart"/>
      <w:r w:rsidRPr="008F23DC">
        <w:rPr>
          <w:rFonts w:ascii="Times New Roman" w:eastAsia="Times New Roman" w:hAnsi="Times New Roman" w:cs="Times New Roman"/>
          <w:sz w:val="24"/>
          <w:szCs w:val="24"/>
        </w:rPr>
        <w:t>Alavi</w:t>
      </w:r>
      <w:proofErr w:type="spellEnd"/>
      <w:r w:rsidRPr="008F23DC">
        <w:rPr>
          <w:rFonts w:ascii="Times New Roman" w:eastAsia="Times New Roman" w:hAnsi="Times New Roman" w:cs="Times New Roman"/>
          <w:sz w:val="24"/>
          <w:szCs w:val="24"/>
        </w:rPr>
        <w:t xml:space="preserve"> e </w:t>
      </w:r>
      <w:proofErr w:type="spellStart"/>
      <w:r w:rsidRPr="008F23DC">
        <w:rPr>
          <w:rFonts w:ascii="Times New Roman" w:eastAsia="Times New Roman" w:hAnsi="Times New Roman" w:cs="Times New Roman"/>
          <w:sz w:val="24"/>
          <w:szCs w:val="24"/>
        </w:rPr>
        <w:t>Leidner</w:t>
      </w:r>
      <w:proofErr w:type="spellEnd"/>
      <w:r w:rsidRPr="008F23DC">
        <w:rPr>
          <w:rFonts w:ascii="Times New Roman" w:eastAsia="Times New Roman" w:hAnsi="Times New Roman" w:cs="Times New Roman"/>
          <w:sz w:val="24"/>
          <w:szCs w:val="24"/>
        </w:rPr>
        <w:t xml:space="preserve"> (2001) e </w:t>
      </w:r>
      <w:proofErr w:type="spellStart"/>
      <w:r w:rsidRPr="008F23DC">
        <w:rPr>
          <w:rFonts w:ascii="Times New Roman" w:eastAsia="Times New Roman" w:hAnsi="Times New Roman" w:cs="Times New Roman"/>
          <w:sz w:val="24"/>
          <w:szCs w:val="24"/>
        </w:rPr>
        <w:t>Serenko</w:t>
      </w:r>
      <w:proofErr w:type="spellEnd"/>
      <w:r w:rsidRPr="008F23DC">
        <w:rPr>
          <w:rFonts w:ascii="Times New Roman" w:eastAsia="Times New Roman" w:hAnsi="Times New Roman" w:cs="Times New Roman"/>
          <w:sz w:val="24"/>
          <w:szCs w:val="24"/>
        </w:rPr>
        <w:t xml:space="preserve"> e </w:t>
      </w:r>
      <w:proofErr w:type="spellStart"/>
      <w:r w:rsidRPr="008F23DC">
        <w:rPr>
          <w:rFonts w:ascii="Times New Roman" w:eastAsia="Times New Roman" w:hAnsi="Times New Roman" w:cs="Times New Roman"/>
          <w:sz w:val="24"/>
          <w:szCs w:val="24"/>
        </w:rPr>
        <w:t>Bontis</w:t>
      </w:r>
      <w:proofErr w:type="spellEnd"/>
      <w:r w:rsidRPr="008F23DC">
        <w:rPr>
          <w:rFonts w:ascii="Times New Roman" w:eastAsia="Times New Roman" w:hAnsi="Times New Roman" w:cs="Times New Roman"/>
          <w:sz w:val="24"/>
          <w:szCs w:val="24"/>
        </w:rPr>
        <w:t xml:space="preserve"> (2016), a gestão do conhecimento caracteriza-se por um ciclo contínuo de interações colaborativas entre os colaboradores, no qual o conhecimento é gerado e aprimorado por meio de práticas interativas. Essa abordagem destaca a importância de um ambiente organizacional que promova a troca de ideias e experiências, possibilitando o fluxo livre de conhecimento entre diferentes níveis hierárquicos e áreas funcionais.</w:t>
      </w:r>
    </w:p>
    <w:p w14:paraId="3A387A63" w14:textId="77777777" w:rsidR="0040288B" w:rsidRDefault="0040288B" w:rsidP="0040288B">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8F23DC">
        <w:rPr>
          <w:rFonts w:ascii="Times New Roman" w:eastAsia="Times New Roman" w:hAnsi="Times New Roman" w:cs="Times New Roman"/>
          <w:sz w:val="24"/>
          <w:szCs w:val="24"/>
        </w:rPr>
        <w:t xml:space="preserve">No contexto da inteligência artificial, a gestão eficaz do conhecimento assume papel ainda mais relevante, pois a capacidade de integrar e </w:t>
      </w:r>
      <w:r>
        <w:rPr>
          <w:rFonts w:ascii="Times New Roman" w:eastAsia="Times New Roman" w:hAnsi="Times New Roman" w:cs="Times New Roman"/>
          <w:sz w:val="24"/>
          <w:szCs w:val="24"/>
        </w:rPr>
        <w:t>usar</w:t>
      </w:r>
      <w:r w:rsidRPr="008F23DC">
        <w:rPr>
          <w:rFonts w:ascii="Times New Roman" w:eastAsia="Times New Roman" w:hAnsi="Times New Roman" w:cs="Times New Roman"/>
          <w:sz w:val="24"/>
          <w:szCs w:val="24"/>
        </w:rPr>
        <w:t xml:space="preserve"> o conhecimento dos trabalhadores seniores pode representar uma vantagem competitiva significativa (KUCHARSKA; ERICKSON, 2023). Os trabalhadores seniores, detentores de vasta experiência e conhecimento tácito, oferecem insights valiosos que, quando combinados às capacidades da inteligência artificial, podem impulsionar a inovação e a melhoria dos processos organizacionais. Assim, a gestão do conhecimento transcende a mera retenção de informações, funcionando como catalisador da inovação e da adaptação frente às rápidas transformações do mercado.</w:t>
      </w:r>
    </w:p>
    <w:p w14:paraId="23BBED93" w14:textId="77777777" w:rsidR="0040288B" w:rsidRDefault="0040288B" w:rsidP="0040288B">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8F23DC">
        <w:rPr>
          <w:rFonts w:ascii="Times New Roman" w:eastAsia="Times New Roman" w:hAnsi="Times New Roman" w:cs="Times New Roman"/>
          <w:sz w:val="24"/>
          <w:szCs w:val="24"/>
        </w:rPr>
        <w:t>O conhecimento pode ser classificado em duas categorias principais: tácito e explícito. O conhecimento tácito, baseado em experiências pessoais e habilidades práticas, apresenta dificuldade para ser formalizado e transmitido (GAVIRIA-MARIN et al., 2018). Esse tipo de conhecimento é adquirido por meio da prática e da interação social, constituindo um elemento essencial da cultura organizacional. Em contraste, o conhecimento explícito é estruturado e pode ser compartilhado com facilidade, estando presente em documentos, bancos de dados e outras fontes formais. A interação dinâmica e contínua entre o conhecimento tácito e explícito, que flui entre indivíduos e organizações, é vital para que estas não apenas preservem o saber dos trabalhadores seniores, mas também o utilizem para fomentar a inovação e a competitividade (GAVIRIA-MARIN et al., 2018).</w:t>
      </w:r>
    </w:p>
    <w:p w14:paraId="7B95F06C" w14:textId="77777777" w:rsidR="0040288B" w:rsidRPr="004F6659" w:rsidRDefault="0040288B" w:rsidP="0040288B">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42355F23" w14:textId="77777777" w:rsidR="0040288B" w:rsidRPr="00400FC6" w:rsidRDefault="0040288B" w:rsidP="0040288B">
      <w:pPr>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sidRPr="00400FC6">
        <w:rPr>
          <w:rFonts w:ascii="Times New Roman" w:eastAsia="Times New Roman" w:hAnsi="Times New Roman" w:cs="Times New Roman"/>
          <w:b/>
          <w:bCs/>
          <w:sz w:val="24"/>
          <w:szCs w:val="24"/>
        </w:rPr>
        <w:t xml:space="preserve">2.4 </w:t>
      </w:r>
      <w:r>
        <w:rPr>
          <w:rFonts w:ascii="Times New Roman" w:eastAsia="Times New Roman" w:hAnsi="Times New Roman" w:cs="Times New Roman"/>
          <w:b/>
          <w:bCs/>
          <w:sz w:val="24"/>
          <w:szCs w:val="24"/>
        </w:rPr>
        <w:t>A</w:t>
      </w:r>
      <w:r w:rsidRPr="00400FC6">
        <w:rPr>
          <w:rFonts w:ascii="Times New Roman" w:eastAsia="Times New Roman" w:hAnsi="Times New Roman" w:cs="Times New Roman"/>
          <w:b/>
          <w:bCs/>
          <w:sz w:val="24"/>
          <w:szCs w:val="24"/>
        </w:rPr>
        <w:t xml:space="preserve"> importância da transferência de conhecimento tácito</w:t>
      </w:r>
    </w:p>
    <w:p w14:paraId="148F9DF4" w14:textId="77777777" w:rsidR="0040288B" w:rsidRPr="002C3D5F" w:rsidRDefault="0040288B" w:rsidP="0040288B">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C3D5F">
        <w:rPr>
          <w:rFonts w:ascii="Times New Roman" w:eastAsia="Times New Roman" w:hAnsi="Times New Roman" w:cs="Times New Roman"/>
          <w:sz w:val="24"/>
          <w:szCs w:val="24"/>
        </w:rPr>
        <w:t xml:space="preserve">A transferência de conhecimento tácito representa um componente estratégico para o desenvolvimento organizacional, sobretudo em contextos em que a inovação depende da experiência prática acumulada pelos indivíduos. A aquisição desse tipo de conhecimento ocorre por meio de processos experienciados, como o </w:t>
      </w:r>
      <w:proofErr w:type="spellStart"/>
      <w:r w:rsidRPr="00BA3010">
        <w:rPr>
          <w:rFonts w:ascii="Times New Roman" w:eastAsia="Times New Roman" w:hAnsi="Times New Roman" w:cs="Times New Roman"/>
          <w:i/>
          <w:iCs/>
          <w:sz w:val="24"/>
          <w:szCs w:val="24"/>
        </w:rPr>
        <w:t>learning</w:t>
      </w:r>
      <w:proofErr w:type="spellEnd"/>
      <w:r w:rsidRPr="00BA3010">
        <w:rPr>
          <w:rFonts w:ascii="Times New Roman" w:eastAsia="Times New Roman" w:hAnsi="Times New Roman" w:cs="Times New Roman"/>
          <w:i/>
          <w:iCs/>
          <w:sz w:val="24"/>
          <w:szCs w:val="24"/>
        </w:rPr>
        <w:t xml:space="preserve"> </w:t>
      </w:r>
      <w:proofErr w:type="spellStart"/>
      <w:r w:rsidRPr="00BA3010">
        <w:rPr>
          <w:rFonts w:ascii="Times New Roman" w:eastAsia="Times New Roman" w:hAnsi="Times New Roman" w:cs="Times New Roman"/>
          <w:i/>
          <w:iCs/>
          <w:sz w:val="24"/>
          <w:szCs w:val="24"/>
        </w:rPr>
        <w:t>by</w:t>
      </w:r>
      <w:proofErr w:type="spellEnd"/>
      <w:r w:rsidRPr="00BA3010">
        <w:rPr>
          <w:rFonts w:ascii="Times New Roman" w:eastAsia="Times New Roman" w:hAnsi="Times New Roman" w:cs="Times New Roman"/>
          <w:i/>
          <w:iCs/>
          <w:sz w:val="24"/>
          <w:szCs w:val="24"/>
        </w:rPr>
        <w:t xml:space="preserve"> </w:t>
      </w:r>
      <w:proofErr w:type="spellStart"/>
      <w:r w:rsidRPr="00BA3010">
        <w:rPr>
          <w:rFonts w:ascii="Times New Roman" w:eastAsia="Times New Roman" w:hAnsi="Times New Roman" w:cs="Times New Roman"/>
          <w:i/>
          <w:iCs/>
          <w:sz w:val="24"/>
          <w:szCs w:val="24"/>
        </w:rPr>
        <w:t>doing</w:t>
      </w:r>
      <w:proofErr w:type="spellEnd"/>
      <w:r w:rsidRPr="002C3D5F">
        <w:rPr>
          <w:rFonts w:ascii="Times New Roman" w:eastAsia="Times New Roman" w:hAnsi="Times New Roman" w:cs="Times New Roman"/>
          <w:sz w:val="24"/>
          <w:szCs w:val="24"/>
        </w:rPr>
        <w:t xml:space="preserve"> (aprender fazendo) e o </w:t>
      </w:r>
      <w:proofErr w:type="spellStart"/>
      <w:r w:rsidRPr="00BA3010">
        <w:rPr>
          <w:rFonts w:ascii="Times New Roman" w:eastAsia="Times New Roman" w:hAnsi="Times New Roman" w:cs="Times New Roman"/>
          <w:i/>
          <w:iCs/>
          <w:sz w:val="24"/>
          <w:szCs w:val="24"/>
        </w:rPr>
        <w:t>learning</w:t>
      </w:r>
      <w:proofErr w:type="spellEnd"/>
      <w:r w:rsidRPr="00BA3010">
        <w:rPr>
          <w:rFonts w:ascii="Times New Roman" w:eastAsia="Times New Roman" w:hAnsi="Times New Roman" w:cs="Times New Roman"/>
          <w:i/>
          <w:iCs/>
          <w:sz w:val="24"/>
          <w:szCs w:val="24"/>
        </w:rPr>
        <w:t xml:space="preserve"> </w:t>
      </w:r>
      <w:proofErr w:type="spellStart"/>
      <w:r w:rsidRPr="00BA3010">
        <w:rPr>
          <w:rFonts w:ascii="Times New Roman" w:eastAsia="Times New Roman" w:hAnsi="Times New Roman" w:cs="Times New Roman"/>
          <w:i/>
          <w:iCs/>
          <w:sz w:val="24"/>
          <w:szCs w:val="24"/>
        </w:rPr>
        <w:t>by</w:t>
      </w:r>
      <w:proofErr w:type="spellEnd"/>
      <w:r w:rsidRPr="00BA3010">
        <w:rPr>
          <w:rFonts w:ascii="Times New Roman" w:eastAsia="Times New Roman" w:hAnsi="Times New Roman" w:cs="Times New Roman"/>
          <w:i/>
          <w:iCs/>
          <w:sz w:val="24"/>
          <w:szCs w:val="24"/>
        </w:rPr>
        <w:t xml:space="preserve"> </w:t>
      </w:r>
      <w:proofErr w:type="spellStart"/>
      <w:r w:rsidRPr="00BA3010">
        <w:rPr>
          <w:rFonts w:ascii="Times New Roman" w:eastAsia="Times New Roman" w:hAnsi="Times New Roman" w:cs="Times New Roman"/>
          <w:i/>
          <w:iCs/>
          <w:sz w:val="24"/>
          <w:szCs w:val="24"/>
        </w:rPr>
        <w:t>interaction</w:t>
      </w:r>
      <w:proofErr w:type="spellEnd"/>
      <w:r w:rsidRPr="002C3D5F">
        <w:rPr>
          <w:rFonts w:ascii="Times New Roman" w:eastAsia="Times New Roman" w:hAnsi="Times New Roman" w:cs="Times New Roman"/>
          <w:sz w:val="24"/>
          <w:szCs w:val="24"/>
        </w:rPr>
        <w:t xml:space="preserve"> (aprender interagindo), que possibilitam a incorporação de saberes não codificados no cotidiano das atividades profissionais (KUCHARSKA; ERICKSON, 2023).</w:t>
      </w:r>
    </w:p>
    <w:p w14:paraId="64AB641E" w14:textId="77777777" w:rsidR="0040288B" w:rsidRPr="002C3D5F" w:rsidRDefault="0040288B" w:rsidP="0040288B">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C3D5F">
        <w:rPr>
          <w:rFonts w:ascii="Times New Roman" w:eastAsia="Times New Roman" w:hAnsi="Times New Roman" w:cs="Times New Roman"/>
          <w:sz w:val="24"/>
          <w:szCs w:val="24"/>
        </w:rPr>
        <w:t>A internalização, compreendida como o processo por meio do qual o conhecimento explícito é convertido em conhecimento tácito, exige reflexão crítica, prática repetida e conscientização por parte do indivíduo. Esse processo é indispensável para a apropriação e posterior compartilhamento do conhecimento tácito no ambiente organizacional (ASHER; POPPER, 2019; OSWALD; MASCARENHAS, 2019).</w:t>
      </w:r>
    </w:p>
    <w:p w14:paraId="1E2CC1DF" w14:textId="77777777" w:rsidR="0040288B" w:rsidRPr="00C9272D" w:rsidRDefault="0040288B" w:rsidP="0040288B">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C3D5F">
        <w:rPr>
          <w:rFonts w:ascii="Times New Roman" w:eastAsia="Times New Roman" w:hAnsi="Times New Roman" w:cs="Times New Roman"/>
          <w:sz w:val="24"/>
          <w:szCs w:val="24"/>
        </w:rPr>
        <w:t>A externalização do conhecimento, por sua vez, refere-se à transformação de experiências individuais e saberes subjetivos em representações acessíveis e comunicáveis. Essa etapa é influenciada por diversos fatores organizacionais, incluindo a cultura de compartilhamento, a motivação intrínseca dos colaboradores e a existência de mecanismos que fomentem a interação social (NONAKA, 1994).</w:t>
      </w:r>
      <w:r>
        <w:rPr>
          <w:rFonts w:ascii="Times New Roman" w:eastAsia="Times New Roman" w:hAnsi="Times New Roman" w:cs="Times New Roman"/>
          <w:sz w:val="24"/>
          <w:szCs w:val="24"/>
        </w:rPr>
        <w:t xml:space="preserve"> </w:t>
      </w:r>
      <w:r w:rsidRPr="002C3D5F">
        <w:rPr>
          <w:rFonts w:ascii="Times New Roman" w:eastAsia="Times New Roman" w:hAnsi="Times New Roman" w:cs="Times New Roman"/>
          <w:sz w:val="24"/>
          <w:szCs w:val="24"/>
        </w:rPr>
        <w:t>A aplicação do conhecimento tácito compartilhado contribui diretamente para a inovação organizacional, impactando positivamente processos internos, produtos e serviços (GANGULY et al., 2019; KUCHARSKA; ERICKSON, 2023).</w:t>
      </w:r>
    </w:p>
    <w:p w14:paraId="621EA8B1" w14:textId="77777777" w:rsidR="00426FBB" w:rsidRPr="00426FBB" w:rsidRDefault="00426FBB" w:rsidP="00426FBB">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17734348" w14:textId="77777777" w:rsidR="00D8471E" w:rsidRDefault="00D1413B">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METODOLOGIA</w:t>
      </w:r>
    </w:p>
    <w:p w14:paraId="3603D1CD" w14:textId="77777777" w:rsidR="00E907C1" w:rsidRPr="00E907C1" w:rsidRDefault="00E907C1" w:rsidP="00E907C1">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E907C1">
        <w:rPr>
          <w:rFonts w:ascii="Times New Roman" w:eastAsia="Times New Roman" w:hAnsi="Times New Roman" w:cs="Times New Roman"/>
          <w:sz w:val="24"/>
          <w:szCs w:val="24"/>
        </w:rPr>
        <w:t>A presente pesquisa foi de caráter exploratório, de natureza descritiva, fundamentada em uma revisão da literatura, com o objetivo de identificar as barreiras e facilitadores ao uso do conhecimento tácito dos colaboradores seniores nos processos de empresas de manufatura, no contexto do uso de Inteligência Artificial.</w:t>
      </w:r>
    </w:p>
    <w:p w14:paraId="4B948036" w14:textId="77777777" w:rsidR="00E907C1" w:rsidRPr="00E907C1" w:rsidRDefault="00E907C1" w:rsidP="00E907C1">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E907C1">
        <w:rPr>
          <w:rFonts w:ascii="Times New Roman" w:eastAsia="Times New Roman" w:hAnsi="Times New Roman" w:cs="Times New Roman"/>
          <w:sz w:val="24"/>
          <w:szCs w:val="24"/>
        </w:rPr>
        <w:t>A escolha por uma revisão da literatura se justifica pela contemporaneidade do tema e da necessidade de compreender o estado atual do conhecimento sobre o mesmo, identificando lacunas em pesquisas existentes.</w:t>
      </w:r>
    </w:p>
    <w:p w14:paraId="1B07702F" w14:textId="77777777" w:rsidR="00E907C1" w:rsidRPr="00E907C1" w:rsidRDefault="00E907C1" w:rsidP="00E907C1">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E907C1">
        <w:rPr>
          <w:rFonts w:ascii="Times New Roman" w:eastAsia="Times New Roman" w:hAnsi="Times New Roman" w:cs="Times New Roman"/>
          <w:sz w:val="24"/>
          <w:szCs w:val="24"/>
        </w:rPr>
        <w:t xml:space="preserve">A revisão da literatura foi realizada exclusivamente na base de dados Scopus, que é reconhecida por sua abrangência e rigor na indexação de publicações revisadas por pares. Os </w:t>
      </w:r>
      <w:r w:rsidRPr="00E907C1">
        <w:rPr>
          <w:rFonts w:ascii="Times New Roman" w:eastAsia="Times New Roman" w:hAnsi="Times New Roman" w:cs="Times New Roman"/>
          <w:sz w:val="24"/>
          <w:szCs w:val="24"/>
        </w:rPr>
        <w:lastRenderedPageBreak/>
        <w:t>critérios de inclusão para a seleção dos artigos foram definidos de forma rigorosa, abrangendo publicações que abordassem a gestão do conhecimento, a inteligência artificial e a experiência dos trabalhadores seniores. Foram considerados estudos publicados nos últimos dez anos, a fim de garantir a atualidade das informações, e aqueles que discutissem explicitamente as barreiras e facilitadores da integração do conhecimento dos trabalhadores seniores.</w:t>
      </w:r>
    </w:p>
    <w:p w14:paraId="07678961" w14:textId="77777777" w:rsidR="00E907C1" w:rsidRPr="00E907C1" w:rsidRDefault="00E907C1" w:rsidP="00E907C1">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E907C1">
        <w:rPr>
          <w:rFonts w:ascii="Times New Roman" w:eastAsia="Times New Roman" w:hAnsi="Times New Roman" w:cs="Times New Roman"/>
          <w:sz w:val="24"/>
          <w:szCs w:val="24"/>
        </w:rPr>
        <w:t>Após a seleção das fontes, os dados foram organizados e analisados qualitativamente. A análise consistiu em identificar e categorizar as principais barreiras e facilitadores mencionados na literatura, bem como examinar as implicações práticas dos achados. Essa abordagem permitiu uma compreensão aprofundada das dinâmicas que envolvem a integração do conhecimento dos trabalhadores seniores em ambientes que utilizam inteligência artificial.</w:t>
      </w:r>
    </w:p>
    <w:p w14:paraId="2A0DFA99" w14:textId="77777777" w:rsidR="00E907C1" w:rsidRPr="00E907C1" w:rsidRDefault="00E907C1" w:rsidP="00E907C1">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E907C1">
        <w:rPr>
          <w:rFonts w:ascii="Times New Roman" w:eastAsia="Times New Roman" w:hAnsi="Times New Roman" w:cs="Times New Roman"/>
          <w:sz w:val="24"/>
          <w:szCs w:val="24"/>
        </w:rPr>
        <w:t>Os resultados da revisão foram sintetizados em um quadro que destaca as principais barreiras e facilitadores identificados, além das práticas recomendadas para a gestão do conhecimento dos trabalhadores seniores. Essa síntese proporciona uma visão clara das dinâmicas em jogo e oferece insights práticos para gestores e pesquisadores interessados em promover o uso do conhecimento dos trabalhadores seniores na era de IA nas organizações.</w:t>
      </w:r>
    </w:p>
    <w:p w14:paraId="705FC36E" w14:textId="7553876F" w:rsidR="00D8471E" w:rsidRDefault="00E907C1" w:rsidP="00E907C1">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E907C1">
        <w:rPr>
          <w:rFonts w:ascii="Times New Roman" w:eastAsia="Times New Roman" w:hAnsi="Times New Roman" w:cs="Times New Roman"/>
          <w:sz w:val="24"/>
          <w:szCs w:val="24"/>
        </w:rPr>
        <w:t>Por fim, é importante ressaltar que, embora a revisão da literatura ofereça uma visão abrangente do tema, ela pode estar sujeita a limitações, como a disponibilidade de publicações e a variação na qualidade dos estudos revisados. A abordagem teórica não permite a coleta de dados empíricos diretos, o que pode limitar a aplicabilidade das conclusões em contextos específicos. No entanto, os achados desta pesquisa visam contribuir para a formulação de estratégias organizacionais que promovam a inclusão e valorização da experiência dos trabalhadores seniores na era da inteligência artificial.</w:t>
      </w:r>
    </w:p>
    <w:p w14:paraId="24D958DC" w14:textId="77777777" w:rsidR="00D8471E" w:rsidRDefault="00D1413B">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RESULTADOS E DISCUSSÃO</w:t>
      </w:r>
    </w:p>
    <w:p w14:paraId="210645D8" w14:textId="77777777" w:rsidR="002D2840" w:rsidRDefault="002D2840" w:rsidP="002D2840">
      <w:pPr>
        <w:pBdr>
          <w:top w:val="nil"/>
          <w:left w:val="nil"/>
          <w:bottom w:val="nil"/>
          <w:right w:val="nil"/>
          <w:between w:val="nil"/>
        </w:pBdr>
        <w:spacing w:line="360" w:lineRule="auto"/>
        <w:ind w:firstLine="426"/>
        <w:jc w:val="both"/>
        <w:rPr>
          <w:rFonts w:ascii="Times New Roman" w:eastAsia="Times New Roman" w:hAnsi="Times New Roman" w:cs="Times New Roman"/>
          <w:sz w:val="24"/>
          <w:szCs w:val="24"/>
        </w:rPr>
      </w:pPr>
      <w:r w:rsidRPr="002D2840">
        <w:rPr>
          <w:rFonts w:ascii="Times New Roman" w:eastAsia="Times New Roman" w:hAnsi="Times New Roman" w:cs="Times New Roman"/>
          <w:sz w:val="24"/>
          <w:szCs w:val="24"/>
        </w:rPr>
        <w:t>O estudo identificou as barreiras e facilitadores ao uso do conhecimento tácito dos colaboradores seniores nos processos de empresas de manufatura, no contexto do uso de Inteligência Artificial.</w:t>
      </w:r>
    </w:p>
    <w:p w14:paraId="055BE73B" w14:textId="77777777" w:rsidR="002D2840" w:rsidRDefault="002D2840" w:rsidP="002D2840">
      <w:pPr>
        <w:pBdr>
          <w:top w:val="nil"/>
          <w:left w:val="nil"/>
          <w:bottom w:val="nil"/>
          <w:right w:val="nil"/>
          <w:between w:val="nil"/>
        </w:pBdr>
        <w:spacing w:line="360" w:lineRule="auto"/>
        <w:ind w:firstLine="426"/>
        <w:jc w:val="both"/>
        <w:rPr>
          <w:rFonts w:ascii="Times New Roman" w:eastAsia="Times New Roman" w:hAnsi="Times New Roman" w:cs="Times New Roman"/>
          <w:sz w:val="24"/>
          <w:szCs w:val="24"/>
        </w:rPr>
      </w:pPr>
      <w:r w:rsidRPr="002D2840">
        <w:rPr>
          <w:rFonts w:ascii="Times New Roman" w:eastAsia="Times New Roman" w:hAnsi="Times New Roman" w:cs="Times New Roman"/>
          <w:sz w:val="24"/>
          <w:szCs w:val="24"/>
        </w:rPr>
        <w:t>A pesquisa, fundamentada em uma revisão da literatura, revelou que, apesar de desafios, como a resistência à adoção de novas tecnologias e preconceitos etários, existem facilitadores que podem facilitar o uso do conhecimento tácito desses profissionais.</w:t>
      </w:r>
    </w:p>
    <w:p w14:paraId="43FD506D" w14:textId="77777777" w:rsidR="002D2840" w:rsidRDefault="002D2840" w:rsidP="002D2840">
      <w:pPr>
        <w:pBdr>
          <w:top w:val="nil"/>
          <w:left w:val="nil"/>
          <w:bottom w:val="nil"/>
          <w:right w:val="nil"/>
          <w:between w:val="nil"/>
        </w:pBdr>
        <w:spacing w:line="360" w:lineRule="auto"/>
        <w:ind w:firstLine="426"/>
        <w:jc w:val="both"/>
        <w:rPr>
          <w:rFonts w:ascii="Times New Roman" w:eastAsia="Times New Roman" w:hAnsi="Times New Roman" w:cs="Times New Roman"/>
          <w:sz w:val="24"/>
          <w:szCs w:val="24"/>
        </w:rPr>
      </w:pPr>
      <w:r w:rsidRPr="002D2840">
        <w:rPr>
          <w:rFonts w:ascii="Times New Roman" w:eastAsia="Times New Roman" w:hAnsi="Times New Roman" w:cs="Times New Roman"/>
          <w:sz w:val="24"/>
          <w:szCs w:val="24"/>
        </w:rPr>
        <w:t xml:space="preserve">As barreiras identificadas incluem a resistência à adoção de tecnologias digitais, que se manifesta como um fenômeno amplamente documentado em ambientes organizacionais. </w:t>
      </w:r>
      <w:r w:rsidRPr="002D2840">
        <w:rPr>
          <w:rFonts w:ascii="Times New Roman" w:eastAsia="Times New Roman" w:hAnsi="Times New Roman" w:cs="Times New Roman"/>
          <w:sz w:val="24"/>
          <w:szCs w:val="24"/>
        </w:rPr>
        <w:lastRenderedPageBreak/>
        <w:t>Trabalhadores seniores frequentemente se sentem ameaçados pela introdução de novas tecnologias, o que pode resultar em uma resistência significativa à mudança (</w:t>
      </w:r>
      <w:proofErr w:type="spellStart"/>
      <w:r w:rsidRPr="002D2840">
        <w:rPr>
          <w:rFonts w:ascii="Times New Roman" w:eastAsia="Times New Roman" w:hAnsi="Times New Roman" w:cs="Times New Roman"/>
          <w:sz w:val="24"/>
          <w:szCs w:val="24"/>
        </w:rPr>
        <w:t>Posthuma</w:t>
      </w:r>
      <w:proofErr w:type="spellEnd"/>
      <w:r w:rsidRPr="002D2840">
        <w:rPr>
          <w:rFonts w:ascii="Times New Roman" w:eastAsia="Times New Roman" w:hAnsi="Times New Roman" w:cs="Times New Roman"/>
          <w:sz w:val="24"/>
          <w:szCs w:val="24"/>
        </w:rPr>
        <w:t xml:space="preserve"> &amp; </w:t>
      </w:r>
      <w:proofErr w:type="spellStart"/>
      <w:r w:rsidRPr="002D2840">
        <w:rPr>
          <w:rFonts w:ascii="Times New Roman" w:eastAsia="Times New Roman" w:hAnsi="Times New Roman" w:cs="Times New Roman"/>
          <w:sz w:val="24"/>
          <w:szCs w:val="24"/>
        </w:rPr>
        <w:t>Campion</w:t>
      </w:r>
      <w:proofErr w:type="spellEnd"/>
      <w:r w:rsidRPr="002D2840">
        <w:rPr>
          <w:rFonts w:ascii="Times New Roman" w:eastAsia="Times New Roman" w:hAnsi="Times New Roman" w:cs="Times New Roman"/>
          <w:sz w:val="24"/>
          <w:szCs w:val="24"/>
        </w:rPr>
        <w:t xml:space="preserve">, 2009; </w:t>
      </w:r>
      <w:proofErr w:type="spellStart"/>
      <w:r w:rsidRPr="002D2840">
        <w:rPr>
          <w:rFonts w:ascii="Times New Roman" w:eastAsia="Times New Roman" w:hAnsi="Times New Roman" w:cs="Times New Roman"/>
          <w:sz w:val="24"/>
          <w:szCs w:val="24"/>
        </w:rPr>
        <w:t>Hardy</w:t>
      </w:r>
      <w:proofErr w:type="spellEnd"/>
      <w:r w:rsidRPr="002D2840">
        <w:rPr>
          <w:rFonts w:ascii="Times New Roman" w:eastAsia="Times New Roman" w:hAnsi="Times New Roman" w:cs="Times New Roman"/>
          <w:sz w:val="24"/>
          <w:szCs w:val="24"/>
        </w:rPr>
        <w:t xml:space="preserve"> &amp; </w:t>
      </w:r>
      <w:proofErr w:type="spellStart"/>
      <w:r w:rsidRPr="002D2840">
        <w:rPr>
          <w:rFonts w:ascii="Times New Roman" w:eastAsia="Times New Roman" w:hAnsi="Times New Roman" w:cs="Times New Roman"/>
          <w:sz w:val="24"/>
          <w:szCs w:val="24"/>
        </w:rPr>
        <w:t>Castonguay</w:t>
      </w:r>
      <w:proofErr w:type="spellEnd"/>
      <w:r w:rsidRPr="002D2840">
        <w:rPr>
          <w:rFonts w:ascii="Times New Roman" w:eastAsia="Times New Roman" w:hAnsi="Times New Roman" w:cs="Times New Roman"/>
          <w:sz w:val="24"/>
          <w:szCs w:val="24"/>
        </w:rPr>
        <w:t>, 2018). Essa resistência é frequentemente exacerbada pela falta de familiaridade com ferramentas digitais, dificultando a adaptação e o uso eficaz da inteligência artificial. Essa situação ressalta a necessidade de intervenções que promovam a capacitação e o suporte necessários para que esses profissionais se sintam mais confortáveis com as novas tecnologias.</w:t>
      </w:r>
    </w:p>
    <w:p w14:paraId="2AA89B8C" w14:textId="77777777" w:rsidR="002D2840" w:rsidRDefault="002D2840" w:rsidP="002D2840">
      <w:pPr>
        <w:pBdr>
          <w:top w:val="nil"/>
          <w:left w:val="nil"/>
          <w:bottom w:val="nil"/>
          <w:right w:val="nil"/>
          <w:between w:val="nil"/>
        </w:pBdr>
        <w:spacing w:line="360" w:lineRule="auto"/>
        <w:ind w:firstLine="426"/>
        <w:jc w:val="both"/>
        <w:rPr>
          <w:rFonts w:ascii="Times New Roman" w:eastAsia="Times New Roman" w:hAnsi="Times New Roman" w:cs="Times New Roman"/>
          <w:sz w:val="24"/>
          <w:szCs w:val="24"/>
        </w:rPr>
      </w:pPr>
      <w:r w:rsidRPr="002D2840">
        <w:rPr>
          <w:rFonts w:ascii="Times New Roman" w:eastAsia="Times New Roman" w:hAnsi="Times New Roman" w:cs="Times New Roman"/>
          <w:sz w:val="24"/>
          <w:szCs w:val="24"/>
        </w:rPr>
        <w:t>Além disso, os estereótipos etários e a exclusão geracional foram identificados como barreiras significativas. O preconceito etário impede a plena participação dos trabalhadores seniores nas discussões sobre a implementação de novas tecnologias, resultando em sua exclusão e na desvalorização do conhecimento tácito que eles oferecem (Guerreiro &amp; Silva, 2021; Lee et al., 2022). Essa desvalorização limita as oportunidades de contribuição desses profissionais e pode afetar a dinâmica de trabalho intergeracional, onde a troca de conhecimento é fundamental para a inovação e a adaptação organizacional.</w:t>
      </w:r>
    </w:p>
    <w:p w14:paraId="306A66E8" w14:textId="77777777" w:rsidR="002D2840" w:rsidRDefault="002D2840" w:rsidP="002D2840">
      <w:pPr>
        <w:pBdr>
          <w:top w:val="nil"/>
          <w:left w:val="nil"/>
          <w:bottom w:val="nil"/>
          <w:right w:val="nil"/>
          <w:between w:val="nil"/>
        </w:pBdr>
        <w:spacing w:line="360" w:lineRule="auto"/>
        <w:ind w:firstLine="426"/>
        <w:jc w:val="both"/>
        <w:rPr>
          <w:rFonts w:ascii="Times New Roman" w:eastAsia="Times New Roman" w:hAnsi="Times New Roman" w:cs="Times New Roman"/>
          <w:sz w:val="24"/>
          <w:szCs w:val="24"/>
        </w:rPr>
      </w:pPr>
      <w:r w:rsidRPr="002D2840">
        <w:rPr>
          <w:rFonts w:ascii="Times New Roman" w:eastAsia="Times New Roman" w:hAnsi="Times New Roman" w:cs="Times New Roman"/>
          <w:sz w:val="24"/>
          <w:szCs w:val="24"/>
        </w:rPr>
        <w:t>A pesquisa também identificou facilitadores que podem potencializar a utilização do conhecimento dos trabalhadores seniores. A cultura de aprendizado contínuo emergiu como um dos principais facilitadores. Organizações que promovem um ambiente onde o aprendizado é valorizado e incentivam a troca de ideias entre diferentes gerações demonstram maior propensão a integrar o conhecimento dos trabalhadores seniores de maneira eficaz (</w:t>
      </w:r>
      <w:proofErr w:type="spellStart"/>
      <w:r w:rsidRPr="002D2840">
        <w:rPr>
          <w:rFonts w:ascii="Times New Roman" w:eastAsia="Times New Roman" w:hAnsi="Times New Roman" w:cs="Times New Roman"/>
          <w:sz w:val="24"/>
          <w:szCs w:val="24"/>
        </w:rPr>
        <w:t>McKinsey</w:t>
      </w:r>
      <w:proofErr w:type="spellEnd"/>
      <w:r w:rsidRPr="002D2840">
        <w:rPr>
          <w:rFonts w:ascii="Times New Roman" w:eastAsia="Times New Roman" w:hAnsi="Times New Roman" w:cs="Times New Roman"/>
          <w:sz w:val="24"/>
          <w:szCs w:val="24"/>
        </w:rPr>
        <w:t xml:space="preserve"> &amp; </w:t>
      </w:r>
      <w:proofErr w:type="spellStart"/>
      <w:r w:rsidRPr="002D2840">
        <w:rPr>
          <w:rFonts w:ascii="Times New Roman" w:eastAsia="Times New Roman" w:hAnsi="Times New Roman" w:cs="Times New Roman"/>
          <w:sz w:val="24"/>
          <w:szCs w:val="24"/>
        </w:rPr>
        <w:t>Company</w:t>
      </w:r>
      <w:proofErr w:type="spellEnd"/>
      <w:r w:rsidRPr="002D2840">
        <w:rPr>
          <w:rFonts w:ascii="Times New Roman" w:eastAsia="Times New Roman" w:hAnsi="Times New Roman" w:cs="Times New Roman"/>
          <w:sz w:val="24"/>
          <w:szCs w:val="24"/>
        </w:rPr>
        <w:t xml:space="preserve">, 2024; World </w:t>
      </w:r>
      <w:proofErr w:type="spellStart"/>
      <w:r w:rsidRPr="002D2840">
        <w:rPr>
          <w:rFonts w:ascii="Times New Roman" w:eastAsia="Times New Roman" w:hAnsi="Times New Roman" w:cs="Times New Roman"/>
          <w:sz w:val="24"/>
          <w:szCs w:val="24"/>
        </w:rPr>
        <w:t>Economic</w:t>
      </w:r>
      <w:proofErr w:type="spellEnd"/>
      <w:r w:rsidRPr="002D2840">
        <w:rPr>
          <w:rFonts w:ascii="Times New Roman" w:eastAsia="Times New Roman" w:hAnsi="Times New Roman" w:cs="Times New Roman"/>
          <w:sz w:val="24"/>
          <w:szCs w:val="24"/>
        </w:rPr>
        <w:t xml:space="preserve"> </w:t>
      </w:r>
      <w:proofErr w:type="spellStart"/>
      <w:r w:rsidRPr="002D2840">
        <w:rPr>
          <w:rFonts w:ascii="Times New Roman" w:eastAsia="Times New Roman" w:hAnsi="Times New Roman" w:cs="Times New Roman"/>
          <w:sz w:val="24"/>
          <w:szCs w:val="24"/>
        </w:rPr>
        <w:t>Forum</w:t>
      </w:r>
      <w:proofErr w:type="spellEnd"/>
      <w:r w:rsidRPr="002D2840">
        <w:rPr>
          <w:rFonts w:ascii="Times New Roman" w:eastAsia="Times New Roman" w:hAnsi="Times New Roman" w:cs="Times New Roman"/>
          <w:sz w:val="24"/>
          <w:szCs w:val="24"/>
        </w:rPr>
        <w:t>, 2023). Essa abordagem é fundamental para construir um ciclo de aprendizado que beneficia toda a equipe, permitindo que os trabalhadores seniores compartilhem suas experiências e conhecimentos, ao mesmo tempo em que aprendem com as novas perspectivas e habilidades dos mais jovens.</w:t>
      </w:r>
    </w:p>
    <w:p w14:paraId="15F3997F" w14:textId="77777777" w:rsidR="002D2840" w:rsidRDefault="002D2840" w:rsidP="002D2840">
      <w:pPr>
        <w:pBdr>
          <w:top w:val="nil"/>
          <w:left w:val="nil"/>
          <w:bottom w:val="nil"/>
          <w:right w:val="nil"/>
          <w:between w:val="nil"/>
        </w:pBdr>
        <w:spacing w:line="360" w:lineRule="auto"/>
        <w:ind w:firstLine="426"/>
        <w:jc w:val="both"/>
        <w:rPr>
          <w:rFonts w:ascii="Times New Roman" w:eastAsia="Times New Roman" w:hAnsi="Times New Roman" w:cs="Times New Roman"/>
          <w:sz w:val="24"/>
          <w:szCs w:val="24"/>
        </w:rPr>
      </w:pPr>
      <w:r w:rsidRPr="002D2840">
        <w:rPr>
          <w:rFonts w:ascii="Times New Roman" w:eastAsia="Times New Roman" w:hAnsi="Times New Roman" w:cs="Times New Roman"/>
          <w:sz w:val="24"/>
          <w:szCs w:val="24"/>
        </w:rPr>
        <w:t>Outro facilitador identificado foi a prática de mentoria reversa, onde trabalhadores mais jovens ensinam habilidades digitais aos seniores. Essa dinâmica tem se mostrado eficaz na promoção da inclusão e na troca de conhecimento, contribuindo para a diminuição de estigmas etários (</w:t>
      </w:r>
      <w:proofErr w:type="spellStart"/>
      <w:r w:rsidRPr="002D2840">
        <w:rPr>
          <w:rFonts w:ascii="Times New Roman" w:eastAsia="Times New Roman" w:hAnsi="Times New Roman" w:cs="Times New Roman"/>
          <w:sz w:val="24"/>
          <w:szCs w:val="24"/>
        </w:rPr>
        <w:t>Kooij</w:t>
      </w:r>
      <w:proofErr w:type="spellEnd"/>
      <w:r w:rsidRPr="002D2840">
        <w:rPr>
          <w:rFonts w:ascii="Times New Roman" w:eastAsia="Times New Roman" w:hAnsi="Times New Roman" w:cs="Times New Roman"/>
          <w:sz w:val="24"/>
          <w:szCs w:val="24"/>
        </w:rPr>
        <w:t xml:space="preserve"> et al., 2020). A mentoria reversa não apenas facilita a transferência de conhecimento, mas também promove um ambiente de respeito mútuo, onde as contribuições de diferentes gerações são valorizadas. Essa prática é um exemplo de como as organizações podem transformar a percepção em relação aos trabalhadores seniores, reconhecendo-os como fontes valiosas de conhecimento e experiência.</w:t>
      </w:r>
    </w:p>
    <w:p w14:paraId="6800C455" w14:textId="77777777" w:rsidR="002D2840" w:rsidRDefault="002D2840" w:rsidP="002D2840">
      <w:pPr>
        <w:pBdr>
          <w:top w:val="nil"/>
          <w:left w:val="nil"/>
          <w:bottom w:val="nil"/>
          <w:right w:val="nil"/>
          <w:between w:val="nil"/>
        </w:pBdr>
        <w:spacing w:line="360" w:lineRule="auto"/>
        <w:ind w:firstLine="426"/>
        <w:jc w:val="both"/>
        <w:rPr>
          <w:rFonts w:ascii="Times New Roman" w:eastAsia="Times New Roman" w:hAnsi="Times New Roman" w:cs="Times New Roman"/>
          <w:sz w:val="24"/>
          <w:szCs w:val="24"/>
        </w:rPr>
      </w:pPr>
      <w:r w:rsidRPr="002D2840">
        <w:rPr>
          <w:rFonts w:ascii="Times New Roman" w:eastAsia="Times New Roman" w:hAnsi="Times New Roman" w:cs="Times New Roman"/>
          <w:sz w:val="24"/>
          <w:szCs w:val="24"/>
        </w:rPr>
        <w:t xml:space="preserve">A utilização de plataformas digitais para facilitar o compartilhamento de conhecimento tácito também se destacou como um outro facilitador. Essas ferramentas permitem </w:t>
      </w:r>
      <w:r w:rsidRPr="002D2840">
        <w:rPr>
          <w:rFonts w:ascii="Times New Roman" w:eastAsia="Times New Roman" w:hAnsi="Times New Roman" w:cs="Times New Roman"/>
          <w:sz w:val="24"/>
          <w:szCs w:val="24"/>
        </w:rPr>
        <w:lastRenderedPageBreak/>
        <w:t>documentar e compartilhar o conhecimento dos trabalhadores seniores, tornando-o acessível a toda a organização (</w:t>
      </w:r>
      <w:proofErr w:type="spellStart"/>
      <w:r w:rsidRPr="002D2840">
        <w:rPr>
          <w:rFonts w:ascii="Times New Roman" w:eastAsia="Times New Roman" w:hAnsi="Times New Roman" w:cs="Times New Roman"/>
          <w:sz w:val="24"/>
          <w:szCs w:val="24"/>
        </w:rPr>
        <w:t>Kucharska</w:t>
      </w:r>
      <w:proofErr w:type="spellEnd"/>
      <w:r w:rsidRPr="002D2840">
        <w:rPr>
          <w:rFonts w:ascii="Times New Roman" w:eastAsia="Times New Roman" w:hAnsi="Times New Roman" w:cs="Times New Roman"/>
          <w:sz w:val="24"/>
          <w:szCs w:val="24"/>
        </w:rPr>
        <w:t xml:space="preserve"> &amp; </w:t>
      </w:r>
      <w:proofErr w:type="spellStart"/>
      <w:r w:rsidRPr="002D2840">
        <w:rPr>
          <w:rFonts w:ascii="Times New Roman" w:eastAsia="Times New Roman" w:hAnsi="Times New Roman" w:cs="Times New Roman"/>
          <w:sz w:val="24"/>
          <w:szCs w:val="24"/>
        </w:rPr>
        <w:t>Erickson</w:t>
      </w:r>
      <w:proofErr w:type="spellEnd"/>
      <w:r w:rsidRPr="002D2840">
        <w:rPr>
          <w:rFonts w:ascii="Times New Roman" w:eastAsia="Times New Roman" w:hAnsi="Times New Roman" w:cs="Times New Roman"/>
          <w:sz w:val="24"/>
          <w:szCs w:val="24"/>
        </w:rPr>
        <w:t>, 2023). A implementação de tais plataformas não apenas melhora a comunicação e a colaboração, mas também assegura que o conhecimento crítico não se perca quando os trabalhadores seniores se aposentam ou deixam a organização.</w:t>
      </w:r>
    </w:p>
    <w:p w14:paraId="165F36EF" w14:textId="77777777" w:rsidR="002D2840" w:rsidRDefault="002D2840" w:rsidP="002D2840">
      <w:pPr>
        <w:pBdr>
          <w:top w:val="nil"/>
          <w:left w:val="nil"/>
          <w:bottom w:val="nil"/>
          <w:right w:val="nil"/>
          <w:between w:val="nil"/>
        </w:pBdr>
        <w:spacing w:line="360" w:lineRule="auto"/>
        <w:ind w:firstLine="426"/>
        <w:jc w:val="both"/>
        <w:rPr>
          <w:rFonts w:ascii="Times New Roman" w:eastAsia="Times New Roman" w:hAnsi="Times New Roman" w:cs="Times New Roman"/>
          <w:sz w:val="24"/>
          <w:szCs w:val="24"/>
        </w:rPr>
      </w:pPr>
      <w:r w:rsidRPr="002D2840">
        <w:rPr>
          <w:rFonts w:ascii="Times New Roman" w:eastAsia="Times New Roman" w:hAnsi="Times New Roman" w:cs="Times New Roman"/>
          <w:sz w:val="24"/>
          <w:szCs w:val="24"/>
        </w:rPr>
        <w:t>A pesquisa revelou lacunas significativas na literatura existente, sendo uma delas a pouca atenção à interseção entre inteligência artificial e práticas de recursos humanos inclusivas. A literatura frequentemente não analisa como integrar a inteligência artificial a práticas que promovam a inclusão dos trabalhadores seniores (Gaviria-Marin et al., 2018). Essa interseção é relevante para o desenvolvimento de estratégias que reconheçam e utilizem as contribuições desses profissionais. Outra lacuna importante é a escassez de estudos em países em desenvolvimento. A maioria das pesquisas sobre gestão do conhecimento e inteligência artificial foca em contextos desenvolvidos, deixando de lado as realidades e desafios enfrentados em mercados emergentes (Guerreiro &amp; Silva, 2021). Essa falta de atenção limita a aplicabilidade dos achados, evidenciando a necessidade de investigações que considerem as particularidades desses contextos. Por fim, a pesquisa destacou a falta de modelos operacionais para a combinação sistemática da inteligência artificial com o conhecimento dos trabalhadores seniores. É necessário desenvolver modelos que orientem as organizações na integração dessas capacidades, garantindo que as contribuições dos trabalhadores seniores sejam efetivamente aproveitadas (</w:t>
      </w:r>
      <w:proofErr w:type="spellStart"/>
      <w:r w:rsidRPr="002D2840">
        <w:rPr>
          <w:rFonts w:ascii="Times New Roman" w:eastAsia="Times New Roman" w:hAnsi="Times New Roman" w:cs="Times New Roman"/>
          <w:sz w:val="24"/>
          <w:szCs w:val="24"/>
        </w:rPr>
        <w:t>Kooij</w:t>
      </w:r>
      <w:proofErr w:type="spellEnd"/>
      <w:r w:rsidRPr="002D2840">
        <w:rPr>
          <w:rFonts w:ascii="Times New Roman" w:eastAsia="Times New Roman" w:hAnsi="Times New Roman" w:cs="Times New Roman"/>
          <w:sz w:val="24"/>
          <w:szCs w:val="24"/>
        </w:rPr>
        <w:t xml:space="preserve"> et al., 2020).</w:t>
      </w:r>
    </w:p>
    <w:p w14:paraId="521D2A69" w14:textId="68EE3B20" w:rsidR="00D8471E" w:rsidRDefault="002D2840" w:rsidP="002D2840">
      <w:pPr>
        <w:pBdr>
          <w:top w:val="nil"/>
          <w:left w:val="nil"/>
          <w:bottom w:val="nil"/>
          <w:right w:val="nil"/>
          <w:between w:val="nil"/>
        </w:pBdr>
        <w:spacing w:line="360" w:lineRule="auto"/>
        <w:ind w:firstLine="426"/>
        <w:jc w:val="both"/>
        <w:rPr>
          <w:rFonts w:ascii="Times New Roman" w:eastAsia="Times New Roman" w:hAnsi="Times New Roman" w:cs="Times New Roman"/>
          <w:sz w:val="24"/>
          <w:szCs w:val="24"/>
        </w:rPr>
      </w:pPr>
      <w:r w:rsidRPr="002D2840">
        <w:rPr>
          <w:rFonts w:ascii="Times New Roman" w:eastAsia="Times New Roman" w:hAnsi="Times New Roman" w:cs="Times New Roman"/>
          <w:sz w:val="24"/>
          <w:szCs w:val="24"/>
        </w:rPr>
        <w:t>As principais descobertas podem ser sintetizadas no quadro 2 a seguir:</w:t>
      </w:r>
    </w:p>
    <w:p w14:paraId="2B164B76" w14:textId="77777777" w:rsidR="00067EBE" w:rsidRDefault="00067EBE" w:rsidP="002D2840">
      <w:pPr>
        <w:pBdr>
          <w:top w:val="nil"/>
          <w:left w:val="nil"/>
          <w:bottom w:val="nil"/>
          <w:right w:val="nil"/>
          <w:between w:val="nil"/>
        </w:pBdr>
        <w:spacing w:line="360" w:lineRule="auto"/>
        <w:ind w:firstLine="426"/>
        <w:jc w:val="both"/>
        <w:rPr>
          <w:rFonts w:ascii="Times New Roman" w:eastAsia="Times New Roman" w:hAnsi="Times New Roman" w:cs="Times New Roman"/>
          <w:sz w:val="24"/>
          <w:szCs w:val="24"/>
        </w:rPr>
      </w:pPr>
    </w:p>
    <w:p w14:paraId="796B552A" w14:textId="77777777" w:rsidR="00067EBE" w:rsidRPr="004F2824" w:rsidRDefault="00067EBE" w:rsidP="00067EB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B22CCA">
        <w:rPr>
          <w:rFonts w:ascii="Times New Roman" w:hAnsi="Times New Roman" w:cs="Times New Roman"/>
          <w:i/>
          <w:iCs/>
        </w:rPr>
        <w:t>Quadro</w:t>
      </w:r>
      <w:r w:rsidRPr="00945B47">
        <w:rPr>
          <w:rFonts w:ascii="Times New Roman" w:hAnsi="Times New Roman" w:cs="Times New Roman"/>
          <w:i/>
          <w:iCs/>
        </w:rPr>
        <w:t xml:space="preserve"> </w:t>
      </w:r>
      <w:r>
        <w:rPr>
          <w:rFonts w:ascii="Times New Roman" w:hAnsi="Times New Roman" w:cs="Times New Roman"/>
          <w:i/>
          <w:iCs/>
        </w:rPr>
        <w:t xml:space="preserve">2: </w:t>
      </w:r>
      <w:r w:rsidRPr="00EB5EB5">
        <w:rPr>
          <w:rFonts w:ascii="Times New Roman" w:hAnsi="Times New Roman" w:cs="Times New Roman"/>
          <w:i/>
          <w:iCs/>
        </w:rPr>
        <w:t>Barreiras e facilitadores ao uso do conhecimento de colaboradores seniores</w:t>
      </w:r>
    </w:p>
    <w:tbl>
      <w:tblPr>
        <w:tblStyle w:val="Tabelacomgrade"/>
        <w:tblW w:w="0" w:type="auto"/>
        <w:tblLook w:val="04A0" w:firstRow="1" w:lastRow="0" w:firstColumn="1" w:lastColumn="0" w:noHBand="0" w:noVBand="1"/>
      </w:tblPr>
      <w:tblGrid>
        <w:gridCol w:w="2266"/>
        <w:gridCol w:w="2266"/>
        <w:gridCol w:w="2266"/>
        <w:gridCol w:w="2266"/>
      </w:tblGrid>
      <w:tr w:rsidR="00067EBE" w14:paraId="74A2A75A" w14:textId="77777777" w:rsidTr="00285CFC">
        <w:tc>
          <w:tcPr>
            <w:tcW w:w="2266" w:type="dxa"/>
            <w:vAlign w:val="center"/>
          </w:tcPr>
          <w:p w14:paraId="25AF2D23" w14:textId="77777777" w:rsidR="00067EBE" w:rsidRPr="00B57768" w:rsidRDefault="00067EBE" w:rsidP="009D050D">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Identificador</w:t>
            </w:r>
          </w:p>
        </w:tc>
        <w:tc>
          <w:tcPr>
            <w:tcW w:w="2266" w:type="dxa"/>
            <w:vAlign w:val="center"/>
          </w:tcPr>
          <w:p w14:paraId="4C635B60" w14:textId="77777777" w:rsidR="00067EBE" w:rsidRPr="00B57768" w:rsidRDefault="00067EBE" w:rsidP="009D050D">
            <w:pPr>
              <w:jc w:val="center"/>
              <w:rPr>
                <w:rFonts w:ascii="Times New Roman" w:eastAsia="Times New Roman" w:hAnsi="Times New Roman" w:cs="Times New Roman"/>
                <w:b/>
                <w:bCs/>
                <w:sz w:val="24"/>
                <w:szCs w:val="24"/>
              </w:rPr>
            </w:pPr>
            <w:r w:rsidRPr="00B57768">
              <w:rPr>
                <w:rFonts w:ascii="Times New Roman" w:eastAsia="Times New Roman" w:hAnsi="Times New Roman" w:cs="Times New Roman"/>
                <w:b/>
                <w:bCs/>
                <w:sz w:val="24"/>
                <w:szCs w:val="24"/>
              </w:rPr>
              <w:t>Barreira</w:t>
            </w:r>
          </w:p>
        </w:tc>
        <w:tc>
          <w:tcPr>
            <w:tcW w:w="2266" w:type="dxa"/>
            <w:vAlign w:val="center"/>
          </w:tcPr>
          <w:p w14:paraId="1AB54C8A" w14:textId="77777777" w:rsidR="00067EBE" w:rsidRPr="00B57768" w:rsidRDefault="00067EBE" w:rsidP="009D050D">
            <w:pPr>
              <w:jc w:val="center"/>
              <w:rPr>
                <w:rFonts w:ascii="Times New Roman" w:eastAsia="Times New Roman" w:hAnsi="Times New Roman" w:cs="Times New Roman"/>
                <w:b/>
                <w:bCs/>
                <w:sz w:val="24"/>
                <w:szCs w:val="24"/>
              </w:rPr>
            </w:pPr>
            <w:r w:rsidRPr="00B57768">
              <w:rPr>
                <w:rFonts w:ascii="Times New Roman" w:eastAsia="Times New Roman" w:hAnsi="Times New Roman" w:cs="Times New Roman"/>
                <w:b/>
                <w:bCs/>
                <w:sz w:val="24"/>
                <w:szCs w:val="24"/>
              </w:rPr>
              <w:t>Indicador de barreira</w:t>
            </w:r>
          </w:p>
        </w:tc>
        <w:tc>
          <w:tcPr>
            <w:tcW w:w="2266" w:type="dxa"/>
            <w:vAlign w:val="center"/>
          </w:tcPr>
          <w:p w14:paraId="38461BBB" w14:textId="77777777" w:rsidR="00067EBE" w:rsidRPr="00B57768" w:rsidRDefault="00067EBE" w:rsidP="009D050D">
            <w:pPr>
              <w:jc w:val="center"/>
              <w:rPr>
                <w:rFonts w:ascii="Times New Roman" w:eastAsia="Times New Roman" w:hAnsi="Times New Roman" w:cs="Times New Roman"/>
                <w:b/>
                <w:bCs/>
                <w:sz w:val="24"/>
                <w:szCs w:val="24"/>
              </w:rPr>
            </w:pPr>
            <w:r w:rsidRPr="00B57768">
              <w:rPr>
                <w:rFonts w:ascii="Times New Roman" w:eastAsia="Times New Roman" w:hAnsi="Times New Roman" w:cs="Times New Roman"/>
                <w:b/>
                <w:bCs/>
                <w:sz w:val="24"/>
                <w:szCs w:val="24"/>
              </w:rPr>
              <w:t>Autores</w:t>
            </w:r>
          </w:p>
        </w:tc>
      </w:tr>
      <w:tr w:rsidR="00067EBE" w14:paraId="64A59AC6" w14:textId="77777777" w:rsidTr="00285CFC">
        <w:tc>
          <w:tcPr>
            <w:tcW w:w="2266" w:type="dxa"/>
            <w:vMerge w:val="restart"/>
            <w:vAlign w:val="center"/>
          </w:tcPr>
          <w:p w14:paraId="1EFB2068" w14:textId="77777777" w:rsidR="00067EBE" w:rsidRPr="00B57768" w:rsidRDefault="00067EBE" w:rsidP="009D050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Barreira</w:t>
            </w:r>
          </w:p>
        </w:tc>
        <w:tc>
          <w:tcPr>
            <w:tcW w:w="2266" w:type="dxa"/>
            <w:vAlign w:val="center"/>
          </w:tcPr>
          <w:p w14:paraId="2317013C" w14:textId="77777777" w:rsidR="00067EBE" w:rsidRPr="00B57768" w:rsidRDefault="00067EBE" w:rsidP="009D050D">
            <w:pPr>
              <w:jc w:val="both"/>
              <w:rPr>
                <w:rFonts w:ascii="Times New Roman" w:eastAsia="Times New Roman" w:hAnsi="Times New Roman" w:cs="Times New Roman"/>
                <w:sz w:val="24"/>
                <w:szCs w:val="24"/>
              </w:rPr>
            </w:pPr>
            <w:r w:rsidRPr="00B57768">
              <w:rPr>
                <w:rFonts w:ascii="Times New Roman" w:eastAsia="Times New Roman" w:hAnsi="Times New Roman" w:cs="Times New Roman"/>
                <w:sz w:val="24"/>
                <w:szCs w:val="24"/>
              </w:rPr>
              <w:t>Conhecimento defasado</w:t>
            </w:r>
          </w:p>
        </w:tc>
        <w:tc>
          <w:tcPr>
            <w:tcW w:w="2266" w:type="dxa"/>
            <w:vAlign w:val="center"/>
          </w:tcPr>
          <w:p w14:paraId="44973144" w14:textId="77777777" w:rsidR="00067EBE" w:rsidRPr="00B57768" w:rsidRDefault="00067EBE" w:rsidP="009D050D">
            <w:pPr>
              <w:jc w:val="both"/>
              <w:rPr>
                <w:rFonts w:ascii="Times New Roman" w:eastAsia="Times New Roman" w:hAnsi="Times New Roman" w:cs="Times New Roman"/>
                <w:sz w:val="24"/>
                <w:szCs w:val="24"/>
              </w:rPr>
            </w:pPr>
            <w:r w:rsidRPr="00B57768">
              <w:rPr>
                <w:rFonts w:ascii="Times New Roman" w:eastAsia="Times New Roman" w:hAnsi="Times New Roman" w:cs="Times New Roman"/>
                <w:sz w:val="24"/>
                <w:szCs w:val="24"/>
              </w:rPr>
              <w:t>Resistência ao uso do conhecimento de trabalhadores seniores.</w:t>
            </w:r>
          </w:p>
        </w:tc>
        <w:tc>
          <w:tcPr>
            <w:tcW w:w="2266" w:type="dxa"/>
            <w:vAlign w:val="center"/>
          </w:tcPr>
          <w:p w14:paraId="7749C8B4" w14:textId="77777777" w:rsidR="00067EBE" w:rsidRPr="00B57768" w:rsidRDefault="00067EBE" w:rsidP="009D050D">
            <w:pPr>
              <w:jc w:val="both"/>
              <w:rPr>
                <w:rFonts w:ascii="Times New Roman" w:eastAsia="Times New Roman" w:hAnsi="Times New Roman" w:cs="Times New Roman"/>
                <w:sz w:val="24"/>
                <w:szCs w:val="24"/>
              </w:rPr>
            </w:pPr>
            <w:r w:rsidRPr="00B57768">
              <w:rPr>
                <w:rFonts w:ascii="Times New Roman" w:eastAsia="Times New Roman" w:hAnsi="Times New Roman" w:cs="Times New Roman"/>
                <w:sz w:val="24"/>
                <w:szCs w:val="24"/>
              </w:rPr>
              <w:t>Silva (2019)</w:t>
            </w:r>
          </w:p>
        </w:tc>
      </w:tr>
      <w:tr w:rsidR="00067EBE" w14:paraId="5E57461B" w14:textId="77777777" w:rsidTr="00285CFC">
        <w:tc>
          <w:tcPr>
            <w:tcW w:w="2266" w:type="dxa"/>
            <w:vMerge/>
            <w:vAlign w:val="center"/>
          </w:tcPr>
          <w:p w14:paraId="402F81A9" w14:textId="77777777" w:rsidR="00067EBE" w:rsidRPr="00B57768" w:rsidRDefault="00067EBE" w:rsidP="009D050D">
            <w:pPr>
              <w:jc w:val="center"/>
              <w:rPr>
                <w:rFonts w:ascii="Times New Roman" w:eastAsia="Times New Roman" w:hAnsi="Times New Roman" w:cs="Times New Roman"/>
                <w:sz w:val="24"/>
                <w:szCs w:val="24"/>
              </w:rPr>
            </w:pPr>
          </w:p>
        </w:tc>
        <w:tc>
          <w:tcPr>
            <w:tcW w:w="2266" w:type="dxa"/>
            <w:vAlign w:val="center"/>
          </w:tcPr>
          <w:p w14:paraId="798E012A" w14:textId="77777777" w:rsidR="00067EBE" w:rsidRPr="00B57768" w:rsidRDefault="00067EBE" w:rsidP="009D050D">
            <w:pPr>
              <w:jc w:val="both"/>
              <w:rPr>
                <w:rFonts w:ascii="Times New Roman" w:eastAsia="Times New Roman" w:hAnsi="Times New Roman" w:cs="Times New Roman"/>
                <w:sz w:val="24"/>
                <w:szCs w:val="24"/>
              </w:rPr>
            </w:pPr>
            <w:r w:rsidRPr="00B57768">
              <w:rPr>
                <w:rFonts w:ascii="Times New Roman" w:eastAsia="Times New Roman" w:hAnsi="Times New Roman" w:cs="Times New Roman"/>
                <w:sz w:val="24"/>
                <w:szCs w:val="24"/>
              </w:rPr>
              <w:t>Estereótipos etários e exclusão geracional</w:t>
            </w:r>
          </w:p>
        </w:tc>
        <w:tc>
          <w:tcPr>
            <w:tcW w:w="2266" w:type="dxa"/>
            <w:vAlign w:val="center"/>
          </w:tcPr>
          <w:p w14:paraId="57CFA11E" w14:textId="77777777" w:rsidR="00067EBE" w:rsidRPr="00B57768" w:rsidRDefault="00067EBE" w:rsidP="009D050D">
            <w:pPr>
              <w:jc w:val="both"/>
              <w:rPr>
                <w:rFonts w:ascii="Times New Roman" w:eastAsia="Times New Roman" w:hAnsi="Times New Roman" w:cs="Times New Roman"/>
                <w:sz w:val="24"/>
                <w:szCs w:val="24"/>
              </w:rPr>
            </w:pPr>
            <w:r w:rsidRPr="00B57768">
              <w:rPr>
                <w:rFonts w:ascii="Times New Roman" w:eastAsia="Times New Roman" w:hAnsi="Times New Roman" w:cs="Times New Roman"/>
                <w:sz w:val="24"/>
                <w:szCs w:val="24"/>
              </w:rPr>
              <w:t>Desvalorização do conhecimento tácito dos trabalhadores seniores</w:t>
            </w:r>
          </w:p>
        </w:tc>
        <w:tc>
          <w:tcPr>
            <w:tcW w:w="2266" w:type="dxa"/>
            <w:vAlign w:val="center"/>
          </w:tcPr>
          <w:p w14:paraId="5364D549" w14:textId="77777777" w:rsidR="00067EBE" w:rsidRPr="00B57768" w:rsidRDefault="00067EBE" w:rsidP="009D050D">
            <w:pPr>
              <w:jc w:val="both"/>
              <w:rPr>
                <w:rFonts w:ascii="Times New Roman" w:eastAsia="Times New Roman" w:hAnsi="Times New Roman" w:cs="Times New Roman"/>
                <w:sz w:val="24"/>
                <w:szCs w:val="24"/>
              </w:rPr>
            </w:pPr>
            <w:r w:rsidRPr="00B57768">
              <w:rPr>
                <w:rFonts w:ascii="Times New Roman" w:eastAsia="Times New Roman" w:hAnsi="Times New Roman" w:cs="Times New Roman"/>
                <w:sz w:val="24"/>
                <w:szCs w:val="24"/>
              </w:rPr>
              <w:t>Guerreiro &amp; Silva (2021); Lee et al. (2022)</w:t>
            </w:r>
          </w:p>
        </w:tc>
      </w:tr>
      <w:tr w:rsidR="00067EBE" w14:paraId="0309F6C8" w14:textId="77777777" w:rsidTr="00285CFC">
        <w:tc>
          <w:tcPr>
            <w:tcW w:w="2266" w:type="dxa"/>
            <w:vMerge/>
            <w:vAlign w:val="center"/>
          </w:tcPr>
          <w:p w14:paraId="55296BEC" w14:textId="77777777" w:rsidR="00067EBE" w:rsidRPr="00B57768" w:rsidRDefault="00067EBE" w:rsidP="009D050D">
            <w:pPr>
              <w:jc w:val="center"/>
              <w:rPr>
                <w:rFonts w:ascii="Times New Roman" w:eastAsia="Times New Roman" w:hAnsi="Times New Roman" w:cs="Times New Roman"/>
                <w:sz w:val="24"/>
                <w:szCs w:val="24"/>
              </w:rPr>
            </w:pPr>
          </w:p>
        </w:tc>
        <w:tc>
          <w:tcPr>
            <w:tcW w:w="2266" w:type="dxa"/>
            <w:vAlign w:val="center"/>
          </w:tcPr>
          <w:p w14:paraId="311E2F14" w14:textId="77777777" w:rsidR="00067EBE" w:rsidRPr="00B57768" w:rsidRDefault="00067EBE" w:rsidP="009D050D">
            <w:pPr>
              <w:jc w:val="both"/>
              <w:rPr>
                <w:rFonts w:ascii="Times New Roman" w:eastAsia="Times New Roman" w:hAnsi="Times New Roman" w:cs="Times New Roman"/>
                <w:sz w:val="24"/>
                <w:szCs w:val="24"/>
              </w:rPr>
            </w:pPr>
            <w:r w:rsidRPr="00B57768">
              <w:rPr>
                <w:rFonts w:ascii="Times New Roman" w:eastAsia="Times New Roman" w:hAnsi="Times New Roman" w:cs="Times New Roman"/>
                <w:sz w:val="24"/>
                <w:szCs w:val="24"/>
              </w:rPr>
              <w:t>Falta de familiaridade com ferramentas digitais</w:t>
            </w:r>
          </w:p>
        </w:tc>
        <w:tc>
          <w:tcPr>
            <w:tcW w:w="2266" w:type="dxa"/>
            <w:vAlign w:val="center"/>
          </w:tcPr>
          <w:p w14:paraId="6E00CCC8" w14:textId="77777777" w:rsidR="00067EBE" w:rsidRPr="00B57768" w:rsidRDefault="00067EBE" w:rsidP="009D050D">
            <w:pPr>
              <w:jc w:val="both"/>
              <w:rPr>
                <w:rFonts w:ascii="Times New Roman" w:eastAsia="Times New Roman" w:hAnsi="Times New Roman" w:cs="Times New Roman"/>
                <w:sz w:val="24"/>
                <w:szCs w:val="24"/>
              </w:rPr>
            </w:pPr>
            <w:r w:rsidRPr="00B57768">
              <w:rPr>
                <w:rFonts w:ascii="Times New Roman" w:eastAsia="Times New Roman" w:hAnsi="Times New Roman" w:cs="Times New Roman"/>
                <w:sz w:val="24"/>
                <w:szCs w:val="24"/>
              </w:rPr>
              <w:t>Dificuldade em usar novas tecnologias</w:t>
            </w:r>
          </w:p>
        </w:tc>
        <w:tc>
          <w:tcPr>
            <w:tcW w:w="2266" w:type="dxa"/>
            <w:vAlign w:val="center"/>
          </w:tcPr>
          <w:p w14:paraId="2FBD0F8A" w14:textId="77777777" w:rsidR="00067EBE" w:rsidRPr="00B57768" w:rsidRDefault="00067EBE" w:rsidP="009D050D">
            <w:pPr>
              <w:jc w:val="both"/>
              <w:rPr>
                <w:rFonts w:ascii="Times New Roman" w:eastAsia="Times New Roman" w:hAnsi="Times New Roman" w:cs="Times New Roman"/>
                <w:sz w:val="24"/>
                <w:szCs w:val="24"/>
              </w:rPr>
            </w:pPr>
            <w:proofErr w:type="spellStart"/>
            <w:r w:rsidRPr="00B57768">
              <w:rPr>
                <w:rFonts w:ascii="Times New Roman" w:eastAsia="Times New Roman" w:hAnsi="Times New Roman" w:cs="Times New Roman"/>
                <w:sz w:val="24"/>
                <w:szCs w:val="24"/>
              </w:rPr>
              <w:t>Posthuma</w:t>
            </w:r>
            <w:proofErr w:type="spellEnd"/>
            <w:r w:rsidRPr="00B57768">
              <w:rPr>
                <w:rFonts w:ascii="Times New Roman" w:eastAsia="Times New Roman" w:hAnsi="Times New Roman" w:cs="Times New Roman"/>
                <w:sz w:val="24"/>
                <w:szCs w:val="24"/>
              </w:rPr>
              <w:t xml:space="preserve"> &amp; </w:t>
            </w:r>
            <w:proofErr w:type="spellStart"/>
            <w:r w:rsidRPr="00B57768">
              <w:rPr>
                <w:rFonts w:ascii="Times New Roman" w:eastAsia="Times New Roman" w:hAnsi="Times New Roman" w:cs="Times New Roman"/>
                <w:sz w:val="24"/>
                <w:szCs w:val="24"/>
              </w:rPr>
              <w:t>Campion</w:t>
            </w:r>
            <w:proofErr w:type="spellEnd"/>
            <w:r w:rsidRPr="00B57768">
              <w:rPr>
                <w:rFonts w:ascii="Times New Roman" w:eastAsia="Times New Roman" w:hAnsi="Times New Roman" w:cs="Times New Roman"/>
                <w:sz w:val="24"/>
                <w:szCs w:val="24"/>
              </w:rPr>
              <w:t xml:space="preserve"> (2009)</w:t>
            </w:r>
          </w:p>
        </w:tc>
      </w:tr>
      <w:tr w:rsidR="00067EBE" w14:paraId="38388359" w14:textId="77777777" w:rsidTr="00285CFC">
        <w:tc>
          <w:tcPr>
            <w:tcW w:w="2266" w:type="dxa"/>
            <w:vMerge/>
            <w:vAlign w:val="center"/>
          </w:tcPr>
          <w:p w14:paraId="304CFB5F" w14:textId="77777777" w:rsidR="00067EBE" w:rsidRPr="00B57768" w:rsidRDefault="00067EBE" w:rsidP="009D050D">
            <w:pPr>
              <w:jc w:val="center"/>
              <w:rPr>
                <w:rFonts w:ascii="Times New Roman" w:eastAsia="Times New Roman" w:hAnsi="Times New Roman" w:cs="Times New Roman"/>
                <w:sz w:val="24"/>
                <w:szCs w:val="24"/>
              </w:rPr>
            </w:pPr>
          </w:p>
        </w:tc>
        <w:tc>
          <w:tcPr>
            <w:tcW w:w="2266" w:type="dxa"/>
            <w:vAlign w:val="center"/>
          </w:tcPr>
          <w:p w14:paraId="14544582" w14:textId="77777777" w:rsidR="00067EBE" w:rsidRPr="00B57768" w:rsidRDefault="00067EBE" w:rsidP="009D050D">
            <w:pPr>
              <w:jc w:val="both"/>
              <w:rPr>
                <w:rFonts w:ascii="Times New Roman" w:eastAsia="Times New Roman" w:hAnsi="Times New Roman" w:cs="Times New Roman"/>
                <w:sz w:val="24"/>
                <w:szCs w:val="24"/>
              </w:rPr>
            </w:pPr>
            <w:r w:rsidRPr="00B57768">
              <w:rPr>
                <w:rFonts w:ascii="Times New Roman" w:eastAsia="Times New Roman" w:hAnsi="Times New Roman" w:cs="Times New Roman"/>
                <w:sz w:val="24"/>
                <w:szCs w:val="24"/>
              </w:rPr>
              <w:t>Medo de perda de emprego</w:t>
            </w:r>
          </w:p>
        </w:tc>
        <w:tc>
          <w:tcPr>
            <w:tcW w:w="2266" w:type="dxa"/>
            <w:vAlign w:val="center"/>
          </w:tcPr>
          <w:p w14:paraId="7FFB361C" w14:textId="77777777" w:rsidR="00067EBE" w:rsidRPr="00B57768" w:rsidRDefault="00067EBE" w:rsidP="009D050D">
            <w:pPr>
              <w:jc w:val="both"/>
              <w:rPr>
                <w:rFonts w:ascii="Times New Roman" w:eastAsia="Times New Roman" w:hAnsi="Times New Roman" w:cs="Times New Roman"/>
                <w:sz w:val="24"/>
                <w:szCs w:val="24"/>
              </w:rPr>
            </w:pPr>
            <w:r w:rsidRPr="00B57768">
              <w:rPr>
                <w:rFonts w:ascii="Times New Roman" w:eastAsia="Times New Roman" w:hAnsi="Times New Roman" w:cs="Times New Roman"/>
                <w:sz w:val="24"/>
                <w:szCs w:val="24"/>
              </w:rPr>
              <w:t xml:space="preserve">Preocupação com a substituição por </w:t>
            </w:r>
            <w:r w:rsidRPr="00B57768">
              <w:rPr>
                <w:rFonts w:ascii="Times New Roman" w:eastAsia="Times New Roman" w:hAnsi="Times New Roman" w:cs="Times New Roman"/>
                <w:sz w:val="24"/>
                <w:szCs w:val="24"/>
              </w:rPr>
              <w:lastRenderedPageBreak/>
              <w:t>tecnologias automatizadas</w:t>
            </w:r>
          </w:p>
        </w:tc>
        <w:tc>
          <w:tcPr>
            <w:tcW w:w="2266" w:type="dxa"/>
            <w:vAlign w:val="center"/>
          </w:tcPr>
          <w:p w14:paraId="6357BE9D" w14:textId="77777777" w:rsidR="00067EBE" w:rsidRPr="00B57768" w:rsidRDefault="00067EBE" w:rsidP="009D050D">
            <w:pPr>
              <w:jc w:val="both"/>
              <w:rPr>
                <w:rFonts w:ascii="Times New Roman" w:eastAsia="Times New Roman" w:hAnsi="Times New Roman" w:cs="Times New Roman"/>
                <w:sz w:val="24"/>
                <w:szCs w:val="24"/>
              </w:rPr>
            </w:pPr>
            <w:proofErr w:type="spellStart"/>
            <w:r w:rsidRPr="00B57768">
              <w:rPr>
                <w:rFonts w:ascii="Times New Roman" w:eastAsia="Times New Roman" w:hAnsi="Times New Roman" w:cs="Times New Roman"/>
                <w:sz w:val="24"/>
                <w:szCs w:val="24"/>
              </w:rPr>
              <w:lastRenderedPageBreak/>
              <w:t>Hardy</w:t>
            </w:r>
            <w:proofErr w:type="spellEnd"/>
            <w:r w:rsidRPr="00B57768">
              <w:rPr>
                <w:rFonts w:ascii="Times New Roman" w:eastAsia="Times New Roman" w:hAnsi="Times New Roman" w:cs="Times New Roman"/>
                <w:sz w:val="24"/>
                <w:szCs w:val="24"/>
              </w:rPr>
              <w:t xml:space="preserve"> &amp; </w:t>
            </w:r>
            <w:proofErr w:type="spellStart"/>
            <w:r w:rsidRPr="00B57768">
              <w:rPr>
                <w:rFonts w:ascii="Times New Roman" w:eastAsia="Times New Roman" w:hAnsi="Times New Roman" w:cs="Times New Roman"/>
                <w:sz w:val="24"/>
                <w:szCs w:val="24"/>
              </w:rPr>
              <w:t>Castonguay</w:t>
            </w:r>
            <w:proofErr w:type="spellEnd"/>
            <w:r w:rsidRPr="00B57768">
              <w:rPr>
                <w:rFonts w:ascii="Times New Roman" w:eastAsia="Times New Roman" w:hAnsi="Times New Roman" w:cs="Times New Roman"/>
                <w:sz w:val="24"/>
                <w:szCs w:val="24"/>
              </w:rPr>
              <w:t xml:space="preserve"> (2018)</w:t>
            </w:r>
          </w:p>
        </w:tc>
      </w:tr>
      <w:tr w:rsidR="00067EBE" w14:paraId="07744C98" w14:textId="77777777" w:rsidTr="00285CFC">
        <w:tc>
          <w:tcPr>
            <w:tcW w:w="2266" w:type="dxa"/>
            <w:vMerge/>
            <w:vAlign w:val="center"/>
          </w:tcPr>
          <w:p w14:paraId="6B13BFE7" w14:textId="77777777" w:rsidR="00067EBE" w:rsidRPr="00B57768" w:rsidRDefault="00067EBE" w:rsidP="009D050D">
            <w:pPr>
              <w:jc w:val="center"/>
              <w:rPr>
                <w:rFonts w:ascii="Times New Roman" w:eastAsia="Times New Roman" w:hAnsi="Times New Roman" w:cs="Times New Roman"/>
                <w:sz w:val="24"/>
                <w:szCs w:val="24"/>
              </w:rPr>
            </w:pPr>
          </w:p>
        </w:tc>
        <w:tc>
          <w:tcPr>
            <w:tcW w:w="2266" w:type="dxa"/>
            <w:vAlign w:val="center"/>
          </w:tcPr>
          <w:p w14:paraId="6FB5E133" w14:textId="77777777" w:rsidR="00067EBE" w:rsidRPr="00B57768" w:rsidRDefault="00067EBE" w:rsidP="009D050D">
            <w:pPr>
              <w:jc w:val="both"/>
              <w:rPr>
                <w:rFonts w:ascii="Times New Roman" w:eastAsia="Times New Roman" w:hAnsi="Times New Roman" w:cs="Times New Roman"/>
                <w:sz w:val="24"/>
                <w:szCs w:val="24"/>
              </w:rPr>
            </w:pPr>
            <w:r w:rsidRPr="00B57768">
              <w:rPr>
                <w:rFonts w:ascii="Times New Roman" w:eastAsia="Times New Roman" w:hAnsi="Times New Roman" w:cs="Times New Roman"/>
                <w:sz w:val="24"/>
                <w:szCs w:val="24"/>
              </w:rPr>
              <w:t>Resistência cultural à mudança</w:t>
            </w:r>
          </w:p>
        </w:tc>
        <w:tc>
          <w:tcPr>
            <w:tcW w:w="2266" w:type="dxa"/>
            <w:vAlign w:val="center"/>
          </w:tcPr>
          <w:p w14:paraId="2F8D4B1A" w14:textId="77777777" w:rsidR="00067EBE" w:rsidRPr="00B57768" w:rsidRDefault="00067EBE" w:rsidP="009D050D">
            <w:pPr>
              <w:jc w:val="both"/>
              <w:rPr>
                <w:rFonts w:ascii="Times New Roman" w:eastAsia="Times New Roman" w:hAnsi="Times New Roman" w:cs="Times New Roman"/>
                <w:sz w:val="24"/>
                <w:szCs w:val="24"/>
              </w:rPr>
            </w:pPr>
            <w:r w:rsidRPr="00B57768">
              <w:rPr>
                <w:rFonts w:ascii="Times New Roman" w:eastAsia="Times New Roman" w:hAnsi="Times New Roman" w:cs="Times New Roman"/>
                <w:sz w:val="24"/>
                <w:szCs w:val="24"/>
              </w:rPr>
              <w:t>Normas e práticas organizacionais que inibem a inovação</w:t>
            </w:r>
          </w:p>
        </w:tc>
        <w:tc>
          <w:tcPr>
            <w:tcW w:w="2266" w:type="dxa"/>
            <w:vAlign w:val="center"/>
          </w:tcPr>
          <w:p w14:paraId="5A86FBBC" w14:textId="77777777" w:rsidR="00067EBE" w:rsidRPr="00B57768" w:rsidRDefault="00067EBE" w:rsidP="009D050D">
            <w:pPr>
              <w:jc w:val="both"/>
              <w:rPr>
                <w:rFonts w:ascii="Times New Roman" w:eastAsia="Times New Roman" w:hAnsi="Times New Roman" w:cs="Times New Roman"/>
                <w:sz w:val="24"/>
                <w:szCs w:val="24"/>
              </w:rPr>
            </w:pPr>
            <w:proofErr w:type="spellStart"/>
            <w:r w:rsidRPr="00B57768">
              <w:rPr>
                <w:rFonts w:ascii="Times New Roman" w:eastAsia="Times New Roman" w:hAnsi="Times New Roman" w:cs="Times New Roman"/>
                <w:sz w:val="24"/>
                <w:szCs w:val="24"/>
              </w:rPr>
              <w:t>Alavi</w:t>
            </w:r>
            <w:proofErr w:type="spellEnd"/>
            <w:r w:rsidRPr="00B57768">
              <w:rPr>
                <w:rFonts w:ascii="Times New Roman" w:eastAsia="Times New Roman" w:hAnsi="Times New Roman" w:cs="Times New Roman"/>
                <w:sz w:val="24"/>
                <w:szCs w:val="24"/>
              </w:rPr>
              <w:t xml:space="preserve"> &amp; </w:t>
            </w:r>
            <w:proofErr w:type="spellStart"/>
            <w:r w:rsidRPr="00B57768">
              <w:rPr>
                <w:rFonts w:ascii="Times New Roman" w:eastAsia="Times New Roman" w:hAnsi="Times New Roman" w:cs="Times New Roman"/>
                <w:sz w:val="24"/>
                <w:szCs w:val="24"/>
              </w:rPr>
              <w:t>Leidner</w:t>
            </w:r>
            <w:proofErr w:type="spellEnd"/>
            <w:r w:rsidRPr="00B57768">
              <w:rPr>
                <w:rFonts w:ascii="Times New Roman" w:eastAsia="Times New Roman" w:hAnsi="Times New Roman" w:cs="Times New Roman"/>
                <w:sz w:val="24"/>
                <w:szCs w:val="24"/>
              </w:rPr>
              <w:t xml:space="preserve"> (2001)</w:t>
            </w:r>
          </w:p>
        </w:tc>
      </w:tr>
      <w:tr w:rsidR="00067EBE" w14:paraId="20C8A820" w14:textId="77777777" w:rsidTr="00285CFC">
        <w:tc>
          <w:tcPr>
            <w:tcW w:w="2266" w:type="dxa"/>
            <w:vMerge/>
            <w:vAlign w:val="center"/>
          </w:tcPr>
          <w:p w14:paraId="13AB08E9" w14:textId="77777777" w:rsidR="00067EBE" w:rsidRPr="00B57768" w:rsidRDefault="00067EBE" w:rsidP="009D050D">
            <w:pPr>
              <w:jc w:val="center"/>
              <w:rPr>
                <w:rFonts w:ascii="Times New Roman" w:eastAsia="Times New Roman" w:hAnsi="Times New Roman" w:cs="Times New Roman"/>
                <w:sz w:val="24"/>
                <w:szCs w:val="24"/>
              </w:rPr>
            </w:pPr>
          </w:p>
        </w:tc>
        <w:tc>
          <w:tcPr>
            <w:tcW w:w="2266" w:type="dxa"/>
            <w:vAlign w:val="center"/>
          </w:tcPr>
          <w:p w14:paraId="23819422" w14:textId="77777777" w:rsidR="00067EBE" w:rsidRPr="00B57768" w:rsidRDefault="00067EBE" w:rsidP="009D050D">
            <w:pPr>
              <w:jc w:val="both"/>
              <w:rPr>
                <w:rFonts w:ascii="Times New Roman" w:eastAsia="Times New Roman" w:hAnsi="Times New Roman" w:cs="Times New Roman"/>
                <w:sz w:val="24"/>
                <w:szCs w:val="24"/>
              </w:rPr>
            </w:pPr>
            <w:r w:rsidRPr="00B57768">
              <w:rPr>
                <w:rFonts w:ascii="Times New Roman" w:eastAsia="Times New Roman" w:hAnsi="Times New Roman" w:cs="Times New Roman"/>
                <w:sz w:val="24"/>
                <w:szCs w:val="24"/>
              </w:rPr>
              <w:t>Falta de apoio organizacional</w:t>
            </w:r>
          </w:p>
        </w:tc>
        <w:tc>
          <w:tcPr>
            <w:tcW w:w="2266" w:type="dxa"/>
            <w:vAlign w:val="center"/>
          </w:tcPr>
          <w:p w14:paraId="3D1CACC0" w14:textId="77777777" w:rsidR="00067EBE" w:rsidRPr="00B57768" w:rsidRDefault="00067EBE" w:rsidP="009D050D">
            <w:pPr>
              <w:jc w:val="both"/>
              <w:rPr>
                <w:rFonts w:ascii="Times New Roman" w:eastAsia="Times New Roman" w:hAnsi="Times New Roman" w:cs="Times New Roman"/>
                <w:sz w:val="24"/>
                <w:szCs w:val="24"/>
              </w:rPr>
            </w:pPr>
            <w:r w:rsidRPr="00B57768">
              <w:rPr>
                <w:rFonts w:ascii="Times New Roman" w:eastAsia="Times New Roman" w:hAnsi="Times New Roman" w:cs="Times New Roman"/>
                <w:sz w:val="24"/>
                <w:szCs w:val="24"/>
              </w:rPr>
              <w:t>Ausência de iniciativas que incentivem a adoção de novas tecnologias</w:t>
            </w:r>
          </w:p>
        </w:tc>
        <w:tc>
          <w:tcPr>
            <w:tcW w:w="2266" w:type="dxa"/>
            <w:vAlign w:val="center"/>
          </w:tcPr>
          <w:p w14:paraId="101C17C5" w14:textId="77777777" w:rsidR="00067EBE" w:rsidRPr="00B57768" w:rsidRDefault="00067EBE" w:rsidP="009D050D">
            <w:pPr>
              <w:jc w:val="both"/>
              <w:rPr>
                <w:rFonts w:ascii="Times New Roman" w:eastAsia="Times New Roman" w:hAnsi="Times New Roman" w:cs="Times New Roman"/>
                <w:sz w:val="24"/>
                <w:szCs w:val="24"/>
              </w:rPr>
            </w:pPr>
            <w:r w:rsidRPr="00B57768">
              <w:rPr>
                <w:rFonts w:ascii="Times New Roman" w:eastAsia="Times New Roman" w:hAnsi="Times New Roman" w:cs="Times New Roman"/>
                <w:sz w:val="24"/>
                <w:szCs w:val="24"/>
              </w:rPr>
              <w:t>Gaviria-Marin et al. (2018)</w:t>
            </w:r>
          </w:p>
        </w:tc>
      </w:tr>
      <w:tr w:rsidR="00067EBE" w14:paraId="394D221D" w14:textId="77777777" w:rsidTr="00285CFC">
        <w:tc>
          <w:tcPr>
            <w:tcW w:w="2266" w:type="dxa"/>
            <w:vMerge w:val="restart"/>
            <w:vAlign w:val="center"/>
          </w:tcPr>
          <w:p w14:paraId="4CE69902" w14:textId="77777777" w:rsidR="00067EBE" w:rsidRPr="00B57768" w:rsidRDefault="00067EBE" w:rsidP="009D050D">
            <w:pPr>
              <w:jc w:val="center"/>
              <w:rPr>
                <w:rFonts w:ascii="Times New Roman" w:eastAsia="Times New Roman" w:hAnsi="Times New Roman" w:cs="Times New Roman"/>
                <w:b/>
                <w:bCs/>
                <w:sz w:val="24"/>
                <w:szCs w:val="24"/>
              </w:rPr>
            </w:pPr>
            <w:r w:rsidRPr="00B57768">
              <w:rPr>
                <w:rFonts w:ascii="Times New Roman" w:eastAsia="Times New Roman" w:hAnsi="Times New Roman" w:cs="Times New Roman"/>
                <w:b/>
                <w:bCs/>
                <w:sz w:val="24"/>
                <w:szCs w:val="24"/>
              </w:rPr>
              <w:t>Facilitadores</w:t>
            </w:r>
          </w:p>
        </w:tc>
        <w:tc>
          <w:tcPr>
            <w:tcW w:w="2266" w:type="dxa"/>
            <w:vAlign w:val="center"/>
          </w:tcPr>
          <w:p w14:paraId="4588C335" w14:textId="77777777" w:rsidR="00067EBE" w:rsidRPr="00B57768" w:rsidRDefault="00067EBE" w:rsidP="009D050D">
            <w:pPr>
              <w:jc w:val="center"/>
              <w:rPr>
                <w:rFonts w:ascii="Times New Roman" w:eastAsia="Times New Roman" w:hAnsi="Times New Roman" w:cs="Times New Roman"/>
                <w:b/>
                <w:bCs/>
                <w:sz w:val="24"/>
                <w:szCs w:val="24"/>
              </w:rPr>
            </w:pPr>
            <w:r w:rsidRPr="00B57768">
              <w:rPr>
                <w:rFonts w:ascii="Times New Roman" w:eastAsia="Times New Roman" w:hAnsi="Times New Roman" w:cs="Times New Roman"/>
                <w:b/>
                <w:bCs/>
                <w:sz w:val="24"/>
                <w:szCs w:val="24"/>
              </w:rPr>
              <w:t>Facilitadores</w:t>
            </w:r>
          </w:p>
        </w:tc>
        <w:tc>
          <w:tcPr>
            <w:tcW w:w="2266" w:type="dxa"/>
            <w:vAlign w:val="center"/>
          </w:tcPr>
          <w:p w14:paraId="2AB5AE28" w14:textId="77777777" w:rsidR="00067EBE" w:rsidRPr="00B57768" w:rsidRDefault="00067EBE" w:rsidP="009D050D">
            <w:pPr>
              <w:jc w:val="center"/>
              <w:rPr>
                <w:rFonts w:ascii="Times New Roman" w:eastAsia="Times New Roman" w:hAnsi="Times New Roman" w:cs="Times New Roman"/>
                <w:sz w:val="24"/>
                <w:szCs w:val="24"/>
              </w:rPr>
            </w:pPr>
            <w:r w:rsidRPr="00B57768">
              <w:rPr>
                <w:rFonts w:ascii="Times New Roman" w:eastAsia="Times New Roman" w:hAnsi="Times New Roman" w:cs="Times New Roman"/>
                <w:b/>
                <w:bCs/>
                <w:sz w:val="24"/>
                <w:szCs w:val="24"/>
              </w:rPr>
              <w:t>Indicador de facilitador</w:t>
            </w:r>
          </w:p>
        </w:tc>
        <w:tc>
          <w:tcPr>
            <w:tcW w:w="2266" w:type="dxa"/>
            <w:vAlign w:val="center"/>
          </w:tcPr>
          <w:p w14:paraId="16E70F92" w14:textId="77777777" w:rsidR="00067EBE" w:rsidRPr="00B57768" w:rsidRDefault="00067EBE" w:rsidP="009D050D">
            <w:pPr>
              <w:jc w:val="center"/>
              <w:rPr>
                <w:rFonts w:ascii="Times New Roman" w:eastAsia="Times New Roman" w:hAnsi="Times New Roman" w:cs="Times New Roman"/>
                <w:sz w:val="24"/>
                <w:szCs w:val="24"/>
              </w:rPr>
            </w:pPr>
            <w:r w:rsidRPr="00B57768">
              <w:rPr>
                <w:rFonts w:ascii="Times New Roman" w:eastAsia="Times New Roman" w:hAnsi="Times New Roman" w:cs="Times New Roman"/>
                <w:b/>
                <w:bCs/>
                <w:sz w:val="24"/>
                <w:szCs w:val="24"/>
              </w:rPr>
              <w:t>Autores</w:t>
            </w:r>
          </w:p>
        </w:tc>
      </w:tr>
      <w:tr w:rsidR="00067EBE" w14:paraId="00B7A200" w14:textId="77777777" w:rsidTr="00285CFC">
        <w:tc>
          <w:tcPr>
            <w:tcW w:w="2266" w:type="dxa"/>
            <w:vMerge/>
          </w:tcPr>
          <w:p w14:paraId="5F2296B6" w14:textId="77777777" w:rsidR="00067EBE" w:rsidRPr="00B57768" w:rsidRDefault="00067EBE" w:rsidP="009D050D">
            <w:pPr>
              <w:jc w:val="both"/>
              <w:rPr>
                <w:rFonts w:ascii="Times New Roman" w:eastAsia="Times New Roman" w:hAnsi="Times New Roman" w:cs="Times New Roman"/>
                <w:sz w:val="24"/>
                <w:szCs w:val="24"/>
              </w:rPr>
            </w:pPr>
          </w:p>
        </w:tc>
        <w:tc>
          <w:tcPr>
            <w:tcW w:w="2266" w:type="dxa"/>
            <w:vAlign w:val="center"/>
          </w:tcPr>
          <w:p w14:paraId="4CFCBEB3" w14:textId="77777777" w:rsidR="00067EBE" w:rsidRPr="00B57768" w:rsidRDefault="00067EBE" w:rsidP="009D050D">
            <w:pPr>
              <w:jc w:val="both"/>
              <w:rPr>
                <w:rFonts w:ascii="Times New Roman" w:eastAsia="Times New Roman" w:hAnsi="Times New Roman" w:cs="Times New Roman"/>
                <w:sz w:val="24"/>
                <w:szCs w:val="24"/>
              </w:rPr>
            </w:pPr>
            <w:r w:rsidRPr="00B57768">
              <w:rPr>
                <w:rFonts w:ascii="Times New Roman" w:eastAsia="Times New Roman" w:hAnsi="Times New Roman" w:cs="Times New Roman"/>
                <w:sz w:val="24"/>
                <w:szCs w:val="24"/>
              </w:rPr>
              <w:t>Expertise técnica</w:t>
            </w:r>
          </w:p>
        </w:tc>
        <w:tc>
          <w:tcPr>
            <w:tcW w:w="2266" w:type="dxa"/>
            <w:vAlign w:val="center"/>
          </w:tcPr>
          <w:p w14:paraId="172CB92A" w14:textId="77777777" w:rsidR="00067EBE" w:rsidRPr="00B57768" w:rsidRDefault="00067EBE" w:rsidP="009D050D">
            <w:pPr>
              <w:jc w:val="both"/>
              <w:rPr>
                <w:rFonts w:ascii="Times New Roman" w:eastAsia="Times New Roman" w:hAnsi="Times New Roman" w:cs="Times New Roman"/>
                <w:sz w:val="24"/>
                <w:szCs w:val="24"/>
              </w:rPr>
            </w:pPr>
            <w:r w:rsidRPr="00B57768">
              <w:rPr>
                <w:rFonts w:ascii="Times New Roman" w:eastAsia="Times New Roman" w:hAnsi="Times New Roman" w:cs="Times New Roman"/>
                <w:sz w:val="24"/>
                <w:szCs w:val="24"/>
              </w:rPr>
              <w:t>Conhecimento colecionado ao longo de anos</w:t>
            </w:r>
          </w:p>
        </w:tc>
        <w:tc>
          <w:tcPr>
            <w:tcW w:w="2266" w:type="dxa"/>
            <w:vAlign w:val="center"/>
          </w:tcPr>
          <w:p w14:paraId="29C83575" w14:textId="77777777" w:rsidR="00067EBE" w:rsidRPr="00B57768" w:rsidRDefault="00067EBE" w:rsidP="009D050D">
            <w:pPr>
              <w:jc w:val="both"/>
              <w:rPr>
                <w:rFonts w:ascii="Times New Roman" w:eastAsia="Times New Roman" w:hAnsi="Times New Roman" w:cs="Times New Roman"/>
                <w:sz w:val="24"/>
                <w:szCs w:val="24"/>
              </w:rPr>
            </w:pPr>
            <w:r w:rsidRPr="00B57768">
              <w:rPr>
                <w:rFonts w:ascii="Times New Roman" w:eastAsia="Times New Roman" w:hAnsi="Times New Roman" w:cs="Times New Roman"/>
                <w:sz w:val="24"/>
                <w:szCs w:val="24"/>
              </w:rPr>
              <w:t>Albuquerque (2024)</w:t>
            </w:r>
          </w:p>
        </w:tc>
      </w:tr>
      <w:tr w:rsidR="00067EBE" w:rsidRPr="009D050D" w14:paraId="49292770" w14:textId="77777777" w:rsidTr="00285CFC">
        <w:tc>
          <w:tcPr>
            <w:tcW w:w="2266" w:type="dxa"/>
            <w:vMerge/>
          </w:tcPr>
          <w:p w14:paraId="1FCE7AF9" w14:textId="77777777" w:rsidR="00067EBE" w:rsidRPr="00B57768" w:rsidRDefault="00067EBE" w:rsidP="009D050D">
            <w:pPr>
              <w:jc w:val="both"/>
              <w:rPr>
                <w:rFonts w:ascii="Times New Roman" w:eastAsia="Times New Roman" w:hAnsi="Times New Roman" w:cs="Times New Roman"/>
                <w:sz w:val="24"/>
                <w:szCs w:val="24"/>
              </w:rPr>
            </w:pPr>
          </w:p>
        </w:tc>
        <w:tc>
          <w:tcPr>
            <w:tcW w:w="2266" w:type="dxa"/>
            <w:vAlign w:val="center"/>
          </w:tcPr>
          <w:p w14:paraId="4F5052F0" w14:textId="77777777" w:rsidR="00067EBE" w:rsidRPr="00B57768" w:rsidRDefault="00067EBE" w:rsidP="009D050D">
            <w:pPr>
              <w:jc w:val="both"/>
              <w:rPr>
                <w:rFonts w:ascii="Times New Roman" w:eastAsia="Times New Roman" w:hAnsi="Times New Roman" w:cs="Times New Roman"/>
                <w:sz w:val="24"/>
                <w:szCs w:val="24"/>
              </w:rPr>
            </w:pPr>
            <w:r w:rsidRPr="00B57768">
              <w:rPr>
                <w:rFonts w:ascii="Times New Roman" w:eastAsia="Times New Roman" w:hAnsi="Times New Roman" w:cs="Times New Roman"/>
                <w:sz w:val="24"/>
                <w:szCs w:val="24"/>
              </w:rPr>
              <w:t>Cultura de aprendizado contínuo</w:t>
            </w:r>
          </w:p>
        </w:tc>
        <w:tc>
          <w:tcPr>
            <w:tcW w:w="2266" w:type="dxa"/>
            <w:vAlign w:val="center"/>
          </w:tcPr>
          <w:p w14:paraId="578A942B" w14:textId="77777777" w:rsidR="00067EBE" w:rsidRPr="00B57768" w:rsidRDefault="00067EBE" w:rsidP="009D050D">
            <w:pPr>
              <w:jc w:val="both"/>
              <w:rPr>
                <w:rFonts w:ascii="Times New Roman" w:eastAsia="Times New Roman" w:hAnsi="Times New Roman" w:cs="Times New Roman"/>
                <w:sz w:val="24"/>
                <w:szCs w:val="24"/>
              </w:rPr>
            </w:pPr>
            <w:r w:rsidRPr="00B57768">
              <w:rPr>
                <w:rFonts w:ascii="Times New Roman" w:eastAsia="Times New Roman" w:hAnsi="Times New Roman" w:cs="Times New Roman"/>
                <w:sz w:val="24"/>
                <w:szCs w:val="24"/>
              </w:rPr>
              <w:t>Ambiente que incentiva a troca de ideias</w:t>
            </w:r>
          </w:p>
        </w:tc>
        <w:tc>
          <w:tcPr>
            <w:tcW w:w="2266" w:type="dxa"/>
            <w:vAlign w:val="center"/>
          </w:tcPr>
          <w:p w14:paraId="7A632902" w14:textId="77777777" w:rsidR="00067EBE" w:rsidRPr="00B57768" w:rsidRDefault="00067EBE" w:rsidP="009D050D">
            <w:pPr>
              <w:jc w:val="both"/>
              <w:rPr>
                <w:rFonts w:ascii="Times New Roman" w:eastAsia="Times New Roman" w:hAnsi="Times New Roman" w:cs="Times New Roman"/>
                <w:sz w:val="24"/>
                <w:szCs w:val="24"/>
                <w:lang w:val="en-US"/>
              </w:rPr>
            </w:pPr>
            <w:r w:rsidRPr="00B57768">
              <w:rPr>
                <w:rFonts w:ascii="Times New Roman" w:eastAsia="Times New Roman" w:hAnsi="Times New Roman" w:cs="Times New Roman"/>
                <w:sz w:val="24"/>
                <w:szCs w:val="24"/>
                <w:lang w:val="en-US"/>
              </w:rPr>
              <w:t>McKinsey &amp; Company (2024); World Economic Forum (2023)</w:t>
            </w:r>
          </w:p>
        </w:tc>
      </w:tr>
      <w:tr w:rsidR="00067EBE" w:rsidRPr="00CD45ED" w14:paraId="25A236CF" w14:textId="77777777" w:rsidTr="00285CFC">
        <w:tc>
          <w:tcPr>
            <w:tcW w:w="2266" w:type="dxa"/>
            <w:vMerge/>
          </w:tcPr>
          <w:p w14:paraId="4ADADB50" w14:textId="77777777" w:rsidR="00067EBE" w:rsidRPr="00B57768" w:rsidRDefault="00067EBE" w:rsidP="009D050D">
            <w:pPr>
              <w:jc w:val="both"/>
              <w:rPr>
                <w:rFonts w:ascii="Times New Roman" w:eastAsia="Times New Roman" w:hAnsi="Times New Roman" w:cs="Times New Roman"/>
                <w:sz w:val="24"/>
                <w:szCs w:val="24"/>
                <w:lang w:val="en-US"/>
              </w:rPr>
            </w:pPr>
          </w:p>
        </w:tc>
        <w:tc>
          <w:tcPr>
            <w:tcW w:w="2266" w:type="dxa"/>
            <w:vAlign w:val="center"/>
          </w:tcPr>
          <w:p w14:paraId="491C6DEB" w14:textId="77777777" w:rsidR="00067EBE" w:rsidRPr="00B57768" w:rsidRDefault="00067EBE" w:rsidP="009D050D">
            <w:pPr>
              <w:jc w:val="both"/>
              <w:rPr>
                <w:rFonts w:ascii="Times New Roman" w:eastAsia="Times New Roman" w:hAnsi="Times New Roman" w:cs="Times New Roman"/>
                <w:sz w:val="24"/>
                <w:szCs w:val="24"/>
              </w:rPr>
            </w:pPr>
            <w:r w:rsidRPr="00B57768">
              <w:rPr>
                <w:rFonts w:ascii="Times New Roman" w:eastAsia="Times New Roman" w:hAnsi="Times New Roman" w:cs="Times New Roman"/>
                <w:sz w:val="24"/>
                <w:szCs w:val="24"/>
              </w:rPr>
              <w:t>Mentoria reversa</w:t>
            </w:r>
          </w:p>
        </w:tc>
        <w:tc>
          <w:tcPr>
            <w:tcW w:w="2266" w:type="dxa"/>
            <w:vAlign w:val="center"/>
          </w:tcPr>
          <w:p w14:paraId="62B1B2C0" w14:textId="77777777" w:rsidR="00067EBE" w:rsidRPr="00B57768" w:rsidRDefault="00067EBE" w:rsidP="009D050D">
            <w:pPr>
              <w:jc w:val="both"/>
              <w:rPr>
                <w:rFonts w:ascii="Times New Roman" w:eastAsia="Times New Roman" w:hAnsi="Times New Roman" w:cs="Times New Roman"/>
                <w:sz w:val="24"/>
                <w:szCs w:val="24"/>
              </w:rPr>
            </w:pPr>
            <w:r w:rsidRPr="00B57768">
              <w:rPr>
                <w:rFonts w:ascii="Times New Roman" w:eastAsia="Times New Roman" w:hAnsi="Times New Roman" w:cs="Times New Roman"/>
                <w:sz w:val="24"/>
                <w:szCs w:val="24"/>
              </w:rPr>
              <w:t>Jovens ensinando habilidades digitais aos seniores</w:t>
            </w:r>
          </w:p>
        </w:tc>
        <w:tc>
          <w:tcPr>
            <w:tcW w:w="2266" w:type="dxa"/>
            <w:vAlign w:val="center"/>
          </w:tcPr>
          <w:p w14:paraId="56235C8B" w14:textId="77777777" w:rsidR="00067EBE" w:rsidRPr="00B57768" w:rsidRDefault="00067EBE" w:rsidP="009D050D">
            <w:pPr>
              <w:jc w:val="both"/>
              <w:rPr>
                <w:rFonts w:ascii="Times New Roman" w:eastAsia="Times New Roman" w:hAnsi="Times New Roman" w:cs="Times New Roman"/>
                <w:sz w:val="24"/>
                <w:szCs w:val="24"/>
                <w:lang w:val="en-US"/>
              </w:rPr>
            </w:pPr>
            <w:proofErr w:type="spellStart"/>
            <w:r w:rsidRPr="00B57768">
              <w:rPr>
                <w:rFonts w:ascii="Times New Roman" w:eastAsia="Times New Roman" w:hAnsi="Times New Roman" w:cs="Times New Roman"/>
                <w:sz w:val="24"/>
                <w:szCs w:val="24"/>
                <w:lang w:val="en-US"/>
              </w:rPr>
              <w:t>Kooij</w:t>
            </w:r>
            <w:proofErr w:type="spellEnd"/>
            <w:r w:rsidRPr="00B57768">
              <w:rPr>
                <w:rFonts w:ascii="Times New Roman" w:eastAsia="Times New Roman" w:hAnsi="Times New Roman" w:cs="Times New Roman"/>
                <w:sz w:val="24"/>
                <w:szCs w:val="24"/>
                <w:lang w:val="en-US"/>
              </w:rPr>
              <w:t xml:space="preserve"> et al. (2020)</w:t>
            </w:r>
          </w:p>
        </w:tc>
      </w:tr>
      <w:tr w:rsidR="00067EBE" w:rsidRPr="00B75AFF" w14:paraId="7404CF11" w14:textId="77777777" w:rsidTr="00285CFC">
        <w:tc>
          <w:tcPr>
            <w:tcW w:w="2266" w:type="dxa"/>
            <w:vMerge/>
          </w:tcPr>
          <w:p w14:paraId="5B1D75C5" w14:textId="77777777" w:rsidR="00067EBE" w:rsidRPr="00B57768" w:rsidRDefault="00067EBE" w:rsidP="009D050D">
            <w:pPr>
              <w:jc w:val="both"/>
              <w:rPr>
                <w:rFonts w:ascii="Times New Roman" w:eastAsia="Times New Roman" w:hAnsi="Times New Roman" w:cs="Times New Roman"/>
                <w:sz w:val="24"/>
                <w:szCs w:val="24"/>
                <w:lang w:val="en-US"/>
              </w:rPr>
            </w:pPr>
          </w:p>
        </w:tc>
        <w:tc>
          <w:tcPr>
            <w:tcW w:w="2266" w:type="dxa"/>
            <w:vAlign w:val="center"/>
          </w:tcPr>
          <w:p w14:paraId="143BE6DA" w14:textId="77777777" w:rsidR="00067EBE" w:rsidRPr="00B57768" w:rsidRDefault="00067EBE" w:rsidP="009D050D">
            <w:pPr>
              <w:jc w:val="both"/>
              <w:rPr>
                <w:rFonts w:ascii="Times New Roman" w:eastAsia="Times New Roman" w:hAnsi="Times New Roman" w:cs="Times New Roman"/>
                <w:sz w:val="24"/>
                <w:szCs w:val="24"/>
              </w:rPr>
            </w:pPr>
            <w:r w:rsidRPr="00B57768">
              <w:rPr>
                <w:rFonts w:ascii="Times New Roman" w:eastAsia="Times New Roman" w:hAnsi="Times New Roman" w:cs="Times New Roman"/>
                <w:sz w:val="24"/>
                <w:szCs w:val="24"/>
              </w:rPr>
              <w:t>Plataformas digitais para compartilhamento de conhecimento</w:t>
            </w:r>
          </w:p>
        </w:tc>
        <w:tc>
          <w:tcPr>
            <w:tcW w:w="2266" w:type="dxa"/>
            <w:vAlign w:val="center"/>
          </w:tcPr>
          <w:p w14:paraId="5913FC54" w14:textId="77777777" w:rsidR="00067EBE" w:rsidRPr="00B57768" w:rsidRDefault="00067EBE" w:rsidP="009D050D">
            <w:pPr>
              <w:jc w:val="both"/>
              <w:rPr>
                <w:rFonts w:ascii="Times New Roman" w:eastAsia="Times New Roman" w:hAnsi="Times New Roman" w:cs="Times New Roman"/>
                <w:sz w:val="24"/>
                <w:szCs w:val="24"/>
              </w:rPr>
            </w:pPr>
            <w:r w:rsidRPr="00B57768">
              <w:rPr>
                <w:rFonts w:ascii="Times New Roman" w:eastAsia="Times New Roman" w:hAnsi="Times New Roman" w:cs="Times New Roman"/>
                <w:sz w:val="24"/>
                <w:szCs w:val="24"/>
              </w:rPr>
              <w:t>Ferramentas que documentam e compartilham conhecimento</w:t>
            </w:r>
          </w:p>
        </w:tc>
        <w:tc>
          <w:tcPr>
            <w:tcW w:w="2266" w:type="dxa"/>
            <w:vAlign w:val="center"/>
          </w:tcPr>
          <w:p w14:paraId="6EC41920" w14:textId="77777777" w:rsidR="00067EBE" w:rsidRPr="00B57768" w:rsidRDefault="00067EBE" w:rsidP="009D050D">
            <w:pPr>
              <w:jc w:val="both"/>
              <w:rPr>
                <w:rFonts w:ascii="Times New Roman" w:eastAsia="Times New Roman" w:hAnsi="Times New Roman" w:cs="Times New Roman"/>
                <w:sz w:val="24"/>
                <w:szCs w:val="24"/>
              </w:rPr>
            </w:pPr>
            <w:proofErr w:type="spellStart"/>
            <w:r w:rsidRPr="00B57768">
              <w:rPr>
                <w:rFonts w:ascii="Times New Roman" w:eastAsia="Times New Roman" w:hAnsi="Times New Roman" w:cs="Times New Roman"/>
                <w:sz w:val="24"/>
                <w:szCs w:val="24"/>
              </w:rPr>
              <w:t>Kucharska</w:t>
            </w:r>
            <w:proofErr w:type="spellEnd"/>
            <w:r w:rsidRPr="00B57768">
              <w:rPr>
                <w:rFonts w:ascii="Times New Roman" w:eastAsia="Times New Roman" w:hAnsi="Times New Roman" w:cs="Times New Roman"/>
                <w:sz w:val="24"/>
                <w:szCs w:val="24"/>
              </w:rPr>
              <w:t xml:space="preserve"> &amp; </w:t>
            </w:r>
            <w:proofErr w:type="spellStart"/>
            <w:r w:rsidRPr="00B57768">
              <w:rPr>
                <w:rFonts w:ascii="Times New Roman" w:eastAsia="Times New Roman" w:hAnsi="Times New Roman" w:cs="Times New Roman"/>
                <w:sz w:val="24"/>
                <w:szCs w:val="24"/>
              </w:rPr>
              <w:t>Erickson</w:t>
            </w:r>
            <w:proofErr w:type="spellEnd"/>
            <w:r w:rsidRPr="00B57768">
              <w:rPr>
                <w:rFonts w:ascii="Times New Roman" w:eastAsia="Times New Roman" w:hAnsi="Times New Roman" w:cs="Times New Roman"/>
                <w:sz w:val="24"/>
                <w:szCs w:val="24"/>
              </w:rPr>
              <w:t xml:space="preserve"> (2023)</w:t>
            </w:r>
          </w:p>
        </w:tc>
      </w:tr>
    </w:tbl>
    <w:p w14:paraId="7788B57C" w14:textId="77777777" w:rsidR="00067EBE" w:rsidRPr="00945B47" w:rsidRDefault="00067EBE" w:rsidP="00067EBE">
      <w:pPr>
        <w:pBdr>
          <w:top w:val="nil"/>
          <w:left w:val="nil"/>
          <w:bottom w:val="nil"/>
          <w:right w:val="nil"/>
          <w:between w:val="nil"/>
        </w:pBdr>
        <w:spacing w:after="200" w:line="240" w:lineRule="auto"/>
        <w:jc w:val="center"/>
        <w:rPr>
          <w:rFonts w:ascii="Times New Roman" w:eastAsia="Times New Roman" w:hAnsi="Times New Roman" w:cs="Times New Roman"/>
          <w:color w:val="000000"/>
        </w:rPr>
      </w:pPr>
      <w:r w:rsidRPr="00945B47">
        <w:rPr>
          <w:rFonts w:ascii="Times New Roman" w:eastAsia="Times New Roman" w:hAnsi="Times New Roman" w:cs="Times New Roman"/>
          <w:color w:val="000000"/>
        </w:rPr>
        <w:t>Fonte: elaborado pelo</w:t>
      </w:r>
      <w:r>
        <w:rPr>
          <w:rFonts w:ascii="Times New Roman" w:eastAsia="Times New Roman" w:hAnsi="Times New Roman" w:cs="Times New Roman"/>
          <w:color w:val="000000"/>
        </w:rPr>
        <w:t>s</w:t>
      </w:r>
      <w:r w:rsidRPr="00945B47">
        <w:rPr>
          <w:rFonts w:ascii="Times New Roman" w:eastAsia="Times New Roman" w:hAnsi="Times New Roman" w:cs="Times New Roman"/>
          <w:color w:val="000000"/>
        </w:rPr>
        <w:t xml:space="preserve"> autor</w:t>
      </w:r>
      <w:r>
        <w:rPr>
          <w:rFonts w:ascii="Times New Roman" w:eastAsia="Times New Roman" w:hAnsi="Times New Roman" w:cs="Times New Roman"/>
          <w:color w:val="000000"/>
        </w:rPr>
        <w:t>es</w:t>
      </w:r>
      <w:r w:rsidRPr="00945B47">
        <w:rPr>
          <w:rFonts w:ascii="Times New Roman" w:eastAsia="Times New Roman" w:hAnsi="Times New Roman" w:cs="Times New Roman"/>
          <w:color w:val="000000"/>
        </w:rPr>
        <w:t>.</w:t>
      </w:r>
    </w:p>
    <w:p w14:paraId="370C998C" w14:textId="77777777" w:rsidR="00067EBE" w:rsidRPr="002D2840" w:rsidRDefault="00067EBE" w:rsidP="002D2840">
      <w:pPr>
        <w:pBdr>
          <w:top w:val="nil"/>
          <w:left w:val="nil"/>
          <w:bottom w:val="nil"/>
          <w:right w:val="nil"/>
          <w:between w:val="nil"/>
        </w:pBdr>
        <w:spacing w:line="360" w:lineRule="auto"/>
        <w:ind w:firstLine="426"/>
        <w:jc w:val="both"/>
        <w:rPr>
          <w:rFonts w:ascii="Times New Roman" w:eastAsia="Times New Roman" w:hAnsi="Times New Roman" w:cs="Times New Roman"/>
          <w:sz w:val="24"/>
          <w:szCs w:val="24"/>
        </w:rPr>
      </w:pPr>
    </w:p>
    <w:p w14:paraId="43F0E4B9" w14:textId="77777777" w:rsidR="00D8471E" w:rsidRDefault="00D1413B">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CONSIDERAÇÕES FINAIS E IMPLICAÇÕES</w:t>
      </w:r>
    </w:p>
    <w:p w14:paraId="6E139F8B" w14:textId="77777777" w:rsidR="00262E76" w:rsidRDefault="007A413F" w:rsidP="00262E76">
      <w:pPr>
        <w:pBdr>
          <w:top w:val="nil"/>
          <w:left w:val="nil"/>
          <w:bottom w:val="nil"/>
          <w:right w:val="nil"/>
          <w:between w:val="nil"/>
        </w:pBdr>
        <w:spacing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estudo</w:t>
      </w:r>
      <w:r w:rsidRPr="007D6CAF">
        <w:rPr>
          <w:rFonts w:ascii="Times New Roman" w:eastAsia="Times New Roman" w:hAnsi="Times New Roman" w:cs="Times New Roman"/>
          <w:sz w:val="24"/>
          <w:szCs w:val="24"/>
        </w:rPr>
        <w:t xml:space="preserve"> </w:t>
      </w:r>
      <w:r w:rsidRPr="006F2511">
        <w:rPr>
          <w:rFonts w:ascii="Times New Roman" w:eastAsia="Times New Roman" w:hAnsi="Times New Roman" w:cs="Times New Roman"/>
          <w:sz w:val="24"/>
          <w:szCs w:val="24"/>
        </w:rPr>
        <w:t xml:space="preserve">identificou as barreiras e facilitadores ao uso </w:t>
      </w:r>
      <w:r>
        <w:rPr>
          <w:rFonts w:ascii="Times New Roman" w:eastAsia="Times New Roman" w:hAnsi="Times New Roman" w:cs="Times New Roman"/>
          <w:sz w:val="24"/>
          <w:szCs w:val="24"/>
        </w:rPr>
        <w:t xml:space="preserve">do </w:t>
      </w:r>
      <w:r w:rsidRPr="00A258CF">
        <w:rPr>
          <w:rFonts w:ascii="Times New Roman" w:eastAsia="Times New Roman" w:hAnsi="Times New Roman" w:cs="Times New Roman"/>
          <w:sz w:val="24"/>
          <w:szCs w:val="24"/>
        </w:rPr>
        <w:t xml:space="preserve">conhecimento tácito dos colaboradores </w:t>
      </w:r>
      <w:r w:rsidRPr="006F2511">
        <w:rPr>
          <w:rFonts w:ascii="Times New Roman" w:eastAsia="Times New Roman" w:hAnsi="Times New Roman" w:cs="Times New Roman"/>
          <w:sz w:val="24"/>
          <w:szCs w:val="24"/>
        </w:rPr>
        <w:t>seniores</w:t>
      </w:r>
      <w:r w:rsidRPr="00A258CF">
        <w:rPr>
          <w:rFonts w:ascii="Times New Roman" w:eastAsia="Times New Roman" w:hAnsi="Times New Roman" w:cs="Times New Roman"/>
          <w:sz w:val="24"/>
          <w:szCs w:val="24"/>
        </w:rPr>
        <w:t xml:space="preserve"> </w:t>
      </w:r>
      <w:r w:rsidRPr="006F2511">
        <w:rPr>
          <w:rFonts w:ascii="Times New Roman" w:eastAsia="Times New Roman" w:hAnsi="Times New Roman" w:cs="Times New Roman"/>
          <w:sz w:val="24"/>
          <w:szCs w:val="24"/>
        </w:rPr>
        <w:t>nos</w:t>
      </w:r>
      <w:r w:rsidRPr="00A258CF">
        <w:rPr>
          <w:rFonts w:ascii="Times New Roman" w:eastAsia="Times New Roman" w:hAnsi="Times New Roman" w:cs="Times New Roman"/>
          <w:sz w:val="24"/>
          <w:szCs w:val="24"/>
        </w:rPr>
        <w:t xml:space="preserve"> processos </w:t>
      </w:r>
      <w:r w:rsidRPr="006F2511">
        <w:rPr>
          <w:rFonts w:ascii="Times New Roman" w:eastAsia="Times New Roman" w:hAnsi="Times New Roman" w:cs="Times New Roman"/>
          <w:sz w:val="24"/>
          <w:szCs w:val="24"/>
        </w:rPr>
        <w:t>de empresas de manufatura</w:t>
      </w:r>
      <w:r>
        <w:rPr>
          <w:rFonts w:ascii="Times New Roman" w:eastAsia="Times New Roman" w:hAnsi="Times New Roman" w:cs="Times New Roman"/>
          <w:sz w:val="24"/>
          <w:szCs w:val="24"/>
        </w:rPr>
        <w:t xml:space="preserve">, </w:t>
      </w:r>
      <w:r w:rsidRPr="006F2511">
        <w:rPr>
          <w:rFonts w:ascii="Times New Roman" w:eastAsia="Times New Roman" w:hAnsi="Times New Roman" w:cs="Times New Roman"/>
          <w:sz w:val="24"/>
          <w:szCs w:val="24"/>
        </w:rPr>
        <w:t>no contexto do uso de Inteligência Artificial</w:t>
      </w:r>
      <w:r w:rsidRPr="00A258CF">
        <w:rPr>
          <w:rFonts w:ascii="Times New Roman" w:eastAsia="Times New Roman" w:hAnsi="Times New Roman" w:cs="Times New Roman"/>
          <w:sz w:val="24"/>
          <w:szCs w:val="24"/>
        </w:rPr>
        <w:t>.</w:t>
      </w:r>
    </w:p>
    <w:p w14:paraId="22D567FA" w14:textId="77777777" w:rsidR="00262E76" w:rsidRDefault="007A413F" w:rsidP="00262E76">
      <w:pPr>
        <w:pBdr>
          <w:top w:val="nil"/>
          <w:left w:val="nil"/>
          <w:bottom w:val="nil"/>
          <w:right w:val="nil"/>
          <w:between w:val="nil"/>
        </w:pBdr>
        <w:spacing w:line="360" w:lineRule="auto"/>
        <w:ind w:firstLine="426"/>
        <w:jc w:val="both"/>
        <w:rPr>
          <w:rFonts w:ascii="Times New Roman" w:eastAsia="Times New Roman" w:hAnsi="Times New Roman" w:cs="Times New Roman"/>
          <w:sz w:val="24"/>
          <w:szCs w:val="24"/>
        </w:rPr>
      </w:pPr>
      <w:r w:rsidRPr="007D6CAF">
        <w:rPr>
          <w:rFonts w:ascii="Times New Roman" w:eastAsia="Times New Roman" w:hAnsi="Times New Roman" w:cs="Times New Roman"/>
          <w:sz w:val="24"/>
          <w:szCs w:val="24"/>
        </w:rPr>
        <w:t xml:space="preserve">A pesquisa revelou que, apesar dos desafios associados à resistência à adoção de novas tecnologias e aos preconceitos etários, </w:t>
      </w:r>
      <w:r w:rsidRPr="006F2511">
        <w:rPr>
          <w:rFonts w:ascii="Times New Roman" w:eastAsia="Times New Roman" w:hAnsi="Times New Roman" w:cs="Times New Roman"/>
          <w:sz w:val="24"/>
          <w:szCs w:val="24"/>
        </w:rPr>
        <w:t xml:space="preserve">considerados como barreiras, </w:t>
      </w:r>
      <w:r w:rsidRPr="007D6CAF">
        <w:rPr>
          <w:rFonts w:ascii="Times New Roman" w:eastAsia="Times New Roman" w:hAnsi="Times New Roman" w:cs="Times New Roman"/>
          <w:sz w:val="24"/>
          <w:szCs w:val="24"/>
        </w:rPr>
        <w:t>o conhecimento tácito acumulado pelos trabalhadores seniores é um ativo relevante que pode impulsionar a inovação e a competitividade organizacional.</w:t>
      </w:r>
      <w:r>
        <w:rPr>
          <w:rFonts w:ascii="Times New Roman" w:eastAsia="Times New Roman" w:hAnsi="Times New Roman" w:cs="Times New Roman"/>
          <w:sz w:val="24"/>
          <w:szCs w:val="24"/>
        </w:rPr>
        <w:t xml:space="preserve"> </w:t>
      </w:r>
      <w:r w:rsidRPr="00DB31A5">
        <w:rPr>
          <w:rFonts w:ascii="Times New Roman" w:eastAsia="Times New Roman" w:hAnsi="Times New Roman" w:cs="Times New Roman"/>
          <w:sz w:val="24"/>
          <w:szCs w:val="24"/>
        </w:rPr>
        <w:t>Os facilitadores ao uso do conhecimento dos colaboradores seniores podem ser sintetizados como a promoção de uma cultura de aprendizado contínuo, a prática de mentoria reversa, a utilização de plataformas digitais para compartilhamento de conhecimento, e a valorização da expertise técnica adquirida ao longo de suas carreiras, todos essenciais para garantir a integração eficaz desse conhecimento no ambiente organizacional.</w:t>
      </w:r>
    </w:p>
    <w:p w14:paraId="0A0AADC5" w14:textId="77777777" w:rsidR="00262E76" w:rsidRDefault="007A413F" w:rsidP="00262E76">
      <w:pPr>
        <w:pBdr>
          <w:top w:val="nil"/>
          <w:left w:val="nil"/>
          <w:bottom w:val="nil"/>
          <w:right w:val="nil"/>
          <w:between w:val="nil"/>
        </w:pBdr>
        <w:spacing w:line="360" w:lineRule="auto"/>
        <w:ind w:firstLine="426"/>
        <w:jc w:val="both"/>
        <w:rPr>
          <w:rFonts w:ascii="Times New Roman" w:eastAsia="Times New Roman" w:hAnsi="Times New Roman" w:cs="Times New Roman"/>
          <w:sz w:val="24"/>
          <w:szCs w:val="24"/>
        </w:rPr>
      </w:pPr>
      <w:r w:rsidRPr="007D6CAF">
        <w:rPr>
          <w:rFonts w:ascii="Times New Roman" w:eastAsia="Times New Roman" w:hAnsi="Times New Roman" w:cs="Times New Roman"/>
          <w:sz w:val="24"/>
          <w:szCs w:val="24"/>
        </w:rPr>
        <w:lastRenderedPageBreak/>
        <w:t>A principal contribuição deste trabalho é a compreensão do papel do conhecimento dos trabalhadores seniores na era da inteligência artificial. Ao identificar as barreiras que dificultam a plena utilização desse conhecimento e os facilitadores que podem ser implementados, a pesquisa oferece uma base para que as organizações desenvolvam estratégias que promovam a inclusão e o melhor uso da experiência dos colaboradores mais velhos.</w:t>
      </w:r>
    </w:p>
    <w:p w14:paraId="408DC746" w14:textId="77777777" w:rsidR="00262E76" w:rsidRDefault="007A413F" w:rsidP="00262E76">
      <w:pPr>
        <w:pBdr>
          <w:top w:val="nil"/>
          <w:left w:val="nil"/>
          <w:bottom w:val="nil"/>
          <w:right w:val="nil"/>
          <w:between w:val="nil"/>
        </w:pBdr>
        <w:spacing w:line="360" w:lineRule="auto"/>
        <w:ind w:firstLine="426"/>
        <w:jc w:val="both"/>
        <w:rPr>
          <w:rFonts w:ascii="Times New Roman" w:eastAsia="Times New Roman" w:hAnsi="Times New Roman" w:cs="Times New Roman"/>
          <w:sz w:val="24"/>
          <w:szCs w:val="24"/>
        </w:rPr>
      </w:pPr>
      <w:r w:rsidRPr="007D6CAF">
        <w:rPr>
          <w:rFonts w:ascii="Times New Roman" w:eastAsia="Times New Roman" w:hAnsi="Times New Roman" w:cs="Times New Roman"/>
          <w:sz w:val="24"/>
          <w:szCs w:val="24"/>
        </w:rPr>
        <w:t>As implicações teóricas deste estudo ampliam a discussão sobre a gestão do conhecimento em ambientes que utilizam inteligência artificial. O artigo reforça a importância de uma abordagem colaborativa que integre o conhecimento dos trabalhadores seniores, destacando como a utilização desse saber pode contribuir para a inovação organizacional. Praticamente, as organizações podem adotar políticas que incentivem a troca de conhecimento entre gerações, criando um ambiente propício para a aprendizagem contínua e a adaptação às novas tecnologias. As implicações gerenciais são significativas, pois os resultados oferecem orientações práticas para gestores que buscam promover o uso efetivo do conhecimento dos trabalhadores seniores na era da inteligência artificial. A implementação de programas de capacitação que abordem tanto as habilidades digitais quanto a aplicação do conhecimento tácito pode facilitar a inclusão desses profissionais. Gestores devem criar uma cultura organizacional que reconheça e utilize a experiência dos trabalhadores seniores, garantindo que suas contribuições sejam aproveitadas para a melhoria dos processos e produtos.</w:t>
      </w:r>
    </w:p>
    <w:p w14:paraId="21C3026C" w14:textId="77777777" w:rsidR="00262E76" w:rsidRDefault="007A413F" w:rsidP="00262E76">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7D6CAF">
        <w:rPr>
          <w:rFonts w:ascii="Times New Roman" w:eastAsia="Times New Roman" w:hAnsi="Times New Roman" w:cs="Times New Roman"/>
          <w:sz w:val="24"/>
          <w:szCs w:val="24"/>
        </w:rPr>
        <w:t>Embora esta pesquisa tenha proporcionado uma visão abrangente sobre o papel do conhecimento dos trabalhadores seniores, algumas limitações devem ser reconhecidas. A abordagem teórica, baseada em uma revisão da literatura, não permitiu a coleta de dados empíricos diretos, o que pode limitar a aplicabilidade das conclusões em contextos específicos.</w:t>
      </w:r>
    </w:p>
    <w:p w14:paraId="5D8EA139" w14:textId="518977BA" w:rsidR="00B009E4" w:rsidRPr="00262E76" w:rsidRDefault="007A413F" w:rsidP="00262E76">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7D6CAF">
        <w:rPr>
          <w:rFonts w:ascii="Times New Roman" w:eastAsia="Times New Roman" w:hAnsi="Times New Roman" w:cs="Times New Roman"/>
          <w:sz w:val="24"/>
          <w:szCs w:val="24"/>
        </w:rPr>
        <w:t>Estudos futuros poderiam investigar a aplicação prática das estratégias propostas em diferentes setores e contextos organizacionais, além de examinar a eficácia de programas de mentoria que conectem trabalhadores seniores com colaboradores mais jovens. A continuidade dessa linha de pesquisa é essencial para aprofundar a compreensão sobre como o conhecimento dos trabalhadores seniores pode ser integrado de forma eficaz nas organizações que adotam inteligência artificial.</w:t>
      </w:r>
    </w:p>
    <w:p w14:paraId="033BDFA2" w14:textId="44132B3F" w:rsidR="00B009E4" w:rsidRDefault="009D050D" w:rsidP="009D050D">
      <w:pPr>
        <w:pBdr>
          <w:top w:val="nil"/>
          <w:left w:val="nil"/>
          <w:bottom w:val="nil"/>
          <w:right w:val="nil"/>
          <w:between w:val="nil"/>
        </w:pBdr>
        <w:tabs>
          <w:tab w:val="left" w:pos="3690"/>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2E6EEC5A" w14:textId="77777777" w:rsidR="009D050D" w:rsidRDefault="009D050D" w:rsidP="009D050D">
      <w:pPr>
        <w:pBdr>
          <w:top w:val="nil"/>
          <w:left w:val="nil"/>
          <w:bottom w:val="nil"/>
          <w:right w:val="nil"/>
          <w:between w:val="nil"/>
        </w:pBdr>
        <w:tabs>
          <w:tab w:val="left" w:pos="3690"/>
        </w:tabs>
        <w:spacing w:line="360" w:lineRule="auto"/>
        <w:jc w:val="both"/>
        <w:rPr>
          <w:rFonts w:ascii="Times New Roman" w:eastAsia="Times New Roman" w:hAnsi="Times New Roman" w:cs="Times New Roman"/>
          <w:b/>
          <w:sz w:val="24"/>
          <w:szCs w:val="24"/>
        </w:rPr>
      </w:pPr>
    </w:p>
    <w:p w14:paraId="570EC4FD" w14:textId="77777777" w:rsidR="00D8471E" w:rsidRDefault="00D1413B">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REFERÊNCIAS</w:t>
      </w:r>
    </w:p>
    <w:p w14:paraId="0DF2AA24" w14:textId="77777777" w:rsidR="00262E76" w:rsidRPr="009D050D" w:rsidRDefault="00262E76" w:rsidP="009D050D">
      <w:pPr>
        <w:pBdr>
          <w:top w:val="nil"/>
          <w:left w:val="nil"/>
          <w:bottom w:val="nil"/>
          <w:right w:val="nil"/>
          <w:between w:val="nil"/>
        </w:pBdr>
        <w:spacing w:before="240" w:after="240" w:line="240" w:lineRule="auto"/>
        <w:jc w:val="both"/>
        <w:rPr>
          <w:rFonts w:ascii="Times New Roman" w:eastAsia="Times New Roman" w:hAnsi="Times New Roman" w:cs="Times New Roman"/>
          <w:sz w:val="24"/>
          <w:szCs w:val="24"/>
          <w:lang w:val="en-US"/>
        </w:rPr>
      </w:pPr>
      <w:r w:rsidRPr="009D050D">
        <w:rPr>
          <w:rFonts w:ascii="Times New Roman" w:eastAsia="Times New Roman" w:hAnsi="Times New Roman" w:cs="Times New Roman"/>
          <w:sz w:val="24"/>
          <w:szCs w:val="24"/>
          <w:lang w:val="en-US"/>
        </w:rPr>
        <w:t xml:space="preserve">ALAVI, M.; LEIDNER, D. E. Knowledge management and knowledge management systems: Conceptual foundations and research issues. </w:t>
      </w:r>
      <w:proofErr w:type="gramStart"/>
      <w:r w:rsidRPr="009D050D">
        <w:rPr>
          <w:rFonts w:ascii="Times New Roman" w:eastAsia="Times New Roman" w:hAnsi="Times New Roman" w:cs="Times New Roman"/>
          <w:sz w:val="24"/>
          <w:szCs w:val="24"/>
          <w:lang w:val="en-US"/>
        </w:rPr>
        <w:t>MIS Quarterly, v. 25, n. 1, p. 107-136, 2001.</w:t>
      </w:r>
      <w:proofErr w:type="gramEnd"/>
    </w:p>
    <w:p w14:paraId="3175E2CC" w14:textId="77777777" w:rsidR="00262E76" w:rsidRPr="009D050D" w:rsidRDefault="00262E76" w:rsidP="009D050D">
      <w:pPr>
        <w:pBdr>
          <w:top w:val="nil"/>
          <w:left w:val="nil"/>
          <w:bottom w:val="nil"/>
          <w:right w:val="nil"/>
          <w:between w:val="nil"/>
        </w:pBdr>
        <w:spacing w:before="240" w:after="240" w:line="240" w:lineRule="auto"/>
        <w:jc w:val="both"/>
        <w:rPr>
          <w:rFonts w:ascii="Times New Roman" w:eastAsia="Times New Roman" w:hAnsi="Times New Roman" w:cs="Times New Roman"/>
          <w:sz w:val="24"/>
          <w:szCs w:val="24"/>
          <w:lang w:val="en-US"/>
        </w:rPr>
      </w:pPr>
      <w:r w:rsidRPr="009D050D">
        <w:rPr>
          <w:rFonts w:ascii="Times New Roman" w:eastAsia="Times New Roman" w:hAnsi="Times New Roman" w:cs="Times New Roman"/>
          <w:sz w:val="24"/>
          <w:szCs w:val="24"/>
          <w:lang w:val="en-US"/>
        </w:rPr>
        <w:t xml:space="preserve">ASHER, A.; POPPER, M. Knowledge internalization and the role of critical reflection: A framework for understanding tacit knowledge. </w:t>
      </w:r>
      <w:proofErr w:type="gramStart"/>
      <w:r w:rsidRPr="009D050D">
        <w:rPr>
          <w:rFonts w:ascii="Times New Roman" w:eastAsia="Times New Roman" w:hAnsi="Times New Roman" w:cs="Times New Roman"/>
          <w:sz w:val="24"/>
          <w:szCs w:val="24"/>
          <w:lang w:val="en-US"/>
        </w:rPr>
        <w:t>Journal of Knowledge Management, v. 24, n. 4, p. 775-789, 2019.</w:t>
      </w:r>
      <w:proofErr w:type="gramEnd"/>
    </w:p>
    <w:p w14:paraId="128A7D09" w14:textId="77777777" w:rsidR="00262E76" w:rsidRPr="009D050D" w:rsidRDefault="00262E76" w:rsidP="009D050D">
      <w:pPr>
        <w:pBdr>
          <w:top w:val="nil"/>
          <w:left w:val="nil"/>
          <w:bottom w:val="nil"/>
          <w:right w:val="nil"/>
          <w:between w:val="nil"/>
        </w:pBdr>
        <w:spacing w:before="240" w:after="240" w:line="240" w:lineRule="auto"/>
        <w:jc w:val="both"/>
        <w:rPr>
          <w:rFonts w:ascii="Times New Roman" w:eastAsia="Times New Roman" w:hAnsi="Times New Roman" w:cs="Times New Roman"/>
          <w:sz w:val="24"/>
          <w:szCs w:val="24"/>
          <w:lang w:val="en-US"/>
        </w:rPr>
      </w:pPr>
      <w:proofErr w:type="gramStart"/>
      <w:r w:rsidRPr="009D050D">
        <w:rPr>
          <w:rFonts w:ascii="Times New Roman" w:eastAsia="Times New Roman" w:hAnsi="Times New Roman" w:cs="Times New Roman"/>
          <w:sz w:val="24"/>
          <w:szCs w:val="24"/>
          <w:lang w:val="en-US"/>
        </w:rPr>
        <w:t xml:space="preserve">BRYNJOLFSSON, E.; </w:t>
      </w:r>
      <w:proofErr w:type="spellStart"/>
      <w:r w:rsidRPr="009D050D">
        <w:rPr>
          <w:rFonts w:ascii="Times New Roman" w:eastAsia="Times New Roman" w:hAnsi="Times New Roman" w:cs="Times New Roman"/>
          <w:sz w:val="24"/>
          <w:szCs w:val="24"/>
          <w:lang w:val="en-US"/>
        </w:rPr>
        <w:t>McAFEE</w:t>
      </w:r>
      <w:proofErr w:type="spellEnd"/>
      <w:r w:rsidRPr="009D050D">
        <w:rPr>
          <w:rFonts w:ascii="Times New Roman" w:eastAsia="Times New Roman" w:hAnsi="Times New Roman" w:cs="Times New Roman"/>
          <w:sz w:val="24"/>
          <w:szCs w:val="24"/>
          <w:lang w:val="en-US"/>
        </w:rPr>
        <w:t>, A. Artificial intelligence, for real.</w:t>
      </w:r>
      <w:proofErr w:type="gramEnd"/>
      <w:r w:rsidRPr="009D050D">
        <w:rPr>
          <w:rFonts w:ascii="Times New Roman" w:eastAsia="Times New Roman" w:hAnsi="Times New Roman" w:cs="Times New Roman"/>
          <w:sz w:val="24"/>
          <w:szCs w:val="24"/>
          <w:lang w:val="en-US"/>
        </w:rPr>
        <w:t xml:space="preserve"> Harvard Business Review, v. 96, n. 1, p. 108-116, 2017.</w:t>
      </w:r>
    </w:p>
    <w:p w14:paraId="65EB7C56" w14:textId="77777777" w:rsidR="00262E76" w:rsidRPr="009D050D" w:rsidRDefault="00262E76" w:rsidP="009D050D">
      <w:pPr>
        <w:pBdr>
          <w:top w:val="nil"/>
          <w:left w:val="nil"/>
          <w:bottom w:val="nil"/>
          <w:right w:val="nil"/>
          <w:between w:val="nil"/>
        </w:pBdr>
        <w:spacing w:before="240" w:after="240" w:line="240" w:lineRule="auto"/>
        <w:jc w:val="both"/>
        <w:rPr>
          <w:rFonts w:ascii="Times New Roman" w:eastAsia="Times New Roman" w:hAnsi="Times New Roman" w:cs="Times New Roman"/>
          <w:sz w:val="24"/>
          <w:szCs w:val="24"/>
          <w:lang w:val="en-US"/>
        </w:rPr>
      </w:pPr>
      <w:r w:rsidRPr="009D050D">
        <w:rPr>
          <w:rFonts w:ascii="Times New Roman" w:eastAsia="Times New Roman" w:hAnsi="Times New Roman" w:cs="Times New Roman"/>
          <w:sz w:val="24"/>
          <w:szCs w:val="24"/>
          <w:lang w:val="en-US"/>
        </w:rPr>
        <w:t>CAINES, V. D. et al. Older workers: past, present and future. </w:t>
      </w:r>
      <w:proofErr w:type="gramStart"/>
      <w:r w:rsidRPr="009D050D">
        <w:rPr>
          <w:rFonts w:ascii="Times New Roman" w:eastAsia="Times New Roman" w:hAnsi="Times New Roman" w:cs="Times New Roman"/>
          <w:i/>
          <w:iCs/>
          <w:sz w:val="24"/>
          <w:szCs w:val="24"/>
          <w:lang w:val="en-US"/>
        </w:rPr>
        <w:t>Australian Journal of Management</w:t>
      </w:r>
      <w:r w:rsidRPr="009D050D">
        <w:rPr>
          <w:rFonts w:ascii="Times New Roman" w:eastAsia="Times New Roman" w:hAnsi="Times New Roman" w:cs="Times New Roman"/>
          <w:sz w:val="24"/>
          <w:szCs w:val="24"/>
          <w:lang w:val="en-US"/>
        </w:rPr>
        <w:t>, v. 45, n. 3, p. 425-448, 2020.</w:t>
      </w:r>
      <w:proofErr w:type="gramEnd"/>
    </w:p>
    <w:p w14:paraId="160DE6AE" w14:textId="77777777" w:rsidR="00262E76" w:rsidRPr="009D050D" w:rsidRDefault="00262E76" w:rsidP="009D050D">
      <w:pPr>
        <w:pBdr>
          <w:top w:val="nil"/>
          <w:left w:val="nil"/>
          <w:bottom w:val="nil"/>
          <w:right w:val="nil"/>
          <w:between w:val="nil"/>
        </w:pBdr>
        <w:spacing w:before="240" w:after="240" w:line="240" w:lineRule="auto"/>
        <w:jc w:val="both"/>
        <w:rPr>
          <w:rFonts w:ascii="Times New Roman" w:eastAsia="Times New Roman" w:hAnsi="Times New Roman" w:cs="Times New Roman"/>
          <w:sz w:val="24"/>
          <w:szCs w:val="24"/>
          <w:lang w:val="en-US"/>
        </w:rPr>
      </w:pPr>
      <w:r w:rsidRPr="009D050D">
        <w:rPr>
          <w:rFonts w:ascii="Times New Roman" w:eastAsia="Times New Roman" w:hAnsi="Times New Roman" w:cs="Times New Roman"/>
          <w:sz w:val="24"/>
          <w:szCs w:val="24"/>
          <w:lang w:val="en-US"/>
        </w:rPr>
        <w:t>CASCIO, W. F. Training trends: macro, micro, and policy issues. </w:t>
      </w:r>
      <w:proofErr w:type="gramStart"/>
      <w:r w:rsidRPr="009D050D">
        <w:rPr>
          <w:rFonts w:ascii="Times New Roman" w:eastAsia="Times New Roman" w:hAnsi="Times New Roman" w:cs="Times New Roman"/>
          <w:i/>
          <w:iCs/>
          <w:sz w:val="24"/>
          <w:szCs w:val="24"/>
          <w:lang w:val="en-US"/>
        </w:rPr>
        <w:t>Human Resource Management Review</w:t>
      </w:r>
      <w:r w:rsidRPr="009D050D">
        <w:rPr>
          <w:rFonts w:ascii="Times New Roman" w:eastAsia="Times New Roman" w:hAnsi="Times New Roman" w:cs="Times New Roman"/>
          <w:sz w:val="24"/>
          <w:szCs w:val="24"/>
          <w:lang w:val="en-US"/>
        </w:rPr>
        <w:t>, v. 29, n. 2, p. 284-297, 2019.</w:t>
      </w:r>
      <w:proofErr w:type="gramEnd"/>
    </w:p>
    <w:p w14:paraId="2E576938" w14:textId="77777777" w:rsidR="00262E76" w:rsidRPr="009D050D" w:rsidRDefault="00262E76" w:rsidP="009D050D">
      <w:pPr>
        <w:pBdr>
          <w:top w:val="nil"/>
          <w:left w:val="nil"/>
          <w:bottom w:val="nil"/>
          <w:right w:val="nil"/>
          <w:between w:val="nil"/>
        </w:pBdr>
        <w:spacing w:before="240" w:after="240" w:line="240" w:lineRule="auto"/>
        <w:jc w:val="both"/>
        <w:rPr>
          <w:rFonts w:ascii="Times New Roman" w:eastAsia="Times New Roman" w:hAnsi="Times New Roman" w:cs="Times New Roman"/>
          <w:sz w:val="24"/>
          <w:szCs w:val="24"/>
          <w:lang w:val="en-US"/>
        </w:rPr>
      </w:pPr>
      <w:r w:rsidRPr="009D050D">
        <w:rPr>
          <w:rFonts w:ascii="Times New Roman" w:eastAsia="Times New Roman" w:hAnsi="Times New Roman" w:cs="Times New Roman"/>
          <w:sz w:val="24"/>
          <w:szCs w:val="24"/>
          <w:lang w:val="en-US"/>
        </w:rPr>
        <w:t>DAVEY, J. A. Retaining older workers: the roles of workplace flexibility and age management. </w:t>
      </w:r>
      <w:proofErr w:type="gramStart"/>
      <w:r w:rsidRPr="009D050D">
        <w:rPr>
          <w:rFonts w:ascii="Times New Roman" w:eastAsia="Times New Roman" w:hAnsi="Times New Roman" w:cs="Times New Roman"/>
          <w:i/>
          <w:iCs/>
          <w:sz w:val="24"/>
          <w:szCs w:val="24"/>
          <w:lang w:val="en-US"/>
        </w:rPr>
        <w:t>Ageing International</w:t>
      </w:r>
      <w:r w:rsidRPr="009D050D">
        <w:rPr>
          <w:rFonts w:ascii="Times New Roman" w:eastAsia="Times New Roman" w:hAnsi="Times New Roman" w:cs="Times New Roman"/>
          <w:sz w:val="24"/>
          <w:szCs w:val="24"/>
          <w:lang w:val="en-US"/>
        </w:rPr>
        <w:t>, v. 43, n. 2, p. 133-153, 2018.</w:t>
      </w:r>
      <w:proofErr w:type="gramEnd"/>
      <w:r w:rsidRPr="009D050D">
        <w:rPr>
          <w:rFonts w:ascii="Times New Roman" w:eastAsia="Times New Roman" w:hAnsi="Times New Roman" w:cs="Times New Roman"/>
          <w:sz w:val="24"/>
          <w:szCs w:val="24"/>
          <w:lang w:val="en-US"/>
        </w:rPr>
        <w:t xml:space="preserve"> DOI: </w:t>
      </w:r>
      <w:hyperlink r:id="rId16" w:tgtFrame="_blank" w:history="1">
        <w:r w:rsidRPr="009D050D">
          <w:rPr>
            <w:rStyle w:val="Hyperlink"/>
            <w:rFonts w:ascii="Times New Roman" w:eastAsia="Times New Roman" w:hAnsi="Times New Roman" w:cs="Times New Roman"/>
            <w:sz w:val="24"/>
            <w:szCs w:val="24"/>
            <w:lang w:val="en-US"/>
          </w:rPr>
          <w:t>https://doi.org/10.1007/s12126-017-9336-0</w:t>
        </w:r>
      </w:hyperlink>
      <w:r w:rsidRPr="009D050D">
        <w:rPr>
          <w:rFonts w:ascii="Times New Roman" w:eastAsia="Times New Roman" w:hAnsi="Times New Roman" w:cs="Times New Roman"/>
          <w:sz w:val="24"/>
          <w:szCs w:val="24"/>
          <w:lang w:val="en-US"/>
        </w:rPr>
        <w:t>.</w:t>
      </w:r>
    </w:p>
    <w:p w14:paraId="6A6C522C" w14:textId="77777777" w:rsidR="00262E76" w:rsidRPr="009D050D" w:rsidRDefault="00262E76" w:rsidP="009D050D">
      <w:pPr>
        <w:pBdr>
          <w:top w:val="nil"/>
          <w:left w:val="nil"/>
          <w:bottom w:val="nil"/>
          <w:right w:val="nil"/>
          <w:between w:val="nil"/>
        </w:pBdr>
        <w:spacing w:before="240" w:after="240" w:line="240" w:lineRule="auto"/>
        <w:jc w:val="both"/>
        <w:rPr>
          <w:rFonts w:ascii="Times New Roman" w:eastAsia="Times New Roman" w:hAnsi="Times New Roman" w:cs="Times New Roman"/>
          <w:sz w:val="24"/>
          <w:szCs w:val="24"/>
          <w:lang w:val="en-US"/>
        </w:rPr>
      </w:pPr>
      <w:proofErr w:type="gramStart"/>
      <w:r w:rsidRPr="009D050D">
        <w:rPr>
          <w:rFonts w:ascii="Times New Roman" w:eastAsia="Times New Roman" w:hAnsi="Times New Roman" w:cs="Times New Roman"/>
          <w:sz w:val="24"/>
          <w:szCs w:val="24"/>
          <w:lang w:val="en-US"/>
        </w:rPr>
        <w:t>FASBENDER, U.; GERPOTT, F. H.; UNGER, D. Give and take?</w:t>
      </w:r>
      <w:proofErr w:type="gramEnd"/>
      <w:r w:rsidRPr="009D050D">
        <w:rPr>
          <w:rFonts w:ascii="Times New Roman" w:eastAsia="Times New Roman" w:hAnsi="Times New Roman" w:cs="Times New Roman"/>
          <w:sz w:val="24"/>
          <w:szCs w:val="24"/>
          <w:lang w:val="en-US"/>
        </w:rPr>
        <w:t xml:space="preserve"> Knowledge exchange between older and younger employees as a function of generativity and development striving. </w:t>
      </w:r>
      <w:proofErr w:type="gramStart"/>
      <w:r w:rsidRPr="009D050D">
        <w:rPr>
          <w:rFonts w:ascii="Times New Roman" w:eastAsia="Times New Roman" w:hAnsi="Times New Roman" w:cs="Times New Roman"/>
          <w:sz w:val="24"/>
          <w:szCs w:val="24"/>
          <w:lang w:val="en-US"/>
        </w:rPr>
        <w:t>Journal of Knowledge Management, v. 25, n. 2, p. 324-341, 2021.</w:t>
      </w:r>
      <w:proofErr w:type="gramEnd"/>
    </w:p>
    <w:p w14:paraId="5899511A" w14:textId="77777777" w:rsidR="00262E76" w:rsidRPr="009D050D" w:rsidRDefault="00262E76" w:rsidP="009D050D">
      <w:pPr>
        <w:pBdr>
          <w:top w:val="nil"/>
          <w:left w:val="nil"/>
          <w:bottom w:val="nil"/>
          <w:right w:val="nil"/>
          <w:between w:val="nil"/>
        </w:pBdr>
        <w:spacing w:before="240" w:after="240" w:line="240" w:lineRule="auto"/>
        <w:jc w:val="both"/>
        <w:rPr>
          <w:rFonts w:ascii="Times New Roman" w:eastAsia="Times New Roman" w:hAnsi="Times New Roman" w:cs="Times New Roman"/>
          <w:sz w:val="24"/>
          <w:szCs w:val="24"/>
          <w:lang w:val="en-US"/>
        </w:rPr>
      </w:pPr>
      <w:r w:rsidRPr="009D050D">
        <w:rPr>
          <w:rFonts w:ascii="Times New Roman" w:eastAsia="Times New Roman" w:hAnsi="Times New Roman" w:cs="Times New Roman"/>
          <w:sz w:val="24"/>
          <w:szCs w:val="24"/>
          <w:lang w:val="en-US"/>
        </w:rPr>
        <w:t xml:space="preserve">GANGULY, A.; TALUKDAR, A.; CHATTOPADHYAY, T. Knowledge sharing and organizational innovation: The mediating role of knowledge application. </w:t>
      </w:r>
      <w:proofErr w:type="gramStart"/>
      <w:r w:rsidRPr="009D050D">
        <w:rPr>
          <w:rFonts w:ascii="Times New Roman" w:eastAsia="Times New Roman" w:hAnsi="Times New Roman" w:cs="Times New Roman"/>
          <w:sz w:val="24"/>
          <w:szCs w:val="24"/>
          <w:lang w:val="en-US"/>
        </w:rPr>
        <w:t>Journal of Knowledge Management, v. 23, n. 4, p. 687–709, 2019.</w:t>
      </w:r>
      <w:proofErr w:type="gramEnd"/>
    </w:p>
    <w:p w14:paraId="0CC93A99" w14:textId="77777777" w:rsidR="00262E76" w:rsidRPr="009D050D" w:rsidRDefault="00262E76" w:rsidP="009D050D">
      <w:pPr>
        <w:pBdr>
          <w:top w:val="nil"/>
          <w:left w:val="nil"/>
          <w:bottom w:val="nil"/>
          <w:right w:val="nil"/>
          <w:between w:val="nil"/>
        </w:pBdr>
        <w:spacing w:before="240" w:after="240" w:line="240" w:lineRule="auto"/>
        <w:jc w:val="both"/>
        <w:rPr>
          <w:rFonts w:ascii="Times New Roman" w:eastAsia="Times New Roman" w:hAnsi="Times New Roman" w:cs="Times New Roman"/>
          <w:sz w:val="24"/>
          <w:szCs w:val="24"/>
          <w:lang w:val="en-US"/>
        </w:rPr>
      </w:pPr>
      <w:r w:rsidRPr="009D050D">
        <w:rPr>
          <w:rFonts w:ascii="Times New Roman" w:eastAsia="Times New Roman" w:hAnsi="Times New Roman" w:cs="Times New Roman"/>
          <w:sz w:val="24"/>
          <w:szCs w:val="24"/>
          <w:lang w:val="en-US"/>
        </w:rPr>
        <w:t xml:space="preserve">GAVIRIA-MARIN, M.; GARCÍA-MURILLO, M.; BONTIS, N. Knowledge management and innovation: A systematic review. </w:t>
      </w:r>
      <w:proofErr w:type="gramStart"/>
      <w:r w:rsidRPr="009D050D">
        <w:rPr>
          <w:rFonts w:ascii="Times New Roman" w:eastAsia="Times New Roman" w:hAnsi="Times New Roman" w:cs="Times New Roman"/>
          <w:sz w:val="24"/>
          <w:szCs w:val="24"/>
          <w:lang w:val="en-US"/>
        </w:rPr>
        <w:t>Journal of Knowledge Management, v. 22, n. 7, p. 1513-1533, 2018.</w:t>
      </w:r>
      <w:proofErr w:type="gramEnd"/>
    </w:p>
    <w:p w14:paraId="1ED9C57E" w14:textId="77777777" w:rsidR="00262E76" w:rsidRPr="009D050D" w:rsidRDefault="00262E76" w:rsidP="009D050D">
      <w:pPr>
        <w:pBdr>
          <w:top w:val="nil"/>
          <w:left w:val="nil"/>
          <w:bottom w:val="nil"/>
          <w:right w:val="nil"/>
          <w:between w:val="nil"/>
        </w:pBdr>
        <w:spacing w:before="240" w:after="240" w:line="240" w:lineRule="auto"/>
        <w:jc w:val="both"/>
        <w:rPr>
          <w:rFonts w:ascii="Times New Roman" w:eastAsia="Times New Roman" w:hAnsi="Times New Roman" w:cs="Times New Roman"/>
          <w:sz w:val="24"/>
          <w:szCs w:val="24"/>
          <w:lang w:val="en-US"/>
        </w:rPr>
      </w:pPr>
      <w:proofErr w:type="gramStart"/>
      <w:r w:rsidRPr="009D050D">
        <w:rPr>
          <w:rFonts w:ascii="Times New Roman" w:eastAsia="Times New Roman" w:hAnsi="Times New Roman" w:cs="Times New Roman"/>
          <w:sz w:val="24"/>
          <w:szCs w:val="24"/>
          <w:lang w:val="en-US"/>
        </w:rPr>
        <w:t>GUERREIRO, D.; SILVA, M.</w:t>
      </w:r>
      <w:proofErr w:type="gramEnd"/>
      <w:r w:rsidRPr="009D050D">
        <w:rPr>
          <w:rFonts w:ascii="Times New Roman" w:eastAsia="Times New Roman" w:hAnsi="Times New Roman" w:cs="Times New Roman"/>
          <w:sz w:val="24"/>
          <w:szCs w:val="24"/>
          <w:lang w:val="en-US"/>
        </w:rPr>
        <w:t xml:space="preserve"> </w:t>
      </w:r>
      <w:proofErr w:type="gramStart"/>
      <w:r w:rsidRPr="009D050D">
        <w:rPr>
          <w:rFonts w:ascii="Times New Roman" w:eastAsia="Times New Roman" w:hAnsi="Times New Roman" w:cs="Times New Roman"/>
          <w:sz w:val="24"/>
          <w:szCs w:val="24"/>
          <w:lang w:val="en-US"/>
        </w:rPr>
        <w:t>The aging workforce and its implications for organizational policies in developing countries.</w:t>
      </w:r>
      <w:proofErr w:type="gramEnd"/>
      <w:r w:rsidRPr="009D050D">
        <w:rPr>
          <w:rFonts w:ascii="Times New Roman" w:eastAsia="Times New Roman" w:hAnsi="Times New Roman" w:cs="Times New Roman"/>
          <w:sz w:val="24"/>
          <w:szCs w:val="24"/>
          <w:lang w:val="en-US"/>
        </w:rPr>
        <w:t xml:space="preserve"> </w:t>
      </w:r>
      <w:proofErr w:type="gramStart"/>
      <w:r w:rsidRPr="009D050D">
        <w:rPr>
          <w:rFonts w:ascii="Times New Roman" w:eastAsia="Times New Roman" w:hAnsi="Times New Roman" w:cs="Times New Roman"/>
          <w:sz w:val="24"/>
          <w:szCs w:val="24"/>
          <w:lang w:val="en-US"/>
        </w:rPr>
        <w:t>International Journal of Ageing and Human Development, v. 92, n. 1, p. 45-60, 2021.</w:t>
      </w:r>
      <w:proofErr w:type="gramEnd"/>
    </w:p>
    <w:p w14:paraId="237A384F" w14:textId="77777777" w:rsidR="00262E76" w:rsidRPr="009D050D" w:rsidRDefault="00262E76" w:rsidP="009D050D">
      <w:pPr>
        <w:pBdr>
          <w:top w:val="nil"/>
          <w:left w:val="nil"/>
          <w:bottom w:val="nil"/>
          <w:right w:val="nil"/>
          <w:between w:val="nil"/>
        </w:pBdr>
        <w:spacing w:before="240" w:after="240" w:line="240" w:lineRule="auto"/>
        <w:jc w:val="both"/>
        <w:rPr>
          <w:rFonts w:ascii="Times New Roman" w:eastAsia="Times New Roman" w:hAnsi="Times New Roman" w:cs="Times New Roman"/>
          <w:sz w:val="24"/>
          <w:szCs w:val="24"/>
          <w:lang w:val="en-US"/>
        </w:rPr>
      </w:pPr>
      <w:proofErr w:type="gramStart"/>
      <w:r w:rsidRPr="009D050D">
        <w:rPr>
          <w:rFonts w:ascii="Times New Roman" w:eastAsia="Times New Roman" w:hAnsi="Times New Roman" w:cs="Times New Roman"/>
          <w:sz w:val="24"/>
          <w:szCs w:val="24"/>
          <w:lang w:val="en-US"/>
        </w:rPr>
        <w:t>HARDY, B. W.; CASTONGUAY, J.</w:t>
      </w:r>
      <w:proofErr w:type="gramEnd"/>
      <w:r w:rsidRPr="009D050D">
        <w:rPr>
          <w:rFonts w:ascii="Times New Roman" w:eastAsia="Times New Roman" w:hAnsi="Times New Roman" w:cs="Times New Roman"/>
          <w:sz w:val="24"/>
          <w:szCs w:val="24"/>
          <w:lang w:val="en-US"/>
        </w:rPr>
        <w:t xml:space="preserve"> The moderating role of age in the relationship between social media use and mental well-being: An analysis of the 2016 General Social Survey. </w:t>
      </w:r>
      <w:proofErr w:type="gramStart"/>
      <w:r w:rsidRPr="009D050D">
        <w:rPr>
          <w:rFonts w:ascii="Times New Roman" w:eastAsia="Times New Roman" w:hAnsi="Times New Roman" w:cs="Times New Roman"/>
          <w:sz w:val="24"/>
          <w:szCs w:val="24"/>
          <w:lang w:val="en-US"/>
        </w:rPr>
        <w:t>Computers in Human Behavior, v. 85, p. 282-290, 2018.</w:t>
      </w:r>
      <w:proofErr w:type="gramEnd"/>
    </w:p>
    <w:p w14:paraId="22CEF7C2" w14:textId="77777777" w:rsidR="00262E76" w:rsidRPr="009D050D" w:rsidRDefault="00262E76" w:rsidP="009D050D">
      <w:pPr>
        <w:pBdr>
          <w:top w:val="nil"/>
          <w:left w:val="nil"/>
          <w:bottom w:val="nil"/>
          <w:right w:val="nil"/>
          <w:between w:val="nil"/>
        </w:pBdr>
        <w:spacing w:before="240" w:after="240" w:line="240" w:lineRule="auto"/>
        <w:jc w:val="both"/>
        <w:rPr>
          <w:rFonts w:ascii="Times New Roman" w:eastAsia="Times New Roman" w:hAnsi="Times New Roman" w:cs="Times New Roman"/>
          <w:sz w:val="24"/>
          <w:szCs w:val="24"/>
          <w:lang w:val="en-US"/>
        </w:rPr>
      </w:pPr>
      <w:proofErr w:type="gramStart"/>
      <w:r w:rsidRPr="009D050D">
        <w:rPr>
          <w:rFonts w:ascii="Times New Roman" w:eastAsia="Times New Roman" w:hAnsi="Times New Roman" w:cs="Times New Roman"/>
          <w:sz w:val="24"/>
          <w:szCs w:val="24"/>
          <w:lang w:val="en-US"/>
        </w:rPr>
        <w:t>HÜLÜR, Gizem; MACDONALD, Birthe.</w:t>
      </w:r>
      <w:proofErr w:type="gramEnd"/>
      <w:r w:rsidRPr="009D050D">
        <w:rPr>
          <w:rFonts w:ascii="Times New Roman" w:eastAsia="Times New Roman" w:hAnsi="Times New Roman" w:cs="Times New Roman"/>
          <w:sz w:val="24"/>
          <w:szCs w:val="24"/>
          <w:lang w:val="en-US"/>
        </w:rPr>
        <w:t xml:space="preserve"> </w:t>
      </w:r>
      <w:proofErr w:type="gramStart"/>
      <w:r w:rsidRPr="009D050D">
        <w:rPr>
          <w:rFonts w:ascii="Times New Roman" w:eastAsia="Times New Roman" w:hAnsi="Times New Roman" w:cs="Times New Roman"/>
          <w:sz w:val="24"/>
          <w:szCs w:val="24"/>
          <w:lang w:val="en-US"/>
        </w:rPr>
        <w:t>Rethinking social relationships in old age: digitalization and the social lives of older adults.</w:t>
      </w:r>
      <w:proofErr w:type="gramEnd"/>
      <w:r w:rsidRPr="009D050D">
        <w:rPr>
          <w:rFonts w:ascii="Times New Roman" w:eastAsia="Times New Roman" w:hAnsi="Times New Roman" w:cs="Times New Roman"/>
          <w:sz w:val="24"/>
          <w:szCs w:val="24"/>
          <w:lang w:val="en-US"/>
        </w:rPr>
        <w:t> </w:t>
      </w:r>
      <w:proofErr w:type="gramStart"/>
      <w:r w:rsidRPr="009D050D">
        <w:rPr>
          <w:rFonts w:ascii="Times New Roman" w:eastAsia="Times New Roman" w:hAnsi="Times New Roman" w:cs="Times New Roman"/>
          <w:i/>
          <w:iCs/>
          <w:sz w:val="24"/>
          <w:szCs w:val="24"/>
          <w:lang w:val="en-US"/>
        </w:rPr>
        <w:t>American Psychologist</w:t>
      </w:r>
      <w:r w:rsidRPr="009D050D">
        <w:rPr>
          <w:rFonts w:ascii="Times New Roman" w:eastAsia="Times New Roman" w:hAnsi="Times New Roman" w:cs="Times New Roman"/>
          <w:sz w:val="24"/>
          <w:szCs w:val="24"/>
          <w:lang w:val="en-US"/>
        </w:rPr>
        <w:t>, v. 75, n. 4, p. 554, 2020.</w:t>
      </w:r>
      <w:proofErr w:type="gramEnd"/>
    </w:p>
    <w:p w14:paraId="790384C5" w14:textId="77777777" w:rsidR="00262E76" w:rsidRPr="009D050D" w:rsidRDefault="00262E76" w:rsidP="009D050D">
      <w:pPr>
        <w:pBdr>
          <w:top w:val="nil"/>
          <w:left w:val="nil"/>
          <w:bottom w:val="nil"/>
          <w:right w:val="nil"/>
          <w:between w:val="nil"/>
        </w:pBdr>
        <w:spacing w:before="240" w:after="240" w:line="240" w:lineRule="auto"/>
        <w:jc w:val="both"/>
        <w:rPr>
          <w:rFonts w:ascii="Times New Roman" w:eastAsia="Times New Roman" w:hAnsi="Times New Roman" w:cs="Times New Roman"/>
          <w:sz w:val="24"/>
          <w:szCs w:val="24"/>
          <w:lang w:val="en-US"/>
        </w:rPr>
      </w:pPr>
      <w:r w:rsidRPr="009D050D">
        <w:rPr>
          <w:rFonts w:ascii="Times New Roman" w:eastAsia="Times New Roman" w:hAnsi="Times New Roman" w:cs="Times New Roman"/>
          <w:sz w:val="24"/>
          <w:szCs w:val="24"/>
          <w:lang w:val="en-US"/>
        </w:rPr>
        <w:t>KOOIJ, D.; ZACHER, H.; WANG, M.; HECKHAUSEN, J. Successful aging at work: A process model to guide future research and practice. Industrial and Organizational Psychology: Perspectives on Science and Practice, v. 13, p. 345-365, 2020.</w:t>
      </w:r>
    </w:p>
    <w:p w14:paraId="17097BB8" w14:textId="77777777" w:rsidR="00262E76" w:rsidRPr="009D050D" w:rsidRDefault="00262E76" w:rsidP="009D050D">
      <w:pPr>
        <w:pBdr>
          <w:top w:val="nil"/>
          <w:left w:val="nil"/>
          <w:bottom w:val="nil"/>
          <w:right w:val="nil"/>
          <w:between w:val="nil"/>
        </w:pBdr>
        <w:spacing w:before="240" w:after="240" w:line="240" w:lineRule="auto"/>
        <w:jc w:val="both"/>
        <w:rPr>
          <w:rFonts w:ascii="Times New Roman" w:eastAsia="Times New Roman" w:hAnsi="Times New Roman" w:cs="Times New Roman"/>
          <w:sz w:val="24"/>
          <w:szCs w:val="24"/>
          <w:lang w:val="en-US"/>
        </w:rPr>
      </w:pPr>
      <w:proofErr w:type="gramStart"/>
      <w:r w:rsidRPr="009D050D">
        <w:rPr>
          <w:rFonts w:ascii="Times New Roman" w:eastAsia="Times New Roman" w:hAnsi="Times New Roman" w:cs="Times New Roman"/>
          <w:sz w:val="24"/>
          <w:szCs w:val="24"/>
          <w:lang w:val="en-US"/>
        </w:rPr>
        <w:lastRenderedPageBreak/>
        <w:t>KUCHARSKA, K.; ERICKSON, T.</w:t>
      </w:r>
      <w:proofErr w:type="gramEnd"/>
      <w:r w:rsidRPr="009D050D">
        <w:rPr>
          <w:rFonts w:ascii="Times New Roman" w:eastAsia="Times New Roman" w:hAnsi="Times New Roman" w:cs="Times New Roman"/>
          <w:sz w:val="24"/>
          <w:szCs w:val="24"/>
          <w:lang w:val="en-US"/>
        </w:rPr>
        <w:t xml:space="preserve"> </w:t>
      </w:r>
      <w:proofErr w:type="gramStart"/>
      <w:r w:rsidRPr="009D050D">
        <w:rPr>
          <w:rFonts w:ascii="Times New Roman" w:eastAsia="Times New Roman" w:hAnsi="Times New Roman" w:cs="Times New Roman"/>
          <w:sz w:val="24"/>
          <w:szCs w:val="24"/>
          <w:lang w:val="en-US"/>
        </w:rPr>
        <w:t>The role of knowledge management in the digital transformation of organizations.</w:t>
      </w:r>
      <w:proofErr w:type="gramEnd"/>
      <w:r w:rsidRPr="009D050D">
        <w:rPr>
          <w:rFonts w:ascii="Times New Roman" w:eastAsia="Times New Roman" w:hAnsi="Times New Roman" w:cs="Times New Roman"/>
          <w:sz w:val="24"/>
          <w:szCs w:val="24"/>
          <w:lang w:val="en-US"/>
        </w:rPr>
        <w:t xml:space="preserve"> </w:t>
      </w:r>
      <w:proofErr w:type="gramStart"/>
      <w:r w:rsidRPr="009D050D">
        <w:rPr>
          <w:rFonts w:ascii="Times New Roman" w:eastAsia="Times New Roman" w:hAnsi="Times New Roman" w:cs="Times New Roman"/>
          <w:sz w:val="24"/>
          <w:szCs w:val="24"/>
          <w:lang w:val="en-US"/>
        </w:rPr>
        <w:t>Journal of Knowledge Management, v. 27, n. 5, p. 1125-1142, 2023.</w:t>
      </w:r>
      <w:proofErr w:type="gramEnd"/>
    </w:p>
    <w:p w14:paraId="61DC08F3" w14:textId="77777777" w:rsidR="00262E76" w:rsidRPr="009D050D" w:rsidRDefault="00262E76" w:rsidP="009D050D">
      <w:pPr>
        <w:pBdr>
          <w:top w:val="nil"/>
          <w:left w:val="nil"/>
          <w:bottom w:val="nil"/>
          <w:right w:val="nil"/>
          <w:between w:val="nil"/>
        </w:pBdr>
        <w:spacing w:before="240" w:after="240" w:line="240" w:lineRule="auto"/>
        <w:jc w:val="both"/>
        <w:rPr>
          <w:rFonts w:ascii="Times New Roman" w:eastAsia="Times New Roman" w:hAnsi="Times New Roman" w:cs="Times New Roman"/>
          <w:sz w:val="24"/>
          <w:szCs w:val="24"/>
          <w:lang w:val="en-US"/>
        </w:rPr>
      </w:pPr>
      <w:r w:rsidRPr="009D050D">
        <w:rPr>
          <w:rFonts w:ascii="Times New Roman" w:eastAsia="Times New Roman" w:hAnsi="Times New Roman" w:cs="Times New Roman"/>
          <w:sz w:val="24"/>
          <w:szCs w:val="24"/>
          <w:lang w:val="en-US"/>
        </w:rPr>
        <w:t xml:space="preserve">LEE, J. et al. Workforce aging in emerging economies: Opportunities and challenges. </w:t>
      </w:r>
      <w:proofErr w:type="gramStart"/>
      <w:r w:rsidRPr="009D050D">
        <w:rPr>
          <w:rFonts w:ascii="Times New Roman" w:eastAsia="Times New Roman" w:hAnsi="Times New Roman" w:cs="Times New Roman"/>
          <w:sz w:val="24"/>
          <w:szCs w:val="24"/>
          <w:lang w:val="en-US"/>
        </w:rPr>
        <w:t>Journal of Labor Economics, v. 40, n. 2, p. 307-330, 2022.</w:t>
      </w:r>
      <w:proofErr w:type="gramEnd"/>
    </w:p>
    <w:p w14:paraId="51503A94" w14:textId="77777777" w:rsidR="00262E76" w:rsidRPr="009D050D" w:rsidRDefault="00262E76" w:rsidP="009D050D">
      <w:pPr>
        <w:pBdr>
          <w:top w:val="nil"/>
          <w:left w:val="nil"/>
          <w:bottom w:val="nil"/>
          <w:right w:val="nil"/>
          <w:between w:val="nil"/>
        </w:pBdr>
        <w:spacing w:before="240" w:after="240" w:line="240" w:lineRule="auto"/>
        <w:jc w:val="both"/>
        <w:rPr>
          <w:rFonts w:ascii="Times New Roman" w:eastAsia="Times New Roman" w:hAnsi="Times New Roman" w:cs="Times New Roman"/>
          <w:sz w:val="24"/>
          <w:szCs w:val="24"/>
        </w:rPr>
      </w:pPr>
      <w:r w:rsidRPr="009D050D">
        <w:rPr>
          <w:rFonts w:ascii="Times New Roman" w:eastAsia="Times New Roman" w:hAnsi="Times New Roman" w:cs="Times New Roman"/>
          <w:sz w:val="24"/>
          <w:szCs w:val="24"/>
          <w:lang w:val="en-US"/>
        </w:rPr>
        <w:t xml:space="preserve">MCKINSEY &amp; COMPANY. </w:t>
      </w:r>
      <w:proofErr w:type="gramStart"/>
      <w:r w:rsidRPr="009D050D">
        <w:rPr>
          <w:rFonts w:ascii="Times New Roman" w:eastAsia="Times New Roman" w:hAnsi="Times New Roman" w:cs="Times New Roman"/>
          <w:sz w:val="24"/>
          <w:szCs w:val="24"/>
          <w:lang w:val="en-US"/>
        </w:rPr>
        <w:t>The future of work after COVID-19.</w:t>
      </w:r>
      <w:proofErr w:type="gramEnd"/>
      <w:r w:rsidRPr="009D050D">
        <w:rPr>
          <w:rFonts w:ascii="Times New Roman" w:eastAsia="Times New Roman" w:hAnsi="Times New Roman" w:cs="Times New Roman"/>
          <w:sz w:val="24"/>
          <w:szCs w:val="24"/>
          <w:lang w:val="en-US"/>
        </w:rPr>
        <w:t xml:space="preserve"> </w:t>
      </w:r>
      <w:proofErr w:type="spellStart"/>
      <w:r w:rsidRPr="009D050D">
        <w:rPr>
          <w:rFonts w:ascii="Times New Roman" w:eastAsia="Times New Roman" w:hAnsi="Times New Roman" w:cs="Times New Roman"/>
          <w:sz w:val="24"/>
          <w:szCs w:val="24"/>
        </w:rPr>
        <w:t>McKinsey</w:t>
      </w:r>
      <w:proofErr w:type="spellEnd"/>
      <w:r w:rsidRPr="009D050D">
        <w:rPr>
          <w:rFonts w:ascii="Times New Roman" w:eastAsia="Times New Roman" w:hAnsi="Times New Roman" w:cs="Times New Roman"/>
          <w:sz w:val="24"/>
          <w:szCs w:val="24"/>
        </w:rPr>
        <w:t xml:space="preserve"> Global </w:t>
      </w:r>
      <w:proofErr w:type="spellStart"/>
      <w:r w:rsidRPr="009D050D">
        <w:rPr>
          <w:rFonts w:ascii="Times New Roman" w:eastAsia="Times New Roman" w:hAnsi="Times New Roman" w:cs="Times New Roman"/>
          <w:sz w:val="24"/>
          <w:szCs w:val="24"/>
        </w:rPr>
        <w:t>Institute</w:t>
      </w:r>
      <w:proofErr w:type="spellEnd"/>
      <w:r w:rsidRPr="009D050D">
        <w:rPr>
          <w:rFonts w:ascii="Times New Roman" w:eastAsia="Times New Roman" w:hAnsi="Times New Roman" w:cs="Times New Roman"/>
          <w:sz w:val="24"/>
          <w:szCs w:val="24"/>
        </w:rPr>
        <w:t xml:space="preserve">, 2024. Disponível em: </w:t>
      </w:r>
      <w:proofErr w:type="gramStart"/>
      <w:r w:rsidRPr="009D050D">
        <w:rPr>
          <w:rFonts w:ascii="Times New Roman" w:eastAsia="Times New Roman" w:hAnsi="Times New Roman" w:cs="Times New Roman"/>
          <w:sz w:val="24"/>
          <w:szCs w:val="24"/>
        </w:rPr>
        <w:t>https</w:t>
      </w:r>
      <w:proofErr w:type="gramEnd"/>
      <w:r w:rsidRPr="009D050D">
        <w:rPr>
          <w:rFonts w:ascii="Times New Roman" w:eastAsia="Times New Roman" w:hAnsi="Times New Roman" w:cs="Times New Roman"/>
          <w:sz w:val="24"/>
          <w:szCs w:val="24"/>
        </w:rPr>
        <w:t>://www.mckinsey.com. Acesso em: 27 jul. 2025.</w:t>
      </w:r>
    </w:p>
    <w:p w14:paraId="0DE4139D" w14:textId="77777777" w:rsidR="00262E76" w:rsidRPr="009D050D" w:rsidRDefault="00262E76" w:rsidP="009D050D">
      <w:pPr>
        <w:pBdr>
          <w:top w:val="nil"/>
          <w:left w:val="nil"/>
          <w:bottom w:val="nil"/>
          <w:right w:val="nil"/>
          <w:between w:val="nil"/>
        </w:pBdr>
        <w:spacing w:before="240" w:after="240" w:line="240" w:lineRule="auto"/>
        <w:jc w:val="both"/>
        <w:rPr>
          <w:rFonts w:ascii="Times New Roman" w:eastAsia="Times New Roman" w:hAnsi="Times New Roman" w:cs="Times New Roman"/>
          <w:sz w:val="24"/>
          <w:szCs w:val="24"/>
          <w:lang w:val="en-US"/>
        </w:rPr>
      </w:pPr>
      <w:proofErr w:type="gramStart"/>
      <w:r w:rsidRPr="009D050D">
        <w:rPr>
          <w:rFonts w:ascii="Times New Roman" w:eastAsia="Times New Roman" w:hAnsi="Times New Roman" w:cs="Times New Roman"/>
          <w:sz w:val="24"/>
          <w:szCs w:val="24"/>
          <w:lang w:val="en-US"/>
        </w:rPr>
        <w:t>NONAKA, I.</w:t>
      </w:r>
      <w:proofErr w:type="gramEnd"/>
      <w:r w:rsidRPr="009D050D">
        <w:rPr>
          <w:rFonts w:ascii="Times New Roman" w:eastAsia="Times New Roman" w:hAnsi="Times New Roman" w:cs="Times New Roman"/>
          <w:sz w:val="24"/>
          <w:szCs w:val="24"/>
          <w:lang w:val="en-US"/>
        </w:rPr>
        <w:t xml:space="preserve"> </w:t>
      </w:r>
      <w:proofErr w:type="gramStart"/>
      <w:r w:rsidRPr="009D050D">
        <w:rPr>
          <w:rFonts w:ascii="Times New Roman" w:eastAsia="Times New Roman" w:hAnsi="Times New Roman" w:cs="Times New Roman"/>
          <w:sz w:val="24"/>
          <w:szCs w:val="24"/>
          <w:lang w:val="en-US"/>
        </w:rPr>
        <w:t>A dynamic theory of organizational knowledge creation.</w:t>
      </w:r>
      <w:proofErr w:type="gramEnd"/>
      <w:r w:rsidRPr="009D050D">
        <w:rPr>
          <w:rFonts w:ascii="Times New Roman" w:eastAsia="Times New Roman" w:hAnsi="Times New Roman" w:cs="Times New Roman"/>
          <w:sz w:val="24"/>
          <w:szCs w:val="24"/>
          <w:lang w:val="en-US"/>
        </w:rPr>
        <w:t xml:space="preserve"> </w:t>
      </w:r>
      <w:proofErr w:type="gramStart"/>
      <w:r w:rsidRPr="009D050D">
        <w:rPr>
          <w:rFonts w:ascii="Times New Roman" w:eastAsia="Times New Roman" w:hAnsi="Times New Roman" w:cs="Times New Roman"/>
          <w:sz w:val="24"/>
          <w:szCs w:val="24"/>
          <w:lang w:val="en-US"/>
        </w:rPr>
        <w:t>Organization Science, v. 5, n. 1, p. 14-37, 1994.</w:t>
      </w:r>
      <w:proofErr w:type="gramEnd"/>
    </w:p>
    <w:p w14:paraId="01D12B55" w14:textId="77777777" w:rsidR="00262E76" w:rsidRPr="009D050D" w:rsidRDefault="00262E76" w:rsidP="009D050D">
      <w:pPr>
        <w:pBdr>
          <w:top w:val="nil"/>
          <w:left w:val="nil"/>
          <w:bottom w:val="nil"/>
          <w:right w:val="nil"/>
          <w:between w:val="nil"/>
        </w:pBdr>
        <w:spacing w:before="240" w:after="240" w:line="240" w:lineRule="auto"/>
        <w:jc w:val="both"/>
        <w:rPr>
          <w:rFonts w:ascii="Times New Roman" w:eastAsia="Times New Roman" w:hAnsi="Times New Roman" w:cs="Times New Roman"/>
          <w:sz w:val="24"/>
          <w:szCs w:val="24"/>
          <w:lang w:val="en-US"/>
        </w:rPr>
      </w:pPr>
      <w:proofErr w:type="gramStart"/>
      <w:r w:rsidRPr="009D050D">
        <w:rPr>
          <w:rFonts w:ascii="Times New Roman" w:eastAsia="Times New Roman" w:hAnsi="Times New Roman" w:cs="Times New Roman"/>
          <w:sz w:val="24"/>
          <w:szCs w:val="24"/>
          <w:lang w:val="en-US"/>
        </w:rPr>
        <w:t>OSWALD, R.; MASCARENHAS, C.</w:t>
      </w:r>
      <w:proofErr w:type="gramEnd"/>
      <w:r w:rsidRPr="009D050D">
        <w:rPr>
          <w:rFonts w:ascii="Times New Roman" w:eastAsia="Times New Roman" w:hAnsi="Times New Roman" w:cs="Times New Roman"/>
          <w:sz w:val="24"/>
          <w:szCs w:val="24"/>
          <w:lang w:val="en-US"/>
        </w:rPr>
        <w:t xml:space="preserve"> The role of reflection in knowledge internalization: A study of tacit knowledge. </w:t>
      </w:r>
      <w:proofErr w:type="gramStart"/>
      <w:r w:rsidRPr="009D050D">
        <w:rPr>
          <w:rFonts w:ascii="Times New Roman" w:eastAsia="Times New Roman" w:hAnsi="Times New Roman" w:cs="Times New Roman"/>
          <w:sz w:val="24"/>
          <w:szCs w:val="24"/>
          <w:lang w:val="en-US"/>
        </w:rPr>
        <w:t>Journal of Knowledge Management, v. 23, n. 2, p. 345-360, 2019.</w:t>
      </w:r>
      <w:proofErr w:type="gramEnd"/>
    </w:p>
    <w:p w14:paraId="5077FF52" w14:textId="77777777" w:rsidR="00262E76" w:rsidRPr="009D050D" w:rsidRDefault="00262E76" w:rsidP="009D050D">
      <w:pPr>
        <w:pBdr>
          <w:top w:val="nil"/>
          <w:left w:val="nil"/>
          <w:bottom w:val="nil"/>
          <w:right w:val="nil"/>
          <w:between w:val="nil"/>
        </w:pBdr>
        <w:spacing w:before="240" w:after="240" w:line="240" w:lineRule="auto"/>
        <w:jc w:val="both"/>
        <w:rPr>
          <w:rFonts w:ascii="Times New Roman" w:eastAsia="Times New Roman" w:hAnsi="Times New Roman" w:cs="Times New Roman"/>
          <w:sz w:val="24"/>
          <w:szCs w:val="24"/>
          <w:lang w:val="en-US"/>
        </w:rPr>
      </w:pPr>
      <w:r w:rsidRPr="009D050D">
        <w:rPr>
          <w:rFonts w:ascii="Times New Roman" w:eastAsia="Times New Roman" w:hAnsi="Times New Roman" w:cs="Times New Roman"/>
          <w:sz w:val="24"/>
          <w:szCs w:val="24"/>
          <w:lang w:val="en-US"/>
        </w:rPr>
        <w:t xml:space="preserve">POSTHUMA, R. A.; CAMPION, M. A. Age stereotypes in the workplace: Common stereotypes, moderators, and future research directions. </w:t>
      </w:r>
      <w:proofErr w:type="gramStart"/>
      <w:r w:rsidRPr="009D050D">
        <w:rPr>
          <w:rFonts w:ascii="Times New Roman" w:eastAsia="Times New Roman" w:hAnsi="Times New Roman" w:cs="Times New Roman"/>
          <w:sz w:val="24"/>
          <w:szCs w:val="24"/>
          <w:lang w:val="en-US"/>
        </w:rPr>
        <w:t>Journal of Management, v. 35, n. 1, p. 158-188, 2009.</w:t>
      </w:r>
      <w:proofErr w:type="gramEnd"/>
    </w:p>
    <w:p w14:paraId="268AC369" w14:textId="77777777" w:rsidR="00262E76" w:rsidRPr="009D050D" w:rsidRDefault="00262E76" w:rsidP="009D050D">
      <w:pPr>
        <w:pBdr>
          <w:top w:val="nil"/>
          <w:left w:val="nil"/>
          <w:bottom w:val="nil"/>
          <w:right w:val="nil"/>
          <w:between w:val="nil"/>
        </w:pBdr>
        <w:spacing w:before="240" w:after="240" w:line="240" w:lineRule="auto"/>
        <w:jc w:val="both"/>
        <w:rPr>
          <w:rFonts w:ascii="Times New Roman" w:eastAsia="Times New Roman" w:hAnsi="Times New Roman" w:cs="Times New Roman"/>
          <w:sz w:val="24"/>
          <w:szCs w:val="24"/>
          <w:lang w:val="en-US"/>
        </w:rPr>
      </w:pPr>
      <w:r w:rsidRPr="009D050D">
        <w:rPr>
          <w:rFonts w:ascii="Times New Roman" w:eastAsia="Times New Roman" w:hAnsi="Times New Roman" w:cs="Times New Roman"/>
          <w:sz w:val="24"/>
          <w:szCs w:val="24"/>
          <w:lang w:val="en-US"/>
        </w:rPr>
        <w:t xml:space="preserve">SERENKO, A.; BONTIS, N. Global ranking of knowledge management journals: 2016. </w:t>
      </w:r>
      <w:proofErr w:type="gramStart"/>
      <w:r w:rsidRPr="009D050D">
        <w:rPr>
          <w:rFonts w:ascii="Times New Roman" w:eastAsia="Times New Roman" w:hAnsi="Times New Roman" w:cs="Times New Roman"/>
          <w:sz w:val="24"/>
          <w:szCs w:val="24"/>
          <w:lang w:val="en-US"/>
        </w:rPr>
        <w:t>Journal of Knowledge Management, v. 20, n. 3, p. 1-24, 2016.</w:t>
      </w:r>
      <w:proofErr w:type="gramEnd"/>
    </w:p>
    <w:p w14:paraId="34775CBA" w14:textId="77777777" w:rsidR="00262E76" w:rsidRPr="009D050D" w:rsidRDefault="00262E76" w:rsidP="009D050D">
      <w:pPr>
        <w:pBdr>
          <w:top w:val="nil"/>
          <w:left w:val="nil"/>
          <w:bottom w:val="nil"/>
          <w:right w:val="nil"/>
          <w:between w:val="nil"/>
        </w:pBdr>
        <w:spacing w:before="240" w:after="240" w:line="240" w:lineRule="auto"/>
        <w:jc w:val="both"/>
        <w:rPr>
          <w:rFonts w:ascii="Times New Roman" w:eastAsia="Times New Roman" w:hAnsi="Times New Roman" w:cs="Times New Roman"/>
          <w:sz w:val="24"/>
          <w:szCs w:val="24"/>
          <w:lang w:val="en-US"/>
        </w:rPr>
      </w:pPr>
      <w:r w:rsidRPr="009D050D">
        <w:rPr>
          <w:rFonts w:ascii="Times New Roman" w:eastAsia="Times New Roman" w:hAnsi="Times New Roman" w:cs="Times New Roman"/>
          <w:sz w:val="24"/>
          <w:szCs w:val="24"/>
          <w:lang w:val="en-US"/>
        </w:rPr>
        <w:t xml:space="preserve">VIAL, G. Understanding digital transformation: A review and a research agenda. </w:t>
      </w:r>
      <w:proofErr w:type="gramStart"/>
      <w:r w:rsidRPr="009D050D">
        <w:rPr>
          <w:rFonts w:ascii="Times New Roman" w:eastAsia="Times New Roman" w:hAnsi="Times New Roman" w:cs="Times New Roman"/>
          <w:sz w:val="24"/>
          <w:szCs w:val="24"/>
          <w:lang w:val="en-US"/>
        </w:rPr>
        <w:t>The Journal of Strategic Information Systems, v. 28, n. 2, p. 118-144, 2021.</w:t>
      </w:r>
      <w:proofErr w:type="gramEnd"/>
    </w:p>
    <w:p w14:paraId="266F112D" w14:textId="0CC20BEB" w:rsidR="00262E76" w:rsidRPr="009D050D" w:rsidRDefault="00262E76" w:rsidP="009D050D">
      <w:pPr>
        <w:pBdr>
          <w:top w:val="nil"/>
          <w:left w:val="nil"/>
          <w:bottom w:val="nil"/>
          <w:right w:val="nil"/>
          <w:between w:val="nil"/>
        </w:pBdr>
        <w:spacing w:before="240" w:after="240" w:line="240" w:lineRule="auto"/>
        <w:jc w:val="both"/>
        <w:rPr>
          <w:rFonts w:ascii="Times New Roman" w:eastAsia="Times New Roman" w:hAnsi="Times New Roman" w:cs="Times New Roman"/>
          <w:sz w:val="24"/>
          <w:szCs w:val="24"/>
        </w:rPr>
      </w:pPr>
      <w:proofErr w:type="gramStart"/>
      <w:r w:rsidRPr="009D050D">
        <w:rPr>
          <w:rFonts w:ascii="Times New Roman" w:eastAsia="Times New Roman" w:hAnsi="Times New Roman" w:cs="Times New Roman"/>
          <w:sz w:val="24"/>
          <w:szCs w:val="24"/>
          <w:lang w:val="en-US"/>
        </w:rPr>
        <w:t>WORLD ECONOMIC FORUM.</w:t>
      </w:r>
      <w:proofErr w:type="gramEnd"/>
      <w:r w:rsidRPr="009D050D">
        <w:rPr>
          <w:rFonts w:ascii="Times New Roman" w:eastAsia="Times New Roman" w:hAnsi="Times New Roman" w:cs="Times New Roman"/>
          <w:sz w:val="24"/>
          <w:szCs w:val="24"/>
          <w:lang w:val="en-US"/>
        </w:rPr>
        <w:t xml:space="preserve"> The future of jobs report 2023. </w:t>
      </w:r>
      <w:r w:rsidRPr="009D050D">
        <w:rPr>
          <w:rFonts w:ascii="Times New Roman" w:eastAsia="Times New Roman" w:hAnsi="Times New Roman" w:cs="Times New Roman"/>
          <w:sz w:val="24"/>
          <w:szCs w:val="24"/>
        </w:rPr>
        <w:t xml:space="preserve">Geneva: WEF, 2023. Disponível em: </w:t>
      </w:r>
      <w:proofErr w:type="gramStart"/>
      <w:r w:rsidRPr="009D050D">
        <w:rPr>
          <w:rFonts w:ascii="Times New Roman" w:eastAsia="Times New Roman" w:hAnsi="Times New Roman" w:cs="Times New Roman"/>
          <w:sz w:val="24"/>
          <w:szCs w:val="24"/>
        </w:rPr>
        <w:t>https</w:t>
      </w:r>
      <w:proofErr w:type="gramEnd"/>
      <w:r w:rsidRPr="009D050D">
        <w:rPr>
          <w:rFonts w:ascii="Times New Roman" w:eastAsia="Times New Roman" w:hAnsi="Times New Roman" w:cs="Times New Roman"/>
          <w:sz w:val="24"/>
          <w:szCs w:val="24"/>
        </w:rPr>
        <w:t>://www.weforum.org. Acesso em: 27 jul. 2025.</w:t>
      </w:r>
      <w:bookmarkStart w:id="0" w:name="_GoBack"/>
      <w:bookmarkEnd w:id="0"/>
    </w:p>
    <w:sectPr w:rsidR="00262E76" w:rsidRPr="009D050D" w:rsidSect="00B009E4">
      <w:headerReference w:type="default" r:id="rId17"/>
      <w:footerReference w:type="even" r:id="rId18"/>
      <w:footerReference w:type="default" r:id="rId19"/>
      <w:headerReference w:type="first" r:id="rId20"/>
      <w:footerReference w:type="first" r:id="rId21"/>
      <w:pgSz w:w="11909" w:h="16834"/>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EA3C0E" w14:textId="77777777" w:rsidR="00770C1B" w:rsidRDefault="00770C1B">
      <w:pPr>
        <w:spacing w:line="240" w:lineRule="auto"/>
      </w:pPr>
      <w:r>
        <w:separator/>
      </w:r>
    </w:p>
  </w:endnote>
  <w:endnote w:type="continuationSeparator" w:id="0">
    <w:p w14:paraId="6308691B" w14:textId="77777777" w:rsidR="00770C1B" w:rsidRDefault="00770C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CE97CC9F-C103-4A3D-962A-483900A83A80}"/>
  </w:font>
  <w:font w:name="Courier New">
    <w:panose1 w:val="02070309020205020404"/>
    <w:charset w:val="00"/>
    <w:family w:val="modern"/>
    <w:pitch w:val="fixed"/>
    <w:sig w:usb0="E0002AFF" w:usb1="C0007843" w:usb2="00000009" w:usb3="00000000" w:csb0="000001FF" w:csb1="00000000"/>
  </w:font>
  <w:font w:name="Noto Sans">
    <w:panose1 w:val="020B0502040504020204"/>
    <w:charset w:val="00"/>
    <w:family w:val="swiss"/>
    <w:pitch w:val="variable"/>
    <w:sig w:usb0="E00082FF" w:usb1="400078FF" w:usb2="08000029" w:usb3="00000000" w:csb0="0000019F" w:csb1="00000000"/>
  </w:font>
  <w:font w:name="Noto Sans Symbols">
    <w:charset w:val="00"/>
    <w:family w:val="auto"/>
    <w:pitch w:val="default"/>
    <w:embedRegular r:id="rId2" w:fontKey="{79F9A6B4-2628-47A6-91EC-D2C96494D62A}"/>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embedRegular r:id="rId3" w:fontKey="{28C43657-5A26-499F-BE68-350706D79352}"/>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B3741050-77E3-4DAF-85C5-665E5BB26BDC}"/>
  </w:font>
  <w:font w:name="Cambria">
    <w:panose1 w:val="02040503050406030204"/>
    <w:charset w:val="00"/>
    <w:family w:val="roman"/>
    <w:pitch w:val="variable"/>
    <w:sig w:usb0="E00002FF" w:usb1="400004FF" w:usb2="00000000" w:usb3="00000000" w:csb0="0000019F" w:csb1="00000000"/>
    <w:embedRegular r:id="rId5" w:fontKey="{C2F7835C-877F-45B5-A868-E2A509280D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FD289" w14:textId="0311FA1F" w:rsidR="00624C90" w:rsidRDefault="00624C90">
    <w:pPr>
      <w:pStyle w:val="Rodap"/>
    </w:pPr>
    <w:r>
      <w:rPr>
        <w:noProof/>
      </w:rPr>
      <mc:AlternateContent>
        <mc:Choice Requires="wps">
          <w:drawing>
            <wp:anchor distT="0" distB="0" distL="0" distR="0" simplePos="0" relativeHeight="251659264" behindDoc="0" locked="0" layoutInCell="1" allowOverlap="1" wp14:anchorId="63B5287D" wp14:editId="37E0B3F6">
              <wp:simplePos x="635" y="635"/>
              <wp:positionH relativeFrom="page">
                <wp:align>right</wp:align>
              </wp:positionH>
              <wp:positionV relativeFrom="page">
                <wp:align>bottom</wp:align>
              </wp:positionV>
              <wp:extent cx="1622425" cy="582930"/>
              <wp:effectExtent l="0" t="0" r="0" b="0"/>
              <wp:wrapNone/>
              <wp:docPr id="1994131742" name="Caixa de Texto 2" descr="RESTRICTED">
                <a:extLst xmlns:a="http://schemas.openxmlformats.org/drawingml/2006/main">
                  <a:ext uri="{5AE41FA2-C0FF-4470-9BD4-5FADCA87CBE2}">
                    <aclsh:classification xmlns:aclsh="http://schemas.microsoft.com/office/drawing/2020/classificationShap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ftr"/>
                  </a:ext>
                </a:extLst>
              </wp:docPr>
              <wp:cNvGraphicFramePr/>
              <a:graphic xmlns:a="http://schemas.openxmlformats.org/drawingml/2006/main">
                <a:graphicData uri="http://schemas.microsoft.com/office/word/2010/wordprocessingShape">
                  <wps:wsp>
                    <wps:cNvSpPr txBox="1"/>
                    <wps:spPr>
                      <a:xfrm>
                        <a:off x="0" y="0"/>
                        <a:ext cx="1622425" cy="582930"/>
                      </a:xfrm>
                      <a:prstGeom prst="rect">
                        <a:avLst/>
                      </a:prstGeom>
                      <a:noFill/>
                      <a:ln>
                        <a:noFill/>
                      </a:ln>
                    </wps:spPr>
                    <wps:txbx>
                      <w:txbxContent>
                        <w:p w14:paraId="0862CB82" w14:textId="5125FD5D" w:rsidR="00624C90" w:rsidRPr="00624C90" w:rsidRDefault="00624C90" w:rsidP="00624C90">
                          <w:pPr>
                            <w:rPr>
                              <w:rFonts w:ascii="Calibri" w:eastAsia="Calibri" w:hAnsi="Calibri" w:cs="Calibri"/>
                              <w:noProof/>
                              <w:color w:val="FF8939"/>
                              <w:sz w:val="44"/>
                              <w:szCs w:val="44"/>
                            </w:rPr>
                          </w:pPr>
                          <w:r w:rsidRPr="00624C90">
                            <w:rPr>
                              <w:rFonts w:ascii="Calibri" w:eastAsia="Calibri" w:hAnsi="Calibri" w:cs="Calibri"/>
                              <w:noProof/>
                              <w:color w:val="FF8939"/>
                              <w:sz w:val="44"/>
                              <w:szCs w:val="44"/>
                            </w:rPr>
                            <w:t>RESTRICTED</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aixa de Texto 2" o:spid="_x0000_s1026" type="#_x0000_t202" alt="Descrição: RESTRICTED" style="position:absolute;margin-left:76.55pt;margin-top:0;width:127.75pt;height:45.9pt;z-index:2516592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" filled="f" stroked="f">
              <v:textbox style="mso-fit-shape-to-text:t" inset="0,0,20pt,15pt">
                <w:txbxContent>
                  <w:p w14:paraId="0862CB82" w14:textId="5125FD5D" w:rsidR="00624C90" w:rsidRPr="00624C90" w:rsidRDefault="00624C90" w:rsidP="00624C90">
                    <w:pPr>
                      <w:rPr>
                        <w:rFonts w:ascii="Calibri" w:eastAsia="Calibri" w:hAnsi="Calibri" w:cs="Calibri"/>
                        <w:noProof/>
                        <w:color w:val="FF8939"/>
                        <w:sz w:val="44"/>
                        <w:szCs w:val="44"/>
                      </w:rPr>
                    </w:pPr>
                    <w:r w:rsidRPr="00624C90">
                      <w:rPr>
                        <w:rFonts w:ascii="Calibri" w:eastAsia="Calibri" w:hAnsi="Calibri" w:cs="Calibri"/>
                        <w:noProof/>
                        <w:color w:val="FF8939"/>
                        <w:sz w:val="44"/>
                        <w:szCs w:val="44"/>
                      </w:rPr>
                      <w:t>RESTRICTED</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1B0B7" w14:textId="234CD04E" w:rsidR="006F452E" w:rsidRPr="00B009E4"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1F497D" w:themeColor="text2"/>
      </w:rPr>
    </w:pPr>
    <w:r w:rsidRPr="00B009E4">
      <w:rPr>
        <w:rFonts w:ascii="Times New Roman" w:eastAsia="Times New Roman" w:hAnsi="Times New Roman" w:cs="Times New Roman"/>
        <w:color w:val="1F497D" w:themeColor="text2"/>
      </w:rPr>
      <w:t xml:space="preserve">SBGC – Sociedade Brasileira de Gestão do Conhecimento – </w:t>
    </w:r>
    <w:proofErr w:type="gramStart"/>
    <w:r w:rsidRPr="00B009E4">
      <w:rPr>
        <w:rFonts w:ascii="Times New Roman" w:eastAsia="Times New Roman" w:hAnsi="Times New Roman" w:cs="Times New Roman"/>
        <w:color w:val="1F497D" w:themeColor="text2"/>
      </w:rPr>
      <w:t>sbgc.org.</w:t>
    </w:r>
    <w:proofErr w:type="gramEnd"/>
    <w:r w:rsidRPr="00B009E4">
      <w:rPr>
        <w:rFonts w:ascii="Times New Roman" w:eastAsia="Times New Roman" w:hAnsi="Times New Roman" w:cs="Times New Roman"/>
        <w:color w:val="1F497D" w:themeColor="text2"/>
      </w:rPr>
      <w:t>br</w:t>
    </w:r>
  </w:p>
  <w:p w14:paraId="2E83D7AB" w14:textId="2D9C6197" w:rsidR="00D8471E"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000000"/>
      </w:rPr>
    </w:pPr>
    <w:r w:rsidRPr="00B009E4">
      <w:rPr>
        <w:rFonts w:ascii="Times New Roman" w:eastAsia="Times New Roman" w:hAnsi="Times New Roman" w:cs="Times New Roman"/>
        <w:color w:val="1F497D" w:themeColor="text2"/>
      </w:rPr>
      <w:t>KM Brasil 2025 - 20º Congresso Brasileiro de Gestão do Conhecimento – k</w:t>
    </w:r>
    <w:r w:rsidR="009D050D">
      <w:rPr>
        <w:rFonts w:ascii="Times New Roman" w:eastAsia="Times New Roman" w:hAnsi="Times New Roman" w:cs="Times New Roman"/>
        <w:color w:val="1F497D" w:themeColor="text2"/>
      </w:rPr>
      <w:t xml:space="preserve">mbrasil.org                    </w:t>
    </w:r>
    <w:r w:rsidRPr="00B009E4">
      <w:rPr>
        <w:rFonts w:ascii="Times New Roman" w:eastAsia="Times New Roman" w:hAnsi="Times New Roman" w:cs="Times New Roman"/>
        <w:color w:val="1F497D" w:themeColor="text2"/>
      </w:rPr>
      <w:fldChar w:fldCharType="begin"/>
    </w:r>
    <w:r w:rsidRPr="00B009E4">
      <w:rPr>
        <w:rFonts w:ascii="Times New Roman" w:eastAsia="Times New Roman" w:hAnsi="Times New Roman" w:cs="Times New Roman"/>
        <w:color w:val="1F497D" w:themeColor="text2"/>
      </w:rPr>
      <w:instrText>PAGE</w:instrText>
    </w:r>
    <w:r w:rsidRPr="00B009E4">
      <w:rPr>
        <w:rFonts w:ascii="Times New Roman" w:eastAsia="Times New Roman" w:hAnsi="Times New Roman" w:cs="Times New Roman"/>
        <w:color w:val="1F497D" w:themeColor="text2"/>
      </w:rPr>
      <w:fldChar w:fldCharType="separate"/>
    </w:r>
    <w:r w:rsidR="00675B4E">
      <w:rPr>
        <w:rFonts w:ascii="Times New Roman" w:eastAsia="Times New Roman" w:hAnsi="Times New Roman" w:cs="Times New Roman"/>
        <w:noProof/>
        <w:color w:val="1F497D" w:themeColor="text2"/>
      </w:rPr>
      <w:t>13</w:t>
    </w:r>
    <w:r w:rsidRPr="00B009E4">
      <w:rPr>
        <w:rFonts w:ascii="Times New Roman" w:eastAsia="Times New Roman" w:hAnsi="Times New Roman" w:cs="Times New Roman"/>
        <w:color w:val="1F497D" w:themeColor="text2"/>
      </w:rPr>
      <w:fldChar w:fldCharType="end"/>
    </w:r>
  </w:p>
  <w:p w14:paraId="12F598DC" w14:textId="77777777" w:rsidR="00D8471E" w:rsidRDefault="00D8471E">
    <w:pPr>
      <w:pBdr>
        <w:top w:val="nil"/>
        <w:left w:val="nil"/>
        <w:bottom w:val="nil"/>
        <w:right w:val="nil"/>
        <w:between w:val="nil"/>
      </w:pBdr>
      <w:tabs>
        <w:tab w:val="center" w:pos="4252"/>
        <w:tab w:val="right" w:pos="8504"/>
      </w:tabs>
      <w:spacing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F8D78" w14:textId="0E7A39F8" w:rsidR="00624C90" w:rsidRDefault="00624C90">
    <w:pPr>
      <w:pStyle w:val="Rodap"/>
    </w:pPr>
    <w:r>
      <w:rPr>
        <w:noProof/>
      </w:rPr>
      <mc:AlternateContent>
        <mc:Choice Requires="wps">
          <w:drawing>
            <wp:anchor distT="0" distB="0" distL="0" distR="0" simplePos="0" relativeHeight="251658240" behindDoc="0" locked="0" layoutInCell="1" allowOverlap="1" wp14:anchorId="020E95F2" wp14:editId="35A5DD0A">
              <wp:simplePos x="635" y="635"/>
              <wp:positionH relativeFrom="page">
                <wp:align>right</wp:align>
              </wp:positionH>
              <wp:positionV relativeFrom="page">
                <wp:align>bottom</wp:align>
              </wp:positionV>
              <wp:extent cx="1622425" cy="582930"/>
              <wp:effectExtent l="0" t="0" r="0" b="0"/>
              <wp:wrapNone/>
              <wp:docPr id="1041227385" name="Caixa de Texto 1" descr="RESTRICTED">
                <a:extLst xmlns:a="http://schemas.openxmlformats.org/drawingml/2006/main">
                  <a:ext uri="{5AE41FA2-C0FF-4470-9BD4-5FADCA87CBE2}">
                    <aclsh:classification xmlns:aclsh="http://schemas.microsoft.com/office/drawing/2020/classificationShap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ftr"/>
                  </a:ext>
                </a:extLst>
              </wp:docPr>
              <wp:cNvGraphicFramePr/>
              <a:graphic xmlns:a="http://schemas.openxmlformats.org/drawingml/2006/main">
                <a:graphicData uri="http://schemas.microsoft.com/office/word/2010/wordprocessingShape">
                  <wps:wsp>
                    <wps:cNvSpPr txBox="1"/>
                    <wps:spPr>
                      <a:xfrm>
                        <a:off x="0" y="0"/>
                        <a:ext cx="1622425" cy="582930"/>
                      </a:xfrm>
                      <a:prstGeom prst="rect">
                        <a:avLst/>
                      </a:prstGeom>
                      <a:noFill/>
                      <a:ln>
                        <a:noFill/>
                      </a:ln>
                    </wps:spPr>
                    <wps:txbx>
                      <w:txbxContent>
                        <w:p w14:paraId="7DB85891" w14:textId="242AADC9" w:rsidR="00624C90" w:rsidRPr="00624C90" w:rsidRDefault="00624C90" w:rsidP="00624C90">
                          <w:pPr>
                            <w:rPr>
                              <w:rFonts w:ascii="Calibri" w:eastAsia="Calibri" w:hAnsi="Calibri" w:cs="Calibri"/>
                              <w:noProof/>
                              <w:color w:val="FF8939"/>
                              <w:sz w:val="44"/>
                              <w:szCs w:val="44"/>
                            </w:rPr>
                          </w:pPr>
                          <w:r w:rsidRPr="00624C90">
                            <w:rPr>
                              <w:rFonts w:ascii="Calibri" w:eastAsia="Calibri" w:hAnsi="Calibri" w:cs="Calibri"/>
                              <w:noProof/>
                              <w:color w:val="FF8939"/>
                              <w:sz w:val="44"/>
                              <w:szCs w:val="44"/>
                            </w:rPr>
                            <w:t>RESTRICTED</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aixa de Texto 1" o:spid="_x0000_s1027" type="#_x0000_t202" alt="Descrição: RESTRICTED" style="position:absolute;margin-left:76.55pt;margin-top:0;width:127.75pt;height:45.9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" filled="f" stroked="f">
              <v:textbox style="mso-fit-shape-to-text:t" inset="0,0,20pt,15pt">
                <w:txbxContent>
                  <w:p w14:paraId="7DB85891" w14:textId="242AADC9" w:rsidR="00624C90" w:rsidRPr="00624C90" w:rsidRDefault="00624C90" w:rsidP="00624C90">
                    <w:pPr>
                      <w:rPr>
                        <w:rFonts w:ascii="Calibri" w:eastAsia="Calibri" w:hAnsi="Calibri" w:cs="Calibri"/>
                        <w:noProof/>
                        <w:color w:val="FF8939"/>
                        <w:sz w:val="44"/>
                        <w:szCs w:val="44"/>
                      </w:rPr>
                    </w:pPr>
                    <w:r w:rsidRPr="00624C90">
                      <w:rPr>
                        <w:rFonts w:ascii="Calibri" w:eastAsia="Calibri" w:hAnsi="Calibri" w:cs="Calibri"/>
                        <w:noProof/>
                        <w:color w:val="FF8939"/>
                        <w:sz w:val="44"/>
                        <w:szCs w:val="44"/>
                      </w:rPr>
                      <w:t>RESTRICTED</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8C0C6D" w14:textId="77777777" w:rsidR="00770C1B" w:rsidRDefault="00770C1B">
      <w:pPr>
        <w:spacing w:line="240" w:lineRule="auto"/>
      </w:pPr>
      <w:r>
        <w:separator/>
      </w:r>
    </w:p>
  </w:footnote>
  <w:footnote w:type="continuationSeparator" w:id="0">
    <w:p w14:paraId="0B246924" w14:textId="77777777" w:rsidR="00770C1B" w:rsidRDefault="00770C1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AE08E" w14:textId="3DCA1956" w:rsidR="00D8471E" w:rsidRDefault="00136729" w:rsidP="00136729">
    <w:pPr>
      <w:pBdr>
        <w:top w:val="nil"/>
        <w:left w:val="nil"/>
        <w:bottom w:val="nil"/>
        <w:right w:val="nil"/>
        <w:between w:val="nil"/>
      </w:pBdr>
      <w:tabs>
        <w:tab w:val="center" w:pos="4252"/>
        <w:tab w:val="right" w:pos="8504"/>
      </w:tabs>
      <w:spacing w:line="240" w:lineRule="auto"/>
      <w:jc w:val="both"/>
      <w:rPr>
        <w:color w:val="000000"/>
      </w:rPr>
    </w:pPr>
    <w:r>
      <w:rPr>
        <w:noProof/>
      </w:rPr>
      <w:drawing>
        <wp:inline distT="0" distB="0" distL="0" distR="0" wp14:anchorId="66525D89" wp14:editId="00DB3627">
          <wp:extent cx="1126957" cy="360000"/>
          <wp:effectExtent l="0" t="0" r="0" b="2540"/>
          <wp:docPr id="203747436"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94546" name="Imagem 1"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rPr>
        <w:color w:val="000000"/>
      </w:rPr>
      <w:t xml:space="preserve">                                                             </w:t>
    </w:r>
    <w:r w:rsidR="009D050D">
      <w:rPr>
        <w:color w:val="000000"/>
      </w:rPr>
      <w:t xml:space="preserve">                           </w:t>
    </w:r>
    <w:r>
      <w:rPr>
        <w:noProof/>
      </w:rPr>
      <w:drawing>
        <wp:inline distT="0" distB="0" distL="0" distR="0" wp14:anchorId="1784989F" wp14:editId="54DFB772">
          <wp:extent cx="1191818" cy="360000"/>
          <wp:effectExtent l="0" t="0" r="0" b="2540"/>
          <wp:docPr id="36435748" name="Imagem 2"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99476" name="Imagem 2" descr="Logotipo&#10;&#10;O conteúdo gerado por IA pode estar incorre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CCC41" w14:textId="488E232C" w:rsidR="00136729" w:rsidRDefault="00136729">
    <w:pPr>
      <w:pStyle w:val="Cabealho"/>
    </w:pPr>
    <w:r>
      <w:rPr>
        <w:noProof/>
      </w:rPr>
      <w:drawing>
        <wp:inline distT="0" distB="0" distL="0" distR="0" wp14:anchorId="70ED366B" wp14:editId="78F09767">
          <wp:extent cx="1126957" cy="360000"/>
          <wp:effectExtent l="0" t="0" r="0" b="2540"/>
          <wp:docPr id="12707945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t xml:space="preserve">                                                                                        </w:t>
    </w:r>
    <w:r>
      <w:rPr>
        <w:noProof/>
      </w:rPr>
      <w:drawing>
        <wp:inline distT="0" distB="0" distL="0" distR="0" wp14:anchorId="6A79E5C0" wp14:editId="180DC618">
          <wp:extent cx="1191818" cy="360000"/>
          <wp:effectExtent l="0" t="0" r="0" b="2540"/>
          <wp:docPr id="143359947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p w14:paraId="5F77A256" w14:textId="3EDE407D" w:rsidR="00D8471E" w:rsidRDefault="00D8471E">
    <w:pPr>
      <w:pBdr>
        <w:top w:val="nil"/>
        <w:left w:val="nil"/>
        <w:bottom w:val="nil"/>
        <w:right w:val="nil"/>
        <w:between w:val="nil"/>
      </w:pBdr>
      <w:tabs>
        <w:tab w:val="center" w:pos="4252"/>
        <w:tab w:val="right" w:pos="8504"/>
      </w:tabs>
      <w:spacing w:line="240" w:lineRule="auto"/>
      <w:jc w:val="right"/>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B0227"/>
    <w:multiLevelType w:val="multilevel"/>
    <w:tmpl w:val="3FBA25D6"/>
    <w:lvl w:ilvl="0">
      <w:start w:val="1"/>
      <w:numFmt w:val="decimal"/>
      <w:lvlText w:val="%1."/>
      <w:lvlJc w:val="lef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1">
    <w:nsid w:val="4DD65773"/>
    <w:multiLevelType w:val="multilevel"/>
    <w:tmpl w:val="432AF41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nsid w:val="5DF83DDD"/>
    <w:multiLevelType w:val="multilevel"/>
    <w:tmpl w:val="CFE63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71E"/>
    <w:rsid w:val="00067EBE"/>
    <w:rsid w:val="00136729"/>
    <w:rsid w:val="00152DDB"/>
    <w:rsid w:val="001C3D0B"/>
    <w:rsid w:val="001F3F64"/>
    <w:rsid w:val="00254A6D"/>
    <w:rsid w:val="00262E76"/>
    <w:rsid w:val="002D2840"/>
    <w:rsid w:val="0031678B"/>
    <w:rsid w:val="003D21B8"/>
    <w:rsid w:val="003D52D2"/>
    <w:rsid w:val="0040288B"/>
    <w:rsid w:val="00421B29"/>
    <w:rsid w:val="00426FBB"/>
    <w:rsid w:val="004E641A"/>
    <w:rsid w:val="00512D7C"/>
    <w:rsid w:val="00536211"/>
    <w:rsid w:val="005503B5"/>
    <w:rsid w:val="00624C90"/>
    <w:rsid w:val="00675B4E"/>
    <w:rsid w:val="006A4F8D"/>
    <w:rsid w:val="006F452E"/>
    <w:rsid w:val="00770C1B"/>
    <w:rsid w:val="007A413F"/>
    <w:rsid w:val="0092081D"/>
    <w:rsid w:val="009B5151"/>
    <w:rsid w:val="009D050D"/>
    <w:rsid w:val="00A04CEC"/>
    <w:rsid w:val="00AD55D8"/>
    <w:rsid w:val="00B009E4"/>
    <w:rsid w:val="00B72C81"/>
    <w:rsid w:val="00D1413B"/>
    <w:rsid w:val="00D8471E"/>
    <w:rsid w:val="00DD1E49"/>
    <w:rsid w:val="00E3411C"/>
    <w:rsid w:val="00E907C1"/>
    <w:rsid w:val="00EB19C7"/>
    <w:rsid w:val="00F1130F"/>
    <w:rsid w:val="00F27B33"/>
    <w:rsid w:val="00F4772E"/>
    <w:rsid w:val="00F7226E"/>
    <w:rsid w:val="00F76658"/>
    <w:rsid w:val="00FB0745"/>
    <w:rsid w:val="00FC4A6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3E5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C90"/>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6"/>
    <w:tblPr>
      <w:tblStyleRowBandSize w:val="1"/>
      <w:tblStyleColBandSize w:val="1"/>
      <w:tblCellMar>
        <w:top w:w="100" w:type="dxa"/>
        <w:left w:w="100" w:type="dxa"/>
        <w:bottom w:w="100" w:type="dxa"/>
        <w:right w:w="100" w:type="dxa"/>
      </w:tblCellMar>
    </w:tblPr>
  </w:style>
  <w:style w:type="table" w:customStyle="1" w:styleId="a0">
    <w:basedOn w:val="TableNormal6"/>
    <w:tblPr>
      <w:tblStyleRowBandSize w:val="1"/>
      <w:tblStyleColBandSize w:val="1"/>
      <w:tblCellMar>
        <w:top w:w="0" w:type="dxa"/>
        <w:left w:w="108" w:type="dxa"/>
        <w:bottom w:w="0" w:type="dxa"/>
        <w:right w:w="108" w:type="dxa"/>
      </w:tblCellMar>
    </w:tblPr>
  </w:style>
  <w:style w:type="table" w:customStyle="1" w:styleId="a1">
    <w:basedOn w:val="TableNormal6"/>
    <w:tblPr>
      <w:tblStyleRowBandSize w:val="1"/>
      <w:tblStyleColBandSize w:val="1"/>
      <w:tblCellMar>
        <w:top w:w="0" w:type="dxa"/>
        <w:left w:w="108" w:type="dxa"/>
        <w:bottom w:w="0" w:type="dxa"/>
        <w:right w:w="108" w:type="dxa"/>
      </w:tblCellMar>
    </w:tblPr>
  </w:style>
  <w:style w:type="table" w:customStyle="1" w:styleId="a2">
    <w:basedOn w:val="TableNormal6"/>
    <w:tblPr>
      <w:tblStyleRowBandSize w:val="1"/>
      <w:tblStyleColBandSize w:val="1"/>
      <w:tblCellMar>
        <w:top w:w="0" w:type="dxa"/>
        <w:left w:w="108" w:type="dxa"/>
        <w:bottom w:w="0" w:type="dxa"/>
        <w:right w:w="108" w:type="dxa"/>
      </w:tblCellMar>
    </w:tblPr>
  </w:style>
  <w:style w:type="table" w:customStyle="1" w:styleId="a3">
    <w:basedOn w:val="TableNormal6"/>
    <w:tblPr>
      <w:tblStyleRowBandSize w:val="1"/>
      <w:tblStyleColBandSize w:val="1"/>
      <w:tblCellMar>
        <w:top w:w="0" w:type="dxa"/>
        <w:left w:w="108" w:type="dxa"/>
        <w:bottom w:w="0" w:type="dxa"/>
        <w:right w:w="108" w:type="dxa"/>
      </w:tblCellMar>
    </w:tblPr>
  </w:style>
  <w:style w:type="table" w:customStyle="1" w:styleId="a4">
    <w:basedOn w:val="TableNormal6"/>
    <w:tblPr>
      <w:tblStyleRowBandSize w:val="1"/>
      <w:tblStyleColBandSize w:val="1"/>
      <w:tblCellMar>
        <w:top w:w="0" w:type="dxa"/>
        <w:left w:w="108" w:type="dxa"/>
        <w:bottom w:w="0" w:type="dxa"/>
        <w:right w:w="108" w:type="dxa"/>
      </w:tblCellMar>
    </w:tblPr>
  </w:style>
  <w:style w:type="paragraph" w:styleId="NormalWeb">
    <w:name w:val="Normal (Web)"/>
    <w:basedOn w:val="Normal"/>
    <w:uiPriority w:val="99"/>
    <w:semiHidden/>
    <w:unhideWhenUsed/>
    <w:rsid w:val="008708A4"/>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708A4"/>
    <w:pPr>
      <w:tabs>
        <w:tab w:val="center" w:pos="4252"/>
        <w:tab w:val="right" w:pos="8504"/>
      </w:tabs>
      <w:spacing w:line="240" w:lineRule="auto"/>
    </w:pPr>
  </w:style>
  <w:style w:type="character" w:customStyle="1" w:styleId="CabealhoChar">
    <w:name w:val="Cabeçalho Char"/>
    <w:basedOn w:val="Fontepargpadro"/>
    <w:link w:val="Cabealho"/>
    <w:uiPriority w:val="99"/>
    <w:rsid w:val="008708A4"/>
  </w:style>
  <w:style w:type="paragraph" w:styleId="Rodap">
    <w:name w:val="footer"/>
    <w:basedOn w:val="Normal"/>
    <w:link w:val="RodapChar"/>
    <w:uiPriority w:val="99"/>
    <w:unhideWhenUsed/>
    <w:rsid w:val="008708A4"/>
    <w:pPr>
      <w:tabs>
        <w:tab w:val="center" w:pos="4252"/>
        <w:tab w:val="right" w:pos="8504"/>
      </w:tabs>
      <w:spacing w:line="240" w:lineRule="auto"/>
    </w:pPr>
  </w:style>
  <w:style w:type="character" w:customStyle="1" w:styleId="RodapChar">
    <w:name w:val="Rodapé Char"/>
    <w:basedOn w:val="Fontepargpadro"/>
    <w:link w:val="Rodap"/>
    <w:uiPriority w:val="99"/>
    <w:rsid w:val="008708A4"/>
  </w:style>
  <w:style w:type="paragraph" w:customStyle="1" w:styleId="Corpo">
    <w:name w:val="Corpo"/>
    <w:rsid w:val="008708A4"/>
    <w:pPr>
      <w:pBdr>
        <w:top w:val="nil"/>
        <w:left w:val="nil"/>
        <w:bottom w:val="nil"/>
        <w:right w:val="nil"/>
        <w:between w:val="nil"/>
        <w:bar w:val="nil"/>
      </w:pBdr>
      <w:spacing w:line="240" w:lineRule="auto"/>
    </w:pPr>
    <w:rPr>
      <w:rFonts w:ascii="Helvetica" w:eastAsia="Arial Unicode MS" w:hAnsi="Helvetica" w:cs="Arial Unicode MS"/>
      <w:color w:val="000000"/>
      <w:bdr w:val="nil"/>
    </w:rPr>
  </w:style>
  <w:style w:type="character" w:styleId="nfase">
    <w:name w:val="Emphasis"/>
    <w:basedOn w:val="Fontepargpadro"/>
    <w:uiPriority w:val="20"/>
    <w:qFormat/>
    <w:rsid w:val="009210C0"/>
    <w:rPr>
      <w:i/>
      <w:iCs/>
    </w:rPr>
  </w:style>
  <w:style w:type="paragraph" w:styleId="PargrafodaLista">
    <w:name w:val="List Paragraph"/>
    <w:basedOn w:val="Normal"/>
    <w:uiPriority w:val="34"/>
    <w:qFormat/>
    <w:rsid w:val="006A4EDB"/>
    <w:pPr>
      <w:ind w:left="720"/>
      <w:contextualSpacing/>
    </w:pPr>
  </w:style>
  <w:style w:type="table" w:customStyle="1" w:styleId="a5">
    <w:basedOn w:val="TableNormal4"/>
    <w:tblPr>
      <w:tblStyleRowBandSize w:val="1"/>
      <w:tblStyleColBandSize w:val="1"/>
      <w:tblCellMar>
        <w:top w:w="0" w:type="dxa"/>
        <w:left w:w="108" w:type="dxa"/>
        <w:bottom w:w="0" w:type="dxa"/>
        <w:right w:w="108" w:type="dxa"/>
      </w:tblCellMar>
    </w:tblPr>
  </w:style>
  <w:style w:type="table" w:customStyle="1" w:styleId="a6">
    <w:basedOn w:val="TableNormal4"/>
    <w:tblPr>
      <w:tblStyleRowBandSize w:val="1"/>
      <w:tblStyleColBandSize w:val="1"/>
      <w:tblCellMar>
        <w:top w:w="0" w:type="dxa"/>
        <w:left w:w="108" w:type="dxa"/>
        <w:bottom w:w="0" w:type="dxa"/>
        <w:right w:w="108" w:type="dxa"/>
      </w:tblCellMar>
    </w:tblPr>
  </w:style>
  <w:style w:type="character" w:customStyle="1" w:styleId="apple-tab-span">
    <w:name w:val="apple-tab-span"/>
    <w:basedOn w:val="Fontepargpadro"/>
    <w:rsid w:val="00A726EA"/>
  </w:style>
  <w:style w:type="character" w:styleId="Hyperlink">
    <w:name w:val="Hyperlink"/>
    <w:uiPriority w:val="99"/>
    <w:unhideWhenUsed/>
    <w:rsid w:val="00C5226B"/>
    <w:rPr>
      <w:color w:val="0000FF"/>
      <w:u w:val="single"/>
    </w:rPr>
  </w:style>
  <w:style w:type="table" w:customStyle="1" w:styleId="a7">
    <w:basedOn w:val="TableNormal2"/>
    <w:tblPr>
      <w:tblStyleRowBandSize w:val="1"/>
      <w:tblStyleColBandSize w:val="1"/>
      <w:tblCellMar>
        <w:top w:w="0" w:type="dxa"/>
        <w:left w:w="108" w:type="dxa"/>
        <w:bottom w:w="0" w:type="dxa"/>
        <w:right w:w="108"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 w:type="character" w:customStyle="1" w:styleId="UnresolvedMention">
    <w:name w:val="Unresolved Mention"/>
    <w:basedOn w:val="Fontepargpadro"/>
    <w:uiPriority w:val="99"/>
    <w:semiHidden/>
    <w:unhideWhenUsed/>
    <w:rsid w:val="00254A6D"/>
    <w:rPr>
      <w:color w:val="605E5C"/>
      <w:shd w:val="clear" w:color="auto" w:fill="E1DFDD"/>
    </w:rPr>
  </w:style>
  <w:style w:type="table" w:styleId="Tabelacomgrade">
    <w:name w:val="Table Grid"/>
    <w:basedOn w:val="Tabelanormal"/>
    <w:uiPriority w:val="39"/>
    <w:rsid w:val="00067EB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9D050D"/>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D05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C90"/>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6"/>
    <w:tblPr>
      <w:tblStyleRowBandSize w:val="1"/>
      <w:tblStyleColBandSize w:val="1"/>
      <w:tblCellMar>
        <w:top w:w="100" w:type="dxa"/>
        <w:left w:w="100" w:type="dxa"/>
        <w:bottom w:w="100" w:type="dxa"/>
        <w:right w:w="100" w:type="dxa"/>
      </w:tblCellMar>
    </w:tblPr>
  </w:style>
  <w:style w:type="table" w:customStyle="1" w:styleId="a0">
    <w:basedOn w:val="TableNormal6"/>
    <w:tblPr>
      <w:tblStyleRowBandSize w:val="1"/>
      <w:tblStyleColBandSize w:val="1"/>
      <w:tblCellMar>
        <w:top w:w="0" w:type="dxa"/>
        <w:left w:w="108" w:type="dxa"/>
        <w:bottom w:w="0" w:type="dxa"/>
        <w:right w:w="108" w:type="dxa"/>
      </w:tblCellMar>
    </w:tblPr>
  </w:style>
  <w:style w:type="table" w:customStyle="1" w:styleId="a1">
    <w:basedOn w:val="TableNormal6"/>
    <w:tblPr>
      <w:tblStyleRowBandSize w:val="1"/>
      <w:tblStyleColBandSize w:val="1"/>
      <w:tblCellMar>
        <w:top w:w="0" w:type="dxa"/>
        <w:left w:w="108" w:type="dxa"/>
        <w:bottom w:w="0" w:type="dxa"/>
        <w:right w:w="108" w:type="dxa"/>
      </w:tblCellMar>
    </w:tblPr>
  </w:style>
  <w:style w:type="table" w:customStyle="1" w:styleId="a2">
    <w:basedOn w:val="TableNormal6"/>
    <w:tblPr>
      <w:tblStyleRowBandSize w:val="1"/>
      <w:tblStyleColBandSize w:val="1"/>
      <w:tblCellMar>
        <w:top w:w="0" w:type="dxa"/>
        <w:left w:w="108" w:type="dxa"/>
        <w:bottom w:w="0" w:type="dxa"/>
        <w:right w:w="108" w:type="dxa"/>
      </w:tblCellMar>
    </w:tblPr>
  </w:style>
  <w:style w:type="table" w:customStyle="1" w:styleId="a3">
    <w:basedOn w:val="TableNormal6"/>
    <w:tblPr>
      <w:tblStyleRowBandSize w:val="1"/>
      <w:tblStyleColBandSize w:val="1"/>
      <w:tblCellMar>
        <w:top w:w="0" w:type="dxa"/>
        <w:left w:w="108" w:type="dxa"/>
        <w:bottom w:w="0" w:type="dxa"/>
        <w:right w:w="108" w:type="dxa"/>
      </w:tblCellMar>
    </w:tblPr>
  </w:style>
  <w:style w:type="table" w:customStyle="1" w:styleId="a4">
    <w:basedOn w:val="TableNormal6"/>
    <w:tblPr>
      <w:tblStyleRowBandSize w:val="1"/>
      <w:tblStyleColBandSize w:val="1"/>
      <w:tblCellMar>
        <w:top w:w="0" w:type="dxa"/>
        <w:left w:w="108" w:type="dxa"/>
        <w:bottom w:w="0" w:type="dxa"/>
        <w:right w:w="108" w:type="dxa"/>
      </w:tblCellMar>
    </w:tblPr>
  </w:style>
  <w:style w:type="paragraph" w:styleId="NormalWeb">
    <w:name w:val="Normal (Web)"/>
    <w:basedOn w:val="Normal"/>
    <w:uiPriority w:val="99"/>
    <w:semiHidden/>
    <w:unhideWhenUsed/>
    <w:rsid w:val="008708A4"/>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708A4"/>
    <w:pPr>
      <w:tabs>
        <w:tab w:val="center" w:pos="4252"/>
        <w:tab w:val="right" w:pos="8504"/>
      </w:tabs>
      <w:spacing w:line="240" w:lineRule="auto"/>
    </w:pPr>
  </w:style>
  <w:style w:type="character" w:customStyle="1" w:styleId="CabealhoChar">
    <w:name w:val="Cabeçalho Char"/>
    <w:basedOn w:val="Fontepargpadro"/>
    <w:link w:val="Cabealho"/>
    <w:uiPriority w:val="99"/>
    <w:rsid w:val="008708A4"/>
  </w:style>
  <w:style w:type="paragraph" w:styleId="Rodap">
    <w:name w:val="footer"/>
    <w:basedOn w:val="Normal"/>
    <w:link w:val="RodapChar"/>
    <w:uiPriority w:val="99"/>
    <w:unhideWhenUsed/>
    <w:rsid w:val="008708A4"/>
    <w:pPr>
      <w:tabs>
        <w:tab w:val="center" w:pos="4252"/>
        <w:tab w:val="right" w:pos="8504"/>
      </w:tabs>
      <w:spacing w:line="240" w:lineRule="auto"/>
    </w:pPr>
  </w:style>
  <w:style w:type="character" w:customStyle="1" w:styleId="RodapChar">
    <w:name w:val="Rodapé Char"/>
    <w:basedOn w:val="Fontepargpadro"/>
    <w:link w:val="Rodap"/>
    <w:uiPriority w:val="99"/>
    <w:rsid w:val="008708A4"/>
  </w:style>
  <w:style w:type="paragraph" w:customStyle="1" w:styleId="Corpo">
    <w:name w:val="Corpo"/>
    <w:rsid w:val="008708A4"/>
    <w:pPr>
      <w:pBdr>
        <w:top w:val="nil"/>
        <w:left w:val="nil"/>
        <w:bottom w:val="nil"/>
        <w:right w:val="nil"/>
        <w:between w:val="nil"/>
        <w:bar w:val="nil"/>
      </w:pBdr>
      <w:spacing w:line="240" w:lineRule="auto"/>
    </w:pPr>
    <w:rPr>
      <w:rFonts w:ascii="Helvetica" w:eastAsia="Arial Unicode MS" w:hAnsi="Helvetica" w:cs="Arial Unicode MS"/>
      <w:color w:val="000000"/>
      <w:bdr w:val="nil"/>
    </w:rPr>
  </w:style>
  <w:style w:type="character" w:styleId="nfase">
    <w:name w:val="Emphasis"/>
    <w:basedOn w:val="Fontepargpadro"/>
    <w:uiPriority w:val="20"/>
    <w:qFormat/>
    <w:rsid w:val="009210C0"/>
    <w:rPr>
      <w:i/>
      <w:iCs/>
    </w:rPr>
  </w:style>
  <w:style w:type="paragraph" w:styleId="PargrafodaLista">
    <w:name w:val="List Paragraph"/>
    <w:basedOn w:val="Normal"/>
    <w:uiPriority w:val="34"/>
    <w:qFormat/>
    <w:rsid w:val="006A4EDB"/>
    <w:pPr>
      <w:ind w:left="720"/>
      <w:contextualSpacing/>
    </w:pPr>
  </w:style>
  <w:style w:type="table" w:customStyle="1" w:styleId="a5">
    <w:basedOn w:val="TableNormal4"/>
    <w:tblPr>
      <w:tblStyleRowBandSize w:val="1"/>
      <w:tblStyleColBandSize w:val="1"/>
      <w:tblCellMar>
        <w:top w:w="0" w:type="dxa"/>
        <w:left w:w="108" w:type="dxa"/>
        <w:bottom w:w="0" w:type="dxa"/>
        <w:right w:w="108" w:type="dxa"/>
      </w:tblCellMar>
    </w:tblPr>
  </w:style>
  <w:style w:type="table" w:customStyle="1" w:styleId="a6">
    <w:basedOn w:val="TableNormal4"/>
    <w:tblPr>
      <w:tblStyleRowBandSize w:val="1"/>
      <w:tblStyleColBandSize w:val="1"/>
      <w:tblCellMar>
        <w:top w:w="0" w:type="dxa"/>
        <w:left w:w="108" w:type="dxa"/>
        <w:bottom w:w="0" w:type="dxa"/>
        <w:right w:w="108" w:type="dxa"/>
      </w:tblCellMar>
    </w:tblPr>
  </w:style>
  <w:style w:type="character" w:customStyle="1" w:styleId="apple-tab-span">
    <w:name w:val="apple-tab-span"/>
    <w:basedOn w:val="Fontepargpadro"/>
    <w:rsid w:val="00A726EA"/>
  </w:style>
  <w:style w:type="character" w:styleId="Hyperlink">
    <w:name w:val="Hyperlink"/>
    <w:uiPriority w:val="99"/>
    <w:unhideWhenUsed/>
    <w:rsid w:val="00C5226B"/>
    <w:rPr>
      <w:color w:val="0000FF"/>
      <w:u w:val="single"/>
    </w:rPr>
  </w:style>
  <w:style w:type="table" w:customStyle="1" w:styleId="a7">
    <w:basedOn w:val="TableNormal2"/>
    <w:tblPr>
      <w:tblStyleRowBandSize w:val="1"/>
      <w:tblStyleColBandSize w:val="1"/>
      <w:tblCellMar>
        <w:top w:w="0" w:type="dxa"/>
        <w:left w:w="108" w:type="dxa"/>
        <w:bottom w:w="0" w:type="dxa"/>
        <w:right w:w="108"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 w:type="character" w:customStyle="1" w:styleId="UnresolvedMention">
    <w:name w:val="Unresolved Mention"/>
    <w:basedOn w:val="Fontepargpadro"/>
    <w:uiPriority w:val="99"/>
    <w:semiHidden/>
    <w:unhideWhenUsed/>
    <w:rsid w:val="00254A6D"/>
    <w:rPr>
      <w:color w:val="605E5C"/>
      <w:shd w:val="clear" w:color="auto" w:fill="E1DFDD"/>
    </w:rPr>
  </w:style>
  <w:style w:type="table" w:styleId="Tabelacomgrade">
    <w:name w:val="Table Grid"/>
    <w:basedOn w:val="Tabelanormal"/>
    <w:uiPriority w:val="39"/>
    <w:rsid w:val="00067EB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9D050D"/>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D05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oi.org/10.1007/s12126-017-9336-0"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yperlink" Target="mailto:silvia.zilber@ufabc.edu.br" TargetMode="External"/><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mailto:pinheiro.felipesousa@gmail.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M3Pl6tH8ume8n61uR96lHE9w==">CgMxLjA4AHIhMWJNOUR0VWhSdGhrV01xNndrdnVkTXo4NmJWMHFkSHdL</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D3F9B4A49517F4FBDBFFD93467CC4E4" ma:contentTypeVersion="16" ma:contentTypeDescription="Create a new document." ma:contentTypeScope="" ma:versionID="2943f129896f1e497a0baefaf8c2e557">
  <xsd:schema xmlns:xsd="http://www.w3.org/2001/XMLSchema" xmlns:xs="http://www.w3.org/2001/XMLSchema" xmlns:p="http://schemas.microsoft.com/office/2006/metadata/properties" xmlns:ns1="http://schemas.microsoft.com/sharepoint/v3" xmlns:ns2="1a4d292e-883c-434b-96e3-060cfff16c86" xmlns:ns3="07de4abc-1eb4-49f2-a9c4-6e2c5ccd2995" xmlns:ns4="cc207f9e-838e-4b81-8817-02c0a5ca35a4" targetNamespace="http://schemas.microsoft.com/office/2006/metadata/properties" ma:root="true" ma:fieldsID="63d88ac577b25c6aad81dfd26c6ff88a" ns1:_="" ns2:_="" ns3:_="" ns4:_="">
    <xsd:import namespace="http://schemas.microsoft.com/sharepoint/v3"/>
    <xsd:import namespace="1a4d292e-883c-434b-96e3-060cfff16c86"/>
    <xsd:import namespace="07de4abc-1eb4-49f2-a9c4-6e2c5ccd2995"/>
    <xsd:import namespace="cc207f9e-838e-4b81-8817-02c0a5ca35a4"/>
    <xsd:element name="properties">
      <xsd:complexType>
        <xsd:sequence>
          <xsd:element name="documentManagement">
            <xsd:complexType>
              <xsd:all>
                <xsd:element ref="ns2:TaxCatchAll" minOccurs="0"/>
                <xsd:element ref="ns2:TaxCatchAllLabel" minOccurs="0"/>
                <xsd:element ref="ns1:_dlc_Exempt" minOccurs="0"/>
                <xsd:element ref="ns1:_dlc_ExpireDateSaved" minOccurs="0"/>
                <xsd:element ref="ns1:_dlc_ExpireDate" minOccurs="0"/>
                <xsd:element ref="ns3:MediaServiceMetadata" minOccurs="0"/>
                <xsd:element ref="ns3:MediaServiceFastMetadata" minOccurs="0"/>
                <xsd:element ref="ns4:SharedWithUsers" minOccurs="0"/>
                <xsd:element ref="ns4:SharedWithDetails" minOccurs="0"/>
                <xsd:element ref="ns3:MediaServiceObjectDetectorVersions" minOccurs="0"/>
                <xsd:element ref="ns3:lcf76f155ced4ddcb4097134ff3c332f" minOccurs="0"/>
                <xsd:element ref="ns3:MediaServiceOCR" minOccurs="0"/>
                <xsd:element ref="ns3:MediaServiceGenerationTime" minOccurs="0"/>
                <xsd:element ref="ns3:MediaServiceEventHashCode"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0" nillable="true" ma:displayName="Exempt from Policy" ma:hidden="true" ma:internalName="_dlc_Exempt" ma:readOnly="false">
      <xsd:simpleType>
        <xsd:restriction base="dms:Unknown"/>
      </xsd:simpleType>
    </xsd:element>
    <xsd:element name="_dlc_ExpireDateSaved" ma:index="11" nillable="true" ma:displayName="Original Expiration Date" ma:hidden="true" ma:internalName="_dlc_ExpireDateSaved" ma:readOnly="false">
      <xsd:simpleType>
        <xsd:restriction base="dms:DateTime"/>
      </xsd:simpleType>
    </xsd:element>
    <xsd:element name="_dlc_ExpireDate" ma:index="12" nillable="true" ma:displayName="Expiration Date" ma:hidden="true" ma:internalName="_dlc_Expire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a4d292e-883c-434b-96e3-060cfff16c86"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04f7ae24-d31d-4294-bafa-becde35c9c1c}" ma:internalName="TaxCatchAll" ma:showField="CatchAllData" ma:web="cc207f9e-838e-4b81-8817-02c0a5ca35a4">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04f7ae24-d31d-4294-bafa-becde35c9c1c}" ma:internalName="TaxCatchAllLabel" ma:readOnly="true" ma:showField="CatchAllDataLabel" ma:web="cc207f9e-838e-4b81-8817-02c0a5ca35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7de4abc-1eb4-49f2-a9c4-6e2c5ccd2995"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bc43322-b630-4bac-8b27-31def233d1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207f9e-838e-4b81-8817-02c0a5ca35a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a4d292e-883c-434b-96e3-060cfff16c86" xsi:nil="true"/>
    <_dlc_ExpireDateSaved xmlns="http://schemas.microsoft.com/sharepoint/v3" xsi:nil="true"/>
    <_dlc_ExpireDate xmlns="http://schemas.microsoft.com/sharepoint/v3" xsi:nil="true"/>
    <lcf76f155ced4ddcb4097134ff3c332f xmlns="07de4abc-1eb4-49f2-a9c4-6e2c5ccd2995">
      <Terms xmlns="http://schemas.microsoft.com/office/infopath/2007/PartnerControls"/>
    </lcf76f155ced4ddcb4097134ff3c332f>
    <_dlc_Exempt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7bc43322-b630-4bac-8b27-31def233d1d0"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E48EC09-8BB6-49AA-8D43-CC7C51AB32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4d292e-883c-434b-96e3-060cfff16c86"/>
    <ds:schemaRef ds:uri="07de4abc-1eb4-49f2-a9c4-6e2c5ccd2995"/>
    <ds:schemaRef ds:uri="cc207f9e-838e-4b81-8817-02c0a5ca35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2B59FD-3DD3-463F-9102-1899E385A752}">
  <ds:schemaRefs>
    <ds:schemaRef ds:uri="http://schemas.microsoft.com/office/2006/metadata/properties"/>
    <ds:schemaRef ds:uri="http://schemas.microsoft.com/office/infopath/2007/PartnerControls"/>
    <ds:schemaRef ds:uri="1a4d292e-883c-434b-96e3-060cfff16c86"/>
    <ds:schemaRef ds:uri="http://schemas.microsoft.com/sharepoint/v3"/>
    <ds:schemaRef ds:uri="07de4abc-1eb4-49f2-a9c4-6e2c5ccd2995"/>
  </ds:schemaRefs>
</ds:datastoreItem>
</file>

<file path=customXml/itemProps4.xml><?xml version="1.0" encoding="utf-8"?>
<ds:datastoreItem xmlns:ds="http://schemas.openxmlformats.org/officeDocument/2006/customXml" ds:itemID="{C25F609A-71E1-42AD-AEC0-7413E174DB21}">
  <ds:schemaRefs>
    <ds:schemaRef ds:uri="http://schemas.microsoft.com/sharepoint/v3/contenttype/forms"/>
  </ds:schemaRefs>
</ds:datastoreItem>
</file>

<file path=customXml/itemProps5.xml><?xml version="1.0" encoding="utf-8"?>
<ds:datastoreItem xmlns:ds="http://schemas.openxmlformats.org/officeDocument/2006/customXml" ds:itemID="{0704C19C-874A-4468-A34C-925144C70620}">
  <ds:schemaRefs>
    <ds:schemaRef ds:uri="Microsoft.SharePoint.Taxonomy.ContentTypeSync"/>
  </ds:schemaRefs>
</ds:datastoreItem>
</file>

<file path=customXml/itemProps6.xml><?xml version="1.0" encoding="utf-8"?>
<ds:datastoreItem xmlns:ds="http://schemas.openxmlformats.org/officeDocument/2006/customXml" ds:itemID="{2C82D8AE-0F0F-4A0E-97F1-0E203C553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13</Pages>
  <Words>4799</Words>
  <Characters>25916</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Sousa</dc:creator>
  <cp:lastModifiedBy>E.</cp:lastModifiedBy>
  <cp:revision>33</cp:revision>
  <cp:lastPrinted>2025-09-14T21:20:00Z</cp:lastPrinted>
  <dcterms:created xsi:type="dcterms:W3CDTF">2025-08-28T13:56:00Z</dcterms:created>
  <dcterms:modified xsi:type="dcterms:W3CDTF">2025-09-28T02:10:00Z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0x0101000D3F9B4A49517F4FBDBFFD93467CC4E4</vt:lpwstr>
  </property>
  <property fmtid="{D5CDD505-2E9C-101B-9397-08002B2CF9AE}" pid="3" name="43b072f0-0f82-4aac-be1e-8abeffc32f66">
    <vt:bool>false</vt:bool>
  </property>
  <property fmtid="{D5CDD505-2E9C-101B-9397-08002B2CF9AE}" pid="4" name="ClassificationContentMarkingFooterShapeIds">
    <vt:lpwstr>3e0fde79,76dc091e,760e38b0</vt:lpwstr>
  </property>
  <property fmtid="{D5CDD505-2E9C-101B-9397-08002B2CF9AE}" pid="5" name="ClassificationContentMarkingFooterFontProps">
    <vt:lpwstr>#ff8939,22,Calibri</vt:lpwstr>
  </property>
  <property fmtid="{D5CDD505-2E9C-101B-9397-08002B2CF9AE}" pid="6" name="ClassificationContentMarkingFooterText">
    <vt:lpwstr>RESTRICTED</vt:lpwstr>
  </property>
  <property fmtid="{D5CDD505-2E9C-101B-9397-08002B2CF9AE}" pid="7" name="MSIP_Label_2c76c141-ac86-40e5-abf2-c6f60e474cee_Enabled">
    <vt:lpwstr>true</vt:lpwstr>
  </property>
  <property fmtid="{D5CDD505-2E9C-101B-9397-08002B2CF9AE}" pid="8" name="MSIP_Label_2c76c141-ac86-40e5-abf2-c6f60e474cee_SetDate">
    <vt:lpwstr>2025-09-14T21:02:33Z</vt:lpwstr>
  </property>
  <property fmtid="{D5CDD505-2E9C-101B-9397-08002B2CF9AE}" pid="9" name="MSIP_Label_2c76c141-ac86-40e5-abf2-c6f60e474cee_Method">
    <vt:lpwstr>Standard</vt:lpwstr>
  </property>
  <property fmtid="{D5CDD505-2E9C-101B-9397-08002B2CF9AE}" pid="10" name="MSIP_Label_2c76c141-ac86-40e5-abf2-c6f60e474cee_Name">
    <vt:lpwstr>2c76c141-ac86-40e5-abf2-c6f60e474cee</vt:lpwstr>
  </property>
  <property fmtid="{D5CDD505-2E9C-101B-9397-08002B2CF9AE}" pid="11" name="MSIP_Label_2c76c141-ac86-40e5-abf2-c6f60e474cee_SiteId">
    <vt:lpwstr>fcb2b37b-5da0-466b-9b83-0014b67a7c78</vt:lpwstr>
  </property>
  <property fmtid="{D5CDD505-2E9C-101B-9397-08002B2CF9AE}" pid="12" name="MSIP_Label_2c76c141-ac86-40e5-abf2-c6f60e474cee_ActionId">
    <vt:lpwstr>0d1f9490-858c-4e2a-99a9-04c105949fd2</vt:lpwstr>
  </property>
  <property fmtid="{D5CDD505-2E9C-101B-9397-08002B2CF9AE}" pid="13" name="MSIP_Label_2c76c141-ac86-40e5-abf2-c6f60e474cee_ContentBits">
    <vt:lpwstr>2</vt:lpwstr>
  </property>
  <property fmtid="{D5CDD505-2E9C-101B-9397-08002B2CF9AE}" pid="14" name="MSIP_Label_2c76c141-ac86-40e5-abf2-c6f60e474cee_Tag">
    <vt:lpwstr>10, 3, 0, 1</vt:lpwstr>
  </property>
  <property fmtid="{D5CDD505-2E9C-101B-9397-08002B2CF9AE}" pid="15" name="MediaServiceImageTags">
    <vt:lpwstr/>
  </property>
</Properties>
</file>