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0BD3" w14:textId="5BD0E097" w:rsidR="00571FF7" w:rsidRDefault="00355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0E0">
        <w:rPr>
          <w:rFonts w:ascii="Times New Roman" w:hAnsi="Times New Roman" w:cs="Times New Roman"/>
          <w:b/>
          <w:bCs/>
          <w:sz w:val="24"/>
          <w:szCs w:val="24"/>
        </w:rPr>
        <w:t>TÉCNICAS COMBINADAS NA ESTABILIZAÇÃO DE FRATURAS DE MONTEGGIA EM CÃ</w:t>
      </w:r>
      <w:r w:rsidR="00504D9C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447643B7" w14:textId="1A17B76D" w:rsidR="00571FF7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Sival Rufino de </w:t>
      </w:r>
      <w:r>
        <w:rPr>
          <w:rFonts w:ascii="Times New Roman" w:hAnsi="Times New Roman" w:cs="Times New Roman"/>
          <w:b/>
          <w:bCs/>
          <w:sz w:val="24"/>
          <w:szCs w:val="24"/>
        </w:rPr>
        <w:t>Carvalho Junior</w:t>
      </w:r>
      <w:r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 xml:space="preserve">; Pablo Vinícius Carneiro de </w:t>
      </w:r>
      <w:r w:rsidRPr="00B463BD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="00EA58D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A58DD">
        <w:rPr>
          <w:rFonts w:ascii="Times New Roman" w:hAnsi="Times New Roman" w:cs="Times New Roman"/>
          <w:sz w:val="24"/>
          <w:szCs w:val="24"/>
        </w:rPr>
        <w:t xml:space="preserve">Lucas Lucena Medeiros da </w:t>
      </w:r>
      <w:r w:rsidR="00EA58DD" w:rsidRPr="00B463BD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EA58DD" w:rsidRPr="00EA58D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A58DD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Sabrina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Aires </w:t>
      </w:r>
      <w:r w:rsidRPr="00B463BD">
        <w:rPr>
          <w:rFonts w:ascii="Times New Roman" w:hAnsi="Times New Roman" w:cs="Times New Roman"/>
          <w:b/>
          <w:bCs/>
          <w:sz w:val="24"/>
          <w:szCs w:val="24"/>
        </w:rPr>
        <w:t>Barbosa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Marcelo Jorge Cavalcanti de </w:t>
      </w:r>
      <w:r w:rsidRPr="00B463BD">
        <w:rPr>
          <w:rFonts w:ascii="Times New Roman" w:hAnsi="Times New Roman" w:cs="Times New Roman"/>
          <w:b/>
          <w:bCs/>
          <w:sz w:val="24"/>
          <w:szCs w:val="24"/>
        </w:rPr>
        <w:t>Sá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Pedro Isidro da </w:t>
      </w:r>
      <w:r w:rsidRPr="00B463BD">
        <w:rPr>
          <w:rFonts w:ascii="Times New Roman" w:hAnsi="Times New Roman" w:cs="Times New Roman"/>
          <w:b/>
          <w:bCs/>
          <w:sz w:val="24"/>
          <w:szCs w:val="24"/>
        </w:rPr>
        <w:t>Nóbrega Neto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Renato Otaviano do </w:t>
      </w:r>
      <w:r w:rsidRPr="00B463BD">
        <w:rPr>
          <w:rFonts w:ascii="Times New Roman" w:hAnsi="Times New Roman" w:cs="Times New Roman"/>
          <w:b/>
          <w:bCs/>
          <w:sz w:val="24"/>
          <w:szCs w:val="24"/>
        </w:rPr>
        <w:t>Rego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</w:p>
    <w:p w14:paraId="0810A7D0" w14:textId="45CA3366" w:rsidR="00571FF7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Discente em Medicina Veterinária, Universidade Federal de Campina Grande 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6" w:history="1">
        <w:r w:rsidR="001A03DA" w:rsidRPr="0057204D">
          <w:rPr>
            <w:rStyle w:val="Hyperlink"/>
            <w:rFonts w:ascii="Times New Roman" w:hAnsi="Times New Roman" w:cs="Times New Roman"/>
            <w:sz w:val="20"/>
            <w:szCs w:val="20"/>
          </w:rPr>
          <w:t>sival.rufino@estudante.ufcg.edu.br</w:t>
        </w:r>
      </w:hyperlink>
    </w:p>
    <w:p w14:paraId="1546C0A1" w14:textId="660AFABC" w:rsidR="001A03DA" w:rsidRDefault="001A03D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Médico Veterinário Cirurgião Residente, Hospital Veterinário da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pablovinicius1811@gmail.com</w:t>
      </w:r>
    </w:p>
    <w:p w14:paraId="0202925C" w14:textId="4F91C270" w:rsidR="00571FF7" w:rsidRPr="00BE3A82" w:rsidRDefault="001A03DA">
      <w:pPr>
        <w:pStyle w:val="SemEspaamen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Pr="00BE3A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Médico Veterinário Mestrando do Programa de Pós-Graduação em Ciência e Saúde Animal da UFCG. E-mail: </w:t>
      </w:r>
      <w:r w:rsidRPr="00BE3A82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lucaslucenamedvet@gmail.com</w:t>
      </w:r>
    </w:p>
    <w:p w14:paraId="49BA3A97" w14:textId="77777777" w:rsidR="00571FF7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Discente em Medicina Veterinária, Universidade Federal de Campina Grande -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sabrina.evelin@estudante.ufcg.edu.br</w:t>
      </w:r>
    </w:p>
    <w:p w14:paraId="08669B4F" w14:textId="77777777" w:rsidR="00571FF7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Docente, Universidade Federal de Campina Grande –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mjcdesa@gmail.com </w:t>
      </w:r>
    </w:p>
    <w:p w14:paraId="6360E11E" w14:textId="77777777" w:rsidR="00571FF7" w:rsidRDefault="000000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Docente, Universidade Federal de Campina Grande –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pedroisidro@ymail.com</w:t>
      </w:r>
    </w:p>
    <w:p w14:paraId="16A91750" w14:textId="77777777" w:rsidR="00571FF7" w:rsidRDefault="00000000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Médico Veterinário Cirurgião, Hospital Veterinário da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renato_otaviano@yahoo.com.br</w:t>
      </w:r>
    </w:p>
    <w:p w14:paraId="6FF0229D" w14:textId="1B780CC8" w:rsidR="00571FF7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B16347">
        <w:rPr>
          <w:rFonts w:ascii="Times New Roman" w:hAnsi="Times New Roman" w:cs="Times New Roman"/>
          <w:bCs/>
        </w:rPr>
        <w:t xml:space="preserve">A fratura de </w:t>
      </w:r>
      <w:proofErr w:type="spellStart"/>
      <w:r w:rsidRPr="00B16347">
        <w:rPr>
          <w:rFonts w:ascii="Times New Roman" w:hAnsi="Times New Roman" w:cs="Times New Roman"/>
          <w:bCs/>
        </w:rPr>
        <w:t>Monteggia</w:t>
      </w:r>
      <w:proofErr w:type="spellEnd"/>
      <w:r w:rsidRPr="00B16347">
        <w:rPr>
          <w:rFonts w:ascii="Times New Roman" w:hAnsi="Times New Roman" w:cs="Times New Roman"/>
          <w:bCs/>
        </w:rPr>
        <w:t xml:space="preserve"> caracteriza-se pela fratura da diáfise da ulna associada à luxação da cabeça do rádio, sendo considerada como uma lesão ortopédica complexa em pequenos animais. O objetivo do trabalho é relatar um caso de fratura de </w:t>
      </w:r>
      <w:proofErr w:type="spellStart"/>
      <w:r w:rsidRPr="00B16347">
        <w:rPr>
          <w:rFonts w:ascii="Times New Roman" w:hAnsi="Times New Roman" w:cs="Times New Roman"/>
          <w:bCs/>
        </w:rPr>
        <w:t>Monteggia</w:t>
      </w:r>
      <w:proofErr w:type="spellEnd"/>
      <w:r w:rsidR="0027316F">
        <w:rPr>
          <w:rFonts w:ascii="Times New Roman" w:hAnsi="Times New Roman" w:cs="Times New Roman"/>
          <w:bCs/>
        </w:rPr>
        <w:t xml:space="preserve"> </w:t>
      </w:r>
      <w:r w:rsidR="0027316F" w:rsidRPr="0027316F">
        <w:rPr>
          <w:rFonts w:ascii="Times New Roman" w:hAnsi="Times New Roman" w:cs="Times New Roman"/>
          <w:bCs/>
        </w:rPr>
        <w:t>utilizando uma técnica combinada de fixação intramedular da ulna</w:t>
      </w:r>
      <w:r w:rsidR="0027316F">
        <w:rPr>
          <w:rFonts w:ascii="Times New Roman" w:hAnsi="Times New Roman" w:cs="Times New Roman"/>
          <w:bCs/>
        </w:rPr>
        <w:t xml:space="preserve"> e</w:t>
      </w:r>
      <w:r w:rsidR="0027316F" w:rsidRPr="0027316F">
        <w:rPr>
          <w:rFonts w:ascii="Times New Roman" w:hAnsi="Times New Roman" w:cs="Times New Roman"/>
          <w:bCs/>
        </w:rPr>
        <w:t xml:space="preserve"> estabilização da articulação </w:t>
      </w:r>
      <w:proofErr w:type="spellStart"/>
      <w:r w:rsidR="0027316F" w:rsidRPr="0027316F">
        <w:rPr>
          <w:rFonts w:ascii="Times New Roman" w:hAnsi="Times New Roman" w:cs="Times New Roman"/>
          <w:bCs/>
        </w:rPr>
        <w:t>radiocapitelar</w:t>
      </w:r>
      <w:proofErr w:type="spellEnd"/>
      <w:r w:rsidR="00D40CCC" w:rsidRPr="00B16347">
        <w:rPr>
          <w:rFonts w:ascii="Times New Roman" w:hAnsi="Times New Roman" w:cs="Times New Roman"/>
          <w:bCs/>
        </w:rPr>
        <w:t xml:space="preserve">. </w:t>
      </w:r>
      <w:r w:rsidRPr="00B16347">
        <w:rPr>
          <w:rFonts w:ascii="Times New Roman" w:hAnsi="Times New Roman" w:cs="Times New Roman"/>
          <w:bCs/>
        </w:rPr>
        <w:t xml:space="preserve">O tratamento cirúrgico consiste em uma técnica de estabilização ortopédica que combinou métodos de fixação óssea e estabilização articular, previamente planejados com auxílio de software específico. A técnica empregada proporcionou adequada redução da fratura e estabilidade articular, demonstrando ser uma alternativa eficaz no tratamento de fraturas de </w:t>
      </w:r>
      <w:proofErr w:type="spellStart"/>
      <w:r w:rsidRPr="00B16347">
        <w:rPr>
          <w:rFonts w:ascii="Times New Roman" w:hAnsi="Times New Roman" w:cs="Times New Roman"/>
          <w:bCs/>
        </w:rPr>
        <w:t>Monteggia</w:t>
      </w:r>
      <w:proofErr w:type="spellEnd"/>
      <w:r w:rsidRPr="00B16347">
        <w:rPr>
          <w:rFonts w:ascii="Times New Roman" w:hAnsi="Times New Roman" w:cs="Times New Roman"/>
          <w:bCs/>
        </w:rPr>
        <w:t xml:space="preserve"> em cães de pequeno porte.</w:t>
      </w:r>
    </w:p>
    <w:p w14:paraId="6A6CD6F8" w14:textId="77777777" w:rsidR="00571F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b/>
          <w:color w:val="00000A"/>
        </w:rPr>
        <w:t>:</w:t>
      </w:r>
      <w:r>
        <w:rPr>
          <w:rFonts w:ascii="Times New Roman" w:eastAsia="Times New Roman" w:hAnsi="Times New Roman" w:cs="Times New Roman"/>
          <w:color w:val="00000A"/>
        </w:rPr>
        <w:t xml:space="preserve"> cirurgia veterinária; ortopedia; fixação intramedular; luxação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radiocapitelar</w:t>
      </w:r>
      <w:proofErr w:type="spellEnd"/>
    </w:p>
    <w:p w14:paraId="6C7FE4B2" w14:textId="77777777" w:rsidR="00571FF7" w:rsidRDefault="00571FF7">
      <w:pPr>
        <w:pStyle w:val="Normal1"/>
        <w:widowControl w:val="0"/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08B31B67" w14:textId="0088057F" w:rsidR="00B16347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A fratura de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Monteggia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é definida como uma fratura da diáfise da ulna associada à luxação da cabeça do rádio, representando uma lesão complexa do membro torácico em pequenos animais (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Soderlund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Zipperstein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Athwal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Hoekzema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, 2024;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Delpont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Louahem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Cottalorda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, 2018). </w:t>
      </w:r>
      <w:r w:rsidR="00B16347" w:rsidRPr="00B16347">
        <w:rPr>
          <w:rFonts w:ascii="Times New Roman" w:eastAsia="Arial" w:hAnsi="Times New Roman" w:cs="Times New Roman"/>
          <w:bCs/>
          <w:sz w:val="24"/>
          <w:szCs w:val="24"/>
        </w:rPr>
        <w:t xml:space="preserve">Essa afecção geralmente resulta de traumas de alta energia, como quedas de altura e atropelamentos, que promovem forças indiretas sobre o antebraço, levando à instabilidade óssea e articular </w:t>
      </w:r>
      <w:r w:rsidR="00BE3A82" w:rsidRPr="00082CE9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BE3A82" w:rsidRPr="00BE3A82">
        <w:rPr>
          <w:rFonts w:ascii="Times New Roman" w:hAnsi="Times New Roman" w:cs="Times New Roman"/>
          <w:color w:val="000000"/>
          <w:sz w:val="24"/>
          <w:szCs w:val="24"/>
        </w:rPr>
        <w:t>HAYASHI; SCHULZ</w:t>
      </w:r>
      <w:r w:rsidR="00BE3A82">
        <w:rPr>
          <w:rFonts w:ascii="Times New Roman" w:hAnsi="Times New Roman" w:cs="Times New Roman"/>
          <w:color w:val="000000"/>
          <w:sz w:val="24"/>
          <w:szCs w:val="24"/>
        </w:rPr>
        <w:t>; FOSSUM</w:t>
      </w:r>
      <w:r w:rsidR="00BE3A82" w:rsidRPr="00082CE9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BE3A82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BE3A82" w:rsidRPr="00082CE9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B16347" w:rsidRPr="00B16347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O tratamento cirúr</w:t>
      </w:r>
      <w:r w:rsidR="00774256">
        <w:rPr>
          <w:rFonts w:ascii="Times New Roman" w:eastAsia="Arial" w:hAnsi="Times New Roman" w:cs="Times New Roman"/>
          <w:bCs/>
          <w:sz w:val="24"/>
          <w:szCs w:val="24"/>
        </w:rPr>
        <w:t xml:space="preserve">gico </w:t>
      </w:r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é geralmente necessário para restaurar a anatomia normal do antebraço e a função articular do cotovelo. A redução anatômica e estabilização da fratura ulnar são consideradas princípios fundamentais, pois permitem a redução indireta da luxação </w:t>
      </w:r>
      <w:proofErr w:type="spellStart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radiocapitelar</w:t>
      </w:r>
      <w:proofErr w:type="spellEnd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 na maioria dos casos (</w:t>
      </w:r>
      <w:proofErr w:type="spellStart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Delpont</w:t>
      </w:r>
      <w:proofErr w:type="spellEnd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Louahem</w:t>
      </w:r>
      <w:proofErr w:type="spellEnd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Cottalorda</w:t>
      </w:r>
      <w:proofErr w:type="spellEnd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, 2018; </w:t>
      </w:r>
      <w:proofErr w:type="spellStart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>Anatolitou</w:t>
      </w:r>
      <w:proofErr w:type="spellEnd"/>
      <w:r w:rsidR="00B662C0" w:rsidRPr="00B662C0">
        <w:rPr>
          <w:rFonts w:ascii="Times New Roman" w:eastAsia="Arial" w:hAnsi="Times New Roman" w:cs="Times New Roman"/>
          <w:bCs/>
          <w:sz w:val="24"/>
          <w:szCs w:val="24"/>
        </w:rPr>
        <w:t xml:space="preserve"> et al., 2024).</w:t>
      </w:r>
    </w:p>
    <w:p w14:paraId="425DB71D" w14:textId="77777777" w:rsidR="00CC5D58" w:rsidRPr="00B16347" w:rsidRDefault="00CC5D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C0652" w14:textId="3425887A" w:rsidR="00571FF7" w:rsidRDefault="00000000" w:rsidP="00C67D9B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caso:</w:t>
      </w:r>
      <w:r w:rsidR="00C67D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Foi atendido no Hospital Veterinário Prof.</w:t>
      </w:r>
      <w:r w:rsidR="00BF4B9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Dr. Ivon Macêdo Tabosa, da </w:t>
      </w:r>
      <w:r w:rsidR="00883A69">
        <w:rPr>
          <w:rFonts w:ascii="Times New Roman" w:eastAsia="Helvetica Neue" w:hAnsi="Times New Roman" w:cs="Times New Roman"/>
          <w:color w:val="000000"/>
          <w:sz w:val="24"/>
          <w:szCs w:val="24"/>
        </w:rPr>
        <w:t>UFCG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Campus Patos-PB, uma cadela, pinscher, fêmea, fértil, com 6 anos, pesando 2,8 kg,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com histórico de queda do primeiro andar da residência</w:t>
      </w:r>
      <w:r w:rsidR="001323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há 4 dias antes da </w:t>
      </w:r>
      <w:r w:rsidR="005A26F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consulta. </w:t>
      </w:r>
      <w:r w:rsidR="00CD3384" w:rsidRP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exame físico, o paciente apresentava-se alerta, com mucosas normocoradas, linfonodos sem alterações e parâmetros fisiológicos dentro dos valores de referência. Foram solicitados exames complementares, incluindo hemograma, </w:t>
      </w:r>
      <w:proofErr w:type="spellStart"/>
      <w:r w:rsidR="00CD3384" w:rsidRP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>leucograma</w:t>
      </w:r>
      <w:proofErr w:type="spellEnd"/>
      <w:r w:rsidR="00CD3384" w:rsidRP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perfil bioquímico e radiografia do membro afetado. O </w:t>
      </w:r>
      <w:proofErr w:type="spellStart"/>
      <w:r w:rsidR="00CD3384" w:rsidRP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>eritrograma</w:t>
      </w:r>
      <w:proofErr w:type="spellEnd"/>
      <w:r w:rsidR="00CD3384" w:rsidRP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revelou discreta redução de hemácias, hematócrito e hemoglobina, compatível com anemia leve, enquanto plaquetas e parâmetros bioquímicos permaneceram dentro da normalidade.</w:t>
      </w:r>
      <w:r w:rsidR="00CD338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radiografia evidenciou fratura de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Monteggia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membro torácico direito, caracterizada por fratura da ulna associada à alteração no posicionamento da cabeça do rádio. Após análise, o animal foi encaminhado para a cirurgia de estabilização de fratura de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Monteggia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O planejamento cirúrgico foi realizado através do software Virtual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Preoperative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Orthopaedic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Planning Tool (VPOP), </w:t>
      </w:r>
      <w:r>
        <w:rPr>
          <w:rFonts w:ascii="Times New Roman" w:eastAsia="Helvetica Neue" w:hAnsi="Times New Roman" w:cs="Times New Roman"/>
          <w:color w:val="000000" w:themeColor="dark1"/>
          <w:sz w:val="24"/>
          <w:szCs w:val="24"/>
        </w:rPr>
        <w:t xml:space="preserve">onde foram realizadas as medidas dos parafusos e pino adequados. Sob anestesia, o procedimento cirúrgico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iniciou com</w:t>
      </w:r>
      <w:r w:rsidR="001323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1323EB">
        <w:rPr>
          <w:rFonts w:ascii="Times New Roman" w:eastAsia="Helvetica Neue" w:hAnsi="Times New Roman" w:cs="Times New Roman"/>
          <w:sz w:val="24"/>
          <w:szCs w:val="24"/>
        </w:rPr>
        <w:t>uma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incisão cutânea lateral imediatamente acima da</w:t>
      </w:r>
      <w:r w:rsidR="001473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diáfise da ulna, seguida de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divulsão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 tecido subcutâneo e </w:t>
      </w:r>
      <w:r w:rsidRPr="00E43198">
        <w:rPr>
          <w:rFonts w:ascii="Times New Roman" w:eastAsia="Helvetica Neue" w:hAnsi="Times New Roman" w:cs="Times New Roman"/>
          <w:sz w:val="24"/>
          <w:szCs w:val="24"/>
        </w:rPr>
        <w:t>exposição do foco de fratura.</w:t>
      </w:r>
      <w:r>
        <w:rPr>
          <w:rFonts w:ascii="Times New Roman" w:eastAsia="Helvetica Neue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redução foi realizada com pino intramedular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Steinmann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0,8 mm introduzido de forma retrógrada</w:t>
      </w:r>
      <w:r w:rsidR="00D40C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até a região </w:t>
      </w:r>
      <w:proofErr w:type="spellStart"/>
      <w:r w:rsidR="00D40CCC">
        <w:rPr>
          <w:rFonts w:ascii="Times New Roman" w:eastAsia="Helvetica Neue" w:hAnsi="Times New Roman" w:cs="Times New Roman"/>
          <w:color w:val="000000"/>
          <w:sz w:val="24"/>
          <w:szCs w:val="24"/>
        </w:rPr>
        <w:t>metafisaria</w:t>
      </w:r>
      <w:proofErr w:type="spellEnd"/>
      <w:r w:rsidR="00D40C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para alinhamento do osso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Posteriormente realizou-se incisão lateral entre o epicôndilo lateral do úmero e a cabeça do rádio para instalação de</w:t>
      </w:r>
      <w:r w:rsidR="00D40C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parafusos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cortica</w:t>
      </w:r>
      <w:r w:rsidR="0097368D">
        <w:rPr>
          <w:rFonts w:ascii="Times New Roman" w:eastAsia="Helvetica Neue" w:hAnsi="Times New Roman" w:cs="Times New Roman"/>
          <w:color w:val="000000"/>
          <w:sz w:val="24"/>
          <w:szCs w:val="24"/>
        </w:rPr>
        <w:t>is (</w:t>
      </w:r>
      <w:proofErr w:type="spellStart"/>
      <w:r w:rsidR="0097368D">
        <w:rPr>
          <w:rFonts w:ascii="Times New Roman" w:eastAsia="Helvetica Neue" w:hAnsi="Times New Roman" w:cs="Times New Roman"/>
          <w:color w:val="000000"/>
          <w:sz w:val="24"/>
          <w:szCs w:val="24"/>
        </w:rPr>
        <w:t>Aldrivet</w:t>
      </w:r>
      <w:proofErr w:type="spellEnd"/>
      <w:r w:rsidR="0097368D" w:rsidRPr="00495505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®</w:t>
      </w:r>
      <w:r w:rsidR="0097368D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2,4 mm no epicôndilo lateral do úmero e</w:t>
      </w:r>
      <w:r w:rsidR="00FC095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na cabeça do rádio. Entre esses parafusos foram realizadas três suturas com fio de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fluorcarbono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0,44 mm em forma de oito.</w:t>
      </w:r>
      <w: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Com auxílio de pinça ponta-ponta foi realizada nova reduçã</w:t>
      </w:r>
      <w:r w:rsidR="00D40CC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do espaço entre rádio e ulna,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seguida da perfuração com broca 1.5mm e 1.1mm e instalação de parafuso cortical </w:t>
      </w:r>
      <w:r w:rsidR="00CC5D58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CC5D58">
        <w:rPr>
          <w:rFonts w:ascii="Times New Roman" w:eastAsia="Helvetica Neue" w:hAnsi="Times New Roman" w:cs="Times New Roman"/>
          <w:color w:val="000000"/>
          <w:sz w:val="24"/>
          <w:szCs w:val="24"/>
        </w:rPr>
        <w:t>Aldrivet</w:t>
      </w:r>
      <w:proofErr w:type="spellEnd"/>
      <w:r w:rsidR="00CC5D58" w:rsidRPr="00495505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®</w:t>
      </w:r>
      <w:r w:rsidR="00CC5D5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</w:t>
      </w:r>
      <w:r w:rsidR="00C81D2E">
        <w:rPr>
          <w:rFonts w:ascii="Times New Roman" w:eastAsia="Helvetica Neue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C81D2E">
        <w:rPr>
          <w:rFonts w:ascii="Times New Roman" w:eastAsia="Helvetica Neue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mm com 14 mm de comprimento em função LAG</w:t>
      </w:r>
      <w:r w:rsidR="00B64ACE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210EC" w:rsidRP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posicionado desde a região </w:t>
      </w:r>
      <w:proofErr w:type="spellStart"/>
      <w:r w:rsidR="00E210EC" w:rsidRP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>diafisária</w:t>
      </w:r>
      <w:proofErr w:type="spellEnd"/>
      <w:r w:rsidR="00E210EC" w:rsidRP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da ulna</w:t>
      </w:r>
      <w:r w:rsid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até a região</w:t>
      </w:r>
      <w:r w:rsidR="00E210EC" w:rsidRPr="00E210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imediatamente distal à cabeça do rádio.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Ao término da fixação, foi </w:t>
      </w:r>
      <w:r>
        <w:rPr>
          <w:rFonts w:ascii="Times New Roman" w:eastAsia="Helvetica Neue" w:hAnsi="Times New Roman" w:cs="Times New Roman"/>
          <w:color w:val="000000" w:themeColor="dark1"/>
          <w:sz w:val="24"/>
          <w:szCs w:val="24"/>
        </w:rPr>
        <w:t>realizada</w:t>
      </w:r>
      <w:r>
        <w:rPr>
          <w:rFonts w:ascii="Times New Roman" w:eastAsia="Helvetica Neue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síntese da fáscia muscular, a redução do espaço subcutâneo e a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dermorrafia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No </w:t>
      </w:r>
      <w:r>
        <w:rPr>
          <w:rFonts w:ascii="Times New Roman" w:eastAsia="SimSun" w:hAnsi="Times New Roman" w:cs="Times New Roman"/>
          <w:color w:val="000000" w:themeColor="dark1"/>
          <w:sz w:val="24"/>
          <w:szCs w:val="24"/>
        </w:rPr>
        <w:t xml:space="preserve">pós-operatório, foram prescritos analgésicos, </w:t>
      </w:r>
      <w:proofErr w:type="spellStart"/>
      <w:r>
        <w:rPr>
          <w:rFonts w:ascii="Times New Roman" w:eastAsia="SimSun" w:hAnsi="Times New Roman" w:cs="Times New Roman"/>
          <w:color w:val="000000" w:themeColor="dark1"/>
          <w:sz w:val="24"/>
          <w:szCs w:val="24"/>
        </w:rPr>
        <w:t>antiinflamatório</w:t>
      </w:r>
      <w:proofErr w:type="spellEnd"/>
      <w:r>
        <w:rPr>
          <w:rFonts w:ascii="Times New Roman" w:eastAsia="SimSun" w:hAnsi="Times New Roman" w:cs="Times New Roman"/>
          <w:color w:val="000000" w:themeColor="dark1"/>
          <w:sz w:val="24"/>
          <w:szCs w:val="24"/>
        </w:rPr>
        <w:t xml:space="preserve"> e antibiótico com o objetivo de reduzir a dor e prevenir possíveis complicações durante a recuperação do paciente.</w:t>
      </w:r>
    </w:p>
    <w:p w14:paraId="3A7D196A" w14:textId="77777777" w:rsidR="00CC5D58" w:rsidRDefault="00CC5D58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632B2472" w14:textId="731B3CF4" w:rsidR="00571FF7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Resultados e Discussão: </w:t>
      </w:r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 xml:space="preserve">O procedimento proporcionou adequado alinhamento da ulna e redução satisfatória da luxação da cabeça do rádio, reforçando o princípio biomecânico fundamental das fraturas de </w:t>
      </w:r>
      <w:proofErr w:type="spellStart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Monteggia</w:t>
      </w:r>
      <w:proofErr w:type="spellEnd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 xml:space="preserve">: a correta estabilização da ulna promove a redução indireta da articulação </w:t>
      </w:r>
      <w:proofErr w:type="spellStart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radiocapitelar</w:t>
      </w:r>
      <w:proofErr w:type="spellEnd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 xml:space="preserve"> (DELPONT; LOUAHEM; COTTALORDA, 2018;</w:t>
      </w:r>
      <w:r w:rsidR="00BE3A8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E3A82" w:rsidRPr="00BE3A82">
        <w:rPr>
          <w:rFonts w:ascii="Times New Roman" w:hAnsi="Times New Roman" w:cs="Times New Roman"/>
          <w:color w:val="000000"/>
          <w:sz w:val="24"/>
          <w:szCs w:val="24"/>
        </w:rPr>
        <w:lastRenderedPageBreak/>
        <w:t>HAYASHI; SCHULZ</w:t>
      </w:r>
      <w:r w:rsidR="00BE3A82">
        <w:rPr>
          <w:rFonts w:ascii="Times New Roman" w:hAnsi="Times New Roman" w:cs="Times New Roman"/>
          <w:color w:val="000000"/>
          <w:sz w:val="24"/>
          <w:szCs w:val="24"/>
        </w:rPr>
        <w:t>; FOSSUM</w:t>
      </w:r>
      <w:r w:rsidR="00BE3A82" w:rsidRPr="00082CE9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BE3A82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). A técnica combinando pino intramedular, parafusos e sutura em oito mostrou-se eficaz, pois em animais de pequeno porte a fixação isolada pode ser insuficiente para neutralizar forças multidirecionais, aumentando o risco de falhas e recidiva da luxação (ANATOLITOU et al., 2024).</w:t>
      </w:r>
      <w:r w:rsidR="00082CE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A evolução clínica foi satisfatória, com redução progressiva da dor e apoio precoce do membro. A estabilidade do foco de fratura é determinante para o prognóstico em cirurgias ortopédicas (</w:t>
      </w:r>
      <w:r w:rsidR="00BE3A82" w:rsidRPr="00BE3A82">
        <w:rPr>
          <w:rFonts w:ascii="Times New Roman" w:hAnsi="Times New Roman" w:cs="Times New Roman"/>
          <w:color w:val="000000"/>
          <w:sz w:val="24"/>
          <w:szCs w:val="24"/>
        </w:rPr>
        <w:t>HAYASHI; SCHULZ</w:t>
      </w:r>
      <w:r w:rsidR="00BE3A82">
        <w:rPr>
          <w:rFonts w:ascii="Times New Roman" w:hAnsi="Times New Roman" w:cs="Times New Roman"/>
          <w:color w:val="000000"/>
          <w:sz w:val="24"/>
          <w:szCs w:val="24"/>
        </w:rPr>
        <w:t>; FOSSUM</w:t>
      </w:r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9C1DE7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 xml:space="preserve">). Apesar do desfecho favorável, fraturas de </w:t>
      </w:r>
      <w:proofErr w:type="spellStart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>Monteggia</w:t>
      </w:r>
      <w:proofErr w:type="spellEnd"/>
      <w:r w:rsidR="00082CE9" w:rsidRPr="00082CE9">
        <w:rPr>
          <w:rFonts w:ascii="Times New Roman" w:eastAsia="Arial" w:hAnsi="Times New Roman" w:cs="Times New Roman"/>
          <w:bCs/>
          <w:sz w:val="24"/>
          <w:szCs w:val="24"/>
        </w:rPr>
        <w:t xml:space="preserve"> são lesões desafiadoras, com potencial para complicações como não união, má união, instabilidade radial persistente, rigidez articular e osteoartrite secundária. Falhas no reconhecimento da lesão ou na estabilização da ulna são as principais causas de insucesso terapêutico (SODERLUND et al., 2024).</w:t>
      </w:r>
    </w:p>
    <w:p w14:paraId="09220D26" w14:textId="77777777" w:rsidR="00571FF7" w:rsidRDefault="00571FF7">
      <w:pPr>
        <w:pStyle w:val="Normal1"/>
        <w:widowControl w:val="0"/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7A5F1536" w14:textId="0975C3AF" w:rsidR="00571FF7" w:rsidRDefault="00000000">
      <w:pPr>
        <w:pStyle w:val="Normal1"/>
        <w:widowControl w:val="0"/>
        <w:spacing w:line="288" w:lineRule="auto"/>
        <w:ind w:right="-1"/>
        <w:jc w:val="both"/>
        <w:rPr>
          <w:rFonts w:eastAsia="SimSun"/>
          <w:color w:val="000000" w:themeColor="dark1"/>
        </w:rPr>
      </w:pPr>
      <w:r>
        <w:rPr>
          <w:b/>
          <w:color w:val="000000"/>
        </w:rPr>
        <w:t>Conclusão</w:t>
      </w:r>
      <w:r>
        <w:rPr>
          <w:rFonts w:eastAsia="Helvetica Neue"/>
          <w:color w:val="000000"/>
        </w:rPr>
        <w:t xml:space="preserve">: </w:t>
      </w:r>
      <w:r>
        <w:rPr>
          <w:rFonts w:eastAsia="SimSun"/>
          <w:color w:val="000000" w:themeColor="dark1"/>
        </w:rPr>
        <w:t xml:space="preserve">A técnica de estabilização </w:t>
      </w:r>
      <w:r w:rsidRPr="00BF6660">
        <w:rPr>
          <w:rFonts w:eastAsia="SimSun"/>
        </w:rPr>
        <w:t>relatada</w:t>
      </w:r>
      <w:r>
        <w:rPr>
          <w:rFonts w:eastAsia="SimSun"/>
          <w:color w:val="000000" w:themeColor="dark1"/>
        </w:rPr>
        <w:t xml:space="preserve"> proporcionou adequada redução da fratura e estabilidade articular. O planejamento cirúrgico pré-operatório foi essencial para a seleção adequada dos implantes e execução do procedimento. Dessa forma, a técnica demonstrou ser uma alternativa viável e eficaz para o tratamento de fraturas de Monteggia em cães de pequeno porte, contribuindo para a preservação tecidual e adequada recuperação funcional do membro afetado.</w:t>
      </w:r>
    </w:p>
    <w:p w14:paraId="2CBDB17A" w14:textId="77777777" w:rsidR="00571FF7" w:rsidRDefault="00571FF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4E6EB7" w14:textId="77777777" w:rsidR="00571FF7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Bibliográficas:</w:t>
      </w:r>
    </w:p>
    <w:p w14:paraId="4FFA0A57" w14:textId="77777777" w:rsidR="00571FF7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ANATOLITOU, A.; KRYSTALLI, A. A.; SIDERI, K. I.; MARKOU, M.; KAZAKOS, G.; PRASSINOS, N. N.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retrospective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Monteggia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fractures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8 dogs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cat.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Topics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 Companion Animal Medicine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v. 61, p. 100889, 2024. DOI: </w:t>
      </w:r>
      <w:hyperlink r:id="rId7">
        <w:r w:rsidR="00571F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https://doi.org/10.1016/j.tcam.2024.100889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6B9DB9" w14:textId="77777777" w:rsidR="00571FF7" w:rsidRDefault="00571F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9DB252" w14:textId="63B0ED7C" w:rsidR="00571FF7" w:rsidRDefault="00000000" w:rsidP="00B163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DELPONT, M.; LOUAHEM, D.; COTTALORDA,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Monteggia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injuries.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Orthopaedics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Traumatology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Surgery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v. 104, n. 1, supl., p. S113–S120, 2018. DOI: </w:t>
      </w:r>
      <w:hyperlink r:id="rId8">
        <w:r w:rsidR="00571F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https://doi.org/10.1016/j.otsr.2017.04.014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90D29EA" w14:textId="77777777" w:rsidR="00B16347" w:rsidRDefault="00B16347" w:rsidP="00B163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EE53B" w14:textId="77777777" w:rsidR="00571FF7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SODERLUND, T.; ZIPPERSTEIN, J.; ATHWAL, G. S.; HOEKZEMA, 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Monteggia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fracture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dislocation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Orthopaedic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v. 38, n. 9, supl., p. S26–S30, 2024. DOI: </w:t>
      </w:r>
      <w:hyperlink r:id="rId9">
        <w:r w:rsidR="00571FF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https://doi.org/10.1097/BOT.0000000000002854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3CE26C" w14:textId="77777777" w:rsidR="00571FF7" w:rsidRDefault="00571FF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DB97C5" w14:textId="2ED03641" w:rsidR="00BE3A82" w:rsidRPr="00CC6B9E" w:rsidRDefault="00BE3A82" w:rsidP="00CC6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A82">
        <w:rPr>
          <w:rFonts w:ascii="Times New Roman" w:hAnsi="Times New Roman" w:cs="Times New Roman"/>
          <w:color w:val="000000"/>
          <w:sz w:val="24"/>
          <w:szCs w:val="24"/>
        </w:rPr>
        <w:t>HAYASHI, K.; SCHULZ, K. S.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 xml:space="preserve"> FOSSUM, T. W. </w:t>
      </w:r>
      <w:r w:rsidRPr="00BE3A82">
        <w:rPr>
          <w:rFonts w:ascii="Times New Roman" w:hAnsi="Times New Roman" w:cs="Times New Roman"/>
          <w:color w:val="000000"/>
          <w:sz w:val="24"/>
          <w:szCs w:val="24"/>
        </w:rPr>
        <w:t>Princípios de Diagnóstico e Gerenciamento de Fraturas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1D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 xml:space="preserve">: FOSSUM, T.W. </w:t>
      </w:r>
      <w:r w:rsidR="009C1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Cirurgia de Pequenos Animais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 xml:space="preserve">. 5.ed. São Paulo: Roca, 2021. cap.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 xml:space="preserve">2, p. </w:t>
      </w:r>
      <w:r>
        <w:rPr>
          <w:rFonts w:ascii="Times New Roman" w:hAnsi="Times New Roman" w:cs="Times New Roman"/>
          <w:color w:val="000000"/>
          <w:sz w:val="24"/>
          <w:szCs w:val="24"/>
        </w:rPr>
        <w:t>976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1035</w:t>
      </w:r>
      <w:r w:rsidR="009C1D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E3A82" w:rsidRPr="00CC6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418" w:bottom="1418" w:left="1418" w:header="708" w:footer="708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683A" w14:textId="77777777" w:rsidR="004B6449" w:rsidRDefault="004B6449">
      <w:pPr>
        <w:spacing w:after="0" w:line="240" w:lineRule="auto"/>
      </w:pPr>
      <w:r>
        <w:separator/>
      </w:r>
    </w:p>
  </w:endnote>
  <w:endnote w:type="continuationSeparator" w:id="0">
    <w:p w14:paraId="3ADFAFC2" w14:textId="77777777" w:rsidR="004B6449" w:rsidRDefault="004B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AAE9" w14:textId="77777777" w:rsidR="00571FF7" w:rsidRDefault="00571F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C1C" w14:textId="77777777" w:rsidR="00571FF7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EA906A9" w14:textId="77777777" w:rsidR="00571FF7" w:rsidRDefault="00571F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B862" w14:textId="77777777" w:rsidR="00571FF7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0899A" w14:textId="77777777" w:rsidR="00571FF7" w:rsidRDefault="00571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AED0" w14:textId="77777777" w:rsidR="004B6449" w:rsidRDefault="004B6449">
      <w:pPr>
        <w:spacing w:after="0" w:line="240" w:lineRule="auto"/>
      </w:pPr>
      <w:r>
        <w:separator/>
      </w:r>
    </w:p>
  </w:footnote>
  <w:footnote w:type="continuationSeparator" w:id="0">
    <w:p w14:paraId="69C1F569" w14:textId="77777777" w:rsidR="004B6449" w:rsidRDefault="004B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6B59" w14:textId="77777777" w:rsidR="00571FF7" w:rsidRDefault="00571F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F58C" w14:textId="77777777" w:rsidR="00571FF7" w:rsidRDefault="00000000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 wp14:anchorId="284A577E" wp14:editId="470B40BC">
          <wp:simplePos x="0" y="0"/>
          <wp:positionH relativeFrom="column">
            <wp:posOffset>-316230</wp:posOffset>
          </wp:positionH>
          <wp:positionV relativeFrom="paragraph">
            <wp:posOffset>-410845</wp:posOffset>
          </wp:positionV>
          <wp:extent cx="6426200" cy="160655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50B269" w14:textId="77777777" w:rsidR="00571FF7" w:rsidRDefault="00571F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1B82" w14:textId="77777777" w:rsidR="00571FF7" w:rsidRDefault="00000000">
    <w:pPr>
      <w:pStyle w:val="Cabealho"/>
      <w:jc w:val="right"/>
    </w:pPr>
    <w:r>
      <w:rPr>
        <w:noProof/>
      </w:rPr>
      <w:drawing>
        <wp:anchor distT="0" distB="0" distL="0" distR="0" simplePos="0" relativeHeight="251658240" behindDoc="1" locked="0" layoutInCell="1" allowOverlap="1" wp14:anchorId="15BF3C79" wp14:editId="647FAF11">
          <wp:simplePos x="0" y="0"/>
          <wp:positionH relativeFrom="column">
            <wp:posOffset>-316230</wp:posOffset>
          </wp:positionH>
          <wp:positionV relativeFrom="paragraph">
            <wp:posOffset>-410845</wp:posOffset>
          </wp:positionV>
          <wp:extent cx="6426200" cy="16065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213E98" w14:textId="77777777" w:rsidR="00571FF7" w:rsidRDefault="00571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FF7"/>
    <w:rsid w:val="00011010"/>
    <w:rsid w:val="00066B92"/>
    <w:rsid w:val="00082CE9"/>
    <w:rsid w:val="001323EB"/>
    <w:rsid w:val="00147344"/>
    <w:rsid w:val="0016351E"/>
    <w:rsid w:val="001A03DA"/>
    <w:rsid w:val="00255474"/>
    <w:rsid w:val="0027316F"/>
    <w:rsid w:val="003540AD"/>
    <w:rsid w:val="003550E0"/>
    <w:rsid w:val="00462D14"/>
    <w:rsid w:val="00477BFE"/>
    <w:rsid w:val="004B6449"/>
    <w:rsid w:val="004C63A2"/>
    <w:rsid w:val="004D3549"/>
    <w:rsid w:val="00504D9C"/>
    <w:rsid w:val="00571FF7"/>
    <w:rsid w:val="005A26FD"/>
    <w:rsid w:val="005D4435"/>
    <w:rsid w:val="00650082"/>
    <w:rsid w:val="00650759"/>
    <w:rsid w:val="00761FE9"/>
    <w:rsid w:val="00774256"/>
    <w:rsid w:val="007848DF"/>
    <w:rsid w:val="00883A69"/>
    <w:rsid w:val="00885B31"/>
    <w:rsid w:val="00934E9D"/>
    <w:rsid w:val="009652E6"/>
    <w:rsid w:val="0097368D"/>
    <w:rsid w:val="009958BE"/>
    <w:rsid w:val="009A780F"/>
    <w:rsid w:val="009C1DE7"/>
    <w:rsid w:val="009F15BB"/>
    <w:rsid w:val="00A53374"/>
    <w:rsid w:val="00A94713"/>
    <w:rsid w:val="00AC68CD"/>
    <w:rsid w:val="00AE7477"/>
    <w:rsid w:val="00AF0B1F"/>
    <w:rsid w:val="00B16347"/>
    <w:rsid w:val="00B463BD"/>
    <w:rsid w:val="00B64ACE"/>
    <w:rsid w:val="00B662C0"/>
    <w:rsid w:val="00B76692"/>
    <w:rsid w:val="00BB31C0"/>
    <w:rsid w:val="00BE3A82"/>
    <w:rsid w:val="00BF4B9D"/>
    <w:rsid w:val="00BF6660"/>
    <w:rsid w:val="00C0684B"/>
    <w:rsid w:val="00C67D9B"/>
    <w:rsid w:val="00C81D2E"/>
    <w:rsid w:val="00CC5D58"/>
    <w:rsid w:val="00CC6B9E"/>
    <w:rsid w:val="00CD3384"/>
    <w:rsid w:val="00D02733"/>
    <w:rsid w:val="00D40CCC"/>
    <w:rsid w:val="00E210EC"/>
    <w:rsid w:val="00E43198"/>
    <w:rsid w:val="00EA58DD"/>
    <w:rsid w:val="00EC37A6"/>
    <w:rsid w:val="00FC0950"/>
    <w:rsid w:val="00FD3475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8820"/>
  <w15:docId w15:val="{B3E88B6E-F0F3-4F0B-9873-DC7A795B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DengXian Light" w:hAnsi="Calibri Light" w:cs="Times New Roman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  <w:style w:type="character" w:styleId="Hyperlink">
    <w:name w:val="Hyperlink"/>
    <w:basedOn w:val="Fontepargpadro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Calibri Light" w:eastAsia="DengXian Light" w:hAnsi="Calibri Light" w:cs="Times New Roman"/>
      <w:color w:val="2E74B5" w:themeColor="accent1" w:themeShade="BF"/>
      <w:sz w:val="32"/>
      <w:szCs w:val="32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eastAsia="Arial" w:hAnsi="Arial" w:cs="Arial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qFormat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widowControl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extodecomentrio">
    <w:name w:val="annotation text"/>
    <w:basedOn w:val="Normal"/>
    <w:link w:val="TextodecomentrioChar"/>
    <w:pPr>
      <w:spacing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qFormat/>
    <w:pPr>
      <w:widowControl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paragraph" w:customStyle="1" w:styleId="Bibliografia1">
    <w:name w:val="Bibliografia1"/>
    <w:basedOn w:val="Normal"/>
    <w:next w:val="Normal"/>
    <w:qFormat/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sz w:val="22"/>
      <w:szCs w:val="22"/>
    </w:rPr>
  </w:style>
  <w:style w:type="paragraph" w:customStyle="1" w:styleId="Normal1">
    <w:name w:val="Normal1"/>
    <w:qFormat/>
    <w:pPr>
      <w:overflowPunct w:val="0"/>
    </w:pPr>
    <w:rPr>
      <w:rFonts w:eastAsia="Times New Roman"/>
      <w:sz w:val="24"/>
      <w:szCs w:val="24"/>
      <w:lang w:val="pt-PT"/>
    </w:rPr>
  </w:style>
  <w:style w:type="paragraph" w:customStyle="1" w:styleId="LO-normal">
    <w:name w:val="LO-normal"/>
    <w:qFormat/>
    <w:pPr>
      <w:widowControl w:val="0"/>
      <w:overflowPunct w:val="0"/>
    </w:pPr>
    <w:rPr>
      <w:rFonts w:ascii="Arial" w:eastAsia="Arial" w:hAnsi="Arial" w:cs="Arial"/>
      <w:sz w:val="22"/>
      <w:szCs w:val="22"/>
      <w:lang w:val="en-GB" w:eastAsia="zh-CN" w:bidi="hi-IN"/>
    </w:rPr>
  </w:style>
  <w:style w:type="paragraph" w:customStyle="1" w:styleId="Anotao">
    <w:name w:val="Anotação"/>
    <w:basedOn w:val="Normal"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2C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otsr.2017.04.01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tcam.2024.10088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ival.rufino@estudante.ufcg.edu.b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97/BOT.000000000000285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Sival junior</cp:lastModifiedBy>
  <cp:revision>39</cp:revision>
  <dcterms:created xsi:type="dcterms:W3CDTF">2026-03-26T12:46:00Z</dcterms:created>
  <dcterms:modified xsi:type="dcterms:W3CDTF">2026-04-11T21:00:00Z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  <property fmtid="{D5CDD505-2E9C-101B-9397-08002B2CF9AE}" pid="3" name="ICV">
    <vt:lpwstr>8929C77667664CC3A8C26B318EC385CB_12</vt:lpwstr>
  </property>
  <property fmtid="{D5CDD505-2E9C-101B-9397-08002B2CF9AE}" pid="4" name="KSOProductBuildVer">
    <vt:lpwstr>1046-12.2.0.23196</vt:lpwstr>
  </property>
</Properties>
</file>