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32"/>
        </w:rPr>
      </w:pP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9200" cy="10953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9200" cy="1095375"/>
                          <a:chExt cx="7569200" cy="109537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525"/>
                            <a:ext cx="7569200" cy="10858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8" cy="1066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6pt;height:86.25pt;mso-position-horizontal-relative:page;mso-position-vertical-relative:page;z-index:15728640" id="docshapegroup1" coordorigin="0,0" coordsize="11920,1725">
                <v:shape style="position:absolute;left:0;top:15;width:11920;height:1710" type="#_x0000_t75" id="docshape2" stroked="false">
                  <v:imagedata r:id="rId5" o:title=""/>
                </v:shape>
                <v:shape style="position:absolute;left:0;top:0;width:11881;height:1680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36"/>
        <w:rPr>
          <w:sz w:val="32"/>
        </w:rPr>
      </w:pPr>
    </w:p>
    <w:p>
      <w:pPr>
        <w:pStyle w:val="Heading1"/>
      </w:pPr>
      <w:bookmarkStart w:name="EFEITOS DA MEGA SECA (2012–2017) NA DINÂ" w:id="1"/>
      <w:bookmarkEnd w:id="1"/>
      <w:r>
        <w:rPr>
          <w:b w:val="0"/>
        </w:rPr>
      </w:r>
      <w:r>
        <w:rPr/>
        <w:t>EFEITOS DA MEGA SECA (2012–2017) NA DINÂMICA FENOLÓGICA</w:t>
      </w:r>
      <w:r>
        <w:rPr>
          <w:spacing w:val="-10"/>
        </w:rPr>
        <w:t> </w:t>
      </w:r>
      <w:r>
        <w:rPr/>
        <w:t>DA</w:t>
      </w:r>
      <w:r>
        <w:rPr>
          <w:spacing w:val="-10"/>
        </w:rPr>
        <w:t> </w:t>
      </w:r>
      <w:r>
        <w:rPr/>
        <w:t>VEGETAÇÃO</w:t>
      </w:r>
      <w:r>
        <w:rPr>
          <w:spacing w:val="-10"/>
        </w:rPr>
        <w:t> </w:t>
      </w:r>
      <w:r>
        <w:rPr/>
        <w:t>DA</w:t>
      </w:r>
      <w:r>
        <w:rPr>
          <w:spacing w:val="-10"/>
        </w:rPr>
        <w:t> </w:t>
      </w:r>
      <w:r>
        <w:rPr/>
        <w:t>FLONA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AÇU</w:t>
      </w:r>
      <w:r>
        <w:rPr>
          <w:spacing w:val="-10"/>
        </w:rPr>
        <w:t> </w:t>
      </w:r>
      <w:r>
        <w:rPr/>
        <w:t>(RN)</w:t>
      </w:r>
    </w:p>
    <w:p>
      <w:pPr>
        <w:pStyle w:val="Heading3"/>
        <w:spacing w:line="242" w:lineRule="auto"/>
      </w:pPr>
      <w:bookmarkStart w:name="1Ester de Moura Costa, 1, 2Pedro Rodrigu" w:id="2"/>
      <w:bookmarkEnd w:id="2"/>
      <w:r>
        <w:rPr>
          <w:b w:val="0"/>
        </w:rPr>
      </w:r>
      <w:r>
        <w:rPr>
          <w:vertAlign w:val="superscript"/>
        </w:rPr>
        <w:t>1</w:t>
      </w:r>
      <w:r>
        <w:rPr>
          <w:vertAlign w:val="baseline"/>
        </w:rPr>
        <w:t>Ester</w:t>
      </w:r>
      <w:r>
        <w:rPr>
          <w:spacing w:val="-11"/>
          <w:vertAlign w:val="baseline"/>
        </w:rPr>
        <w:t> </w:t>
      </w:r>
      <w:r>
        <w:rPr>
          <w:vertAlign w:val="baseline"/>
        </w:rPr>
        <w:t>de</w:t>
      </w:r>
      <w:r>
        <w:rPr>
          <w:spacing w:val="-7"/>
          <w:vertAlign w:val="baseline"/>
        </w:rPr>
        <w:t> </w:t>
      </w:r>
      <w:r>
        <w:rPr>
          <w:vertAlign w:val="baseline"/>
        </w:rPr>
        <w:t>Moura</w:t>
      </w:r>
      <w:r>
        <w:rPr>
          <w:spacing w:val="-7"/>
          <w:vertAlign w:val="baseline"/>
        </w:rPr>
        <w:t> </w:t>
      </w:r>
      <w:r>
        <w:rPr>
          <w:vertAlign w:val="baseline"/>
        </w:rPr>
        <w:t>Costa,</w:t>
      </w:r>
      <w:r>
        <w:rPr>
          <w:spacing w:val="-7"/>
          <w:vertAlign w:val="baseline"/>
        </w:rPr>
        <w:t> </w:t>
      </w:r>
      <w:r>
        <w:rPr>
          <w:vertAlign w:val="superscript"/>
        </w:rPr>
        <w:t>1,</w:t>
      </w:r>
      <w:r>
        <w:rPr>
          <w:spacing w:val="-25"/>
          <w:vertAlign w:val="baseline"/>
        </w:rPr>
        <w:t> </w:t>
      </w:r>
      <w:r>
        <w:rPr>
          <w:vertAlign w:val="superscript"/>
        </w:rPr>
        <w:t>2</w:t>
      </w:r>
      <w:r>
        <w:rPr>
          <w:vertAlign w:val="baseline"/>
        </w:rPr>
        <w:t>Pedro</w:t>
      </w:r>
      <w:r>
        <w:rPr>
          <w:spacing w:val="-7"/>
          <w:vertAlign w:val="baseline"/>
        </w:rPr>
        <w:t> </w:t>
      </w:r>
      <w:r>
        <w:rPr>
          <w:vertAlign w:val="baseline"/>
        </w:rPr>
        <w:t>Rodrigues</w:t>
      </w:r>
      <w:r>
        <w:rPr>
          <w:spacing w:val="-7"/>
          <w:vertAlign w:val="baseline"/>
        </w:rPr>
        <w:t> </w:t>
      </w:r>
      <w:r>
        <w:rPr>
          <w:vertAlign w:val="baseline"/>
        </w:rPr>
        <w:t>Mutti</w:t>
      </w:r>
      <w:r>
        <w:rPr>
          <w:spacing w:val="-7"/>
          <w:vertAlign w:val="baseline"/>
        </w:rPr>
        <w:t> </w:t>
      </w:r>
      <w:r>
        <w:rPr>
          <w:vertAlign w:val="baseline"/>
        </w:rPr>
        <w:t>,</w:t>
      </w:r>
      <w:r>
        <w:rPr>
          <w:spacing w:val="-7"/>
          <w:vertAlign w:val="baseline"/>
        </w:rPr>
        <w:t> </w:t>
      </w:r>
      <w:r>
        <w:rPr>
          <w:vertAlign w:val="superscript"/>
        </w:rPr>
        <w:t>1</w:t>
      </w:r>
      <w:r>
        <w:rPr>
          <w:vertAlign w:val="baseline"/>
        </w:rPr>
        <w:t>Gabriele</w:t>
      </w:r>
      <w:r>
        <w:rPr>
          <w:spacing w:val="-7"/>
          <w:vertAlign w:val="baseline"/>
        </w:rPr>
        <w:t> </w:t>
      </w:r>
      <w:r>
        <w:rPr>
          <w:vertAlign w:val="baseline"/>
        </w:rPr>
        <w:t>Jamile</w:t>
      </w:r>
      <w:r>
        <w:rPr>
          <w:spacing w:val="-7"/>
          <w:vertAlign w:val="baseline"/>
        </w:rPr>
        <w:t> </w:t>
      </w:r>
      <w:r>
        <w:rPr>
          <w:vertAlign w:val="baseline"/>
        </w:rPr>
        <w:t>Holanda</w:t>
      </w:r>
      <w:r>
        <w:rPr>
          <w:spacing w:val="-7"/>
          <w:vertAlign w:val="baseline"/>
        </w:rPr>
        <w:t> </w:t>
      </w:r>
      <w:r>
        <w:rPr>
          <w:vertAlign w:val="baseline"/>
        </w:rPr>
        <w:t>de Almeida, </w:t>
      </w:r>
      <w:r>
        <w:rPr>
          <w:vertAlign w:val="superscript"/>
        </w:rPr>
        <w:t>1</w:t>
      </w:r>
      <w:r>
        <w:rPr>
          <w:vertAlign w:val="baseline"/>
        </w:rPr>
        <w:t>Rayane Ferreira da Costa, </w:t>
      </w:r>
      <w:r>
        <w:rPr>
          <w:vertAlign w:val="superscript"/>
        </w:rPr>
        <w:t>1</w:t>
      </w:r>
      <w:r>
        <w:rPr>
          <w:vertAlign w:val="baseline"/>
        </w:rPr>
        <w:t>Bernardo Bruno Dias Baracho</w:t>
      </w:r>
    </w:p>
    <w:p>
      <w:pPr>
        <w:spacing w:line="242" w:lineRule="auto" w:before="250"/>
        <w:ind w:left="1399" w:right="0" w:firstLine="175"/>
        <w:jc w:val="left"/>
        <w:rPr>
          <w:i/>
          <w:sz w:val="24"/>
        </w:rPr>
      </w:pPr>
      <w:bookmarkStart w:name=" 1Departamento de Ciências Atmosféricas " w:id="3"/>
      <w:bookmarkEnd w:id="3"/>
      <w:r>
        <w:rPr/>
      </w:r>
      <w:r>
        <w:rPr>
          <w:i/>
          <w:sz w:val="24"/>
          <w:vertAlign w:val="superscript"/>
        </w:rPr>
        <w:t>1</w:t>
      </w:r>
      <w:r>
        <w:rPr>
          <w:i/>
          <w:sz w:val="24"/>
          <w:vertAlign w:val="baseline"/>
        </w:rPr>
        <w:t>Departamento de Ciências Atmosféricas e Climáticas (UFRN), </w:t>
      </w:r>
      <w:hyperlink r:id="rId7">
        <w:r>
          <w:rPr>
            <w:i/>
            <w:spacing w:val="-2"/>
            <w:sz w:val="24"/>
            <w:vertAlign w:val="baseline"/>
          </w:rPr>
          <w:t>ester.moura.143@ufrn.edu.br</w:t>
        </w:r>
      </w:hyperlink>
      <w:r>
        <w:rPr>
          <w:i/>
          <w:spacing w:val="-2"/>
          <w:sz w:val="24"/>
          <w:vertAlign w:val="baseline"/>
        </w:rPr>
        <w:t>; </w:t>
      </w:r>
      <w:hyperlink r:id="rId8">
        <w:r>
          <w:rPr>
            <w:i/>
            <w:spacing w:val="-2"/>
            <w:sz w:val="24"/>
            <w:vertAlign w:val="baseline"/>
          </w:rPr>
          <w:t>gabriele.almeida.092@ufrn.edu.br</w:t>
        </w:r>
      </w:hyperlink>
      <w:r>
        <w:rPr>
          <w:i/>
          <w:spacing w:val="-2"/>
          <w:sz w:val="24"/>
          <w:vertAlign w:val="baseline"/>
        </w:rPr>
        <w:t>;</w:t>
      </w:r>
    </w:p>
    <w:p>
      <w:pPr>
        <w:spacing w:line="242" w:lineRule="auto" w:before="0"/>
        <w:ind w:left="1190" w:right="750" w:hanging="588"/>
        <w:jc w:val="left"/>
        <w:rPr>
          <w:i/>
          <w:sz w:val="24"/>
        </w:rPr>
      </w:pPr>
      <w:hyperlink r:id="rId9">
        <w:r>
          <w:rPr>
            <w:i/>
            <w:sz w:val="24"/>
          </w:rPr>
          <w:t>rayane.ferreira.130@ufrn.edu.br</w:t>
        </w:r>
      </w:hyperlink>
      <w:r>
        <w:rPr>
          <w:i/>
          <w:sz w:val="24"/>
        </w:rPr>
        <w:t>;</w:t>
      </w:r>
      <w:r>
        <w:rPr>
          <w:i/>
          <w:spacing w:val="-15"/>
          <w:sz w:val="24"/>
        </w:rPr>
        <w:t> </w:t>
      </w:r>
      <w:hyperlink r:id="rId10">
        <w:r>
          <w:rPr>
            <w:i/>
            <w:sz w:val="24"/>
          </w:rPr>
          <w:t>bernardobdbaracho@gmail.com</w:t>
        </w:r>
      </w:hyperlink>
      <w:r>
        <w:rPr>
          <w:i/>
          <w:sz w:val="24"/>
        </w:rPr>
        <w:t>;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²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Programa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de Pós-Graduação em Ciências Climáticas (UFRN), </w:t>
      </w:r>
      <w:hyperlink r:id="rId11">
        <w:r>
          <w:rPr>
            <w:i/>
            <w:sz w:val="24"/>
          </w:rPr>
          <w:t>pedro.mutti@ufrn.br</w:t>
        </w:r>
      </w:hyperlink>
    </w:p>
    <w:p>
      <w:pPr>
        <w:spacing w:line="228" w:lineRule="auto" w:before="251"/>
        <w:ind w:left="1402" w:right="364" w:firstLine="4693"/>
        <w:jc w:val="right"/>
        <w:rPr>
          <w:b/>
          <w:i/>
          <w:sz w:val="24"/>
        </w:rPr>
      </w:pPr>
      <w:r>
        <w:rPr>
          <w:b/>
          <w:i/>
          <w:sz w:val="24"/>
        </w:rPr>
        <w:t>Biodiversidade</w:t>
      </w:r>
      <w:r>
        <w:rPr>
          <w:b/>
          <w:i/>
          <w:spacing w:val="-17"/>
          <w:sz w:val="24"/>
        </w:rPr>
        <w:t> </w:t>
      </w:r>
      <w:r>
        <w:rPr>
          <w:b/>
          <w:i/>
          <w:sz w:val="24"/>
        </w:rPr>
        <w:t>e</w:t>
      </w:r>
      <w:r>
        <w:rPr>
          <w:b/>
          <w:i/>
          <w:spacing w:val="-15"/>
          <w:sz w:val="24"/>
        </w:rPr>
        <w:t> </w:t>
      </w:r>
      <w:r>
        <w:rPr>
          <w:b/>
          <w:i/>
          <w:sz w:val="24"/>
        </w:rPr>
        <w:t>Preservação Resiliência dos ecossistemas naturais frente aos extremos climáticos e uso </w:t>
      </w:r>
      <w:r>
        <w:rPr>
          <w:b/>
          <w:i/>
          <w:spacing w:val="-5"/>
          <w:sz w:val="24"/>
        </w:rPr>
        <w:t>de</w:t>
      </w:r>
    </w:p>
    <w:p>
      <w:pPr>
        <w:spacing w:line="265" w:lineRule="exact" w:before="0"/>
        <w:ind w:left="0" w:right="364" w:firstLine="0"/>
        <w:jc w:val="right"/>
        <w:rPr>
          <w:b/>
          <w:i/>
          <w:sz w:val="24"/>
        </w:rPr>
      </w:pPr>
      <w:r>
        <w:rPr>
          <w:b/>
          <w:i/>
          <w:sz w:val="24"/>
        </w:rPr>
        <w:t>Inteligência Artificial para </w:t>
      </w:r>
      <w:r>
        <w:rPr>
          <w:b/>
          <w:i/>
          <w:spacing w:val="-2"/>
          <w:sz w:val="24"/>
        </w:rPr>
        <w:t>conservação</w:t>
      </w:r>
    </w:p>
    <w:p>
      <w:pPr>
        <w:pStyle w:val="Heading2"/>
        <w:spacing w:before="247"/>
        <w:ind w:left="0" w:right="148"/>
        <w:jc w:val="center"/>
      </w:pPr>
      <w:r>
        <w:rPr>
          <w:spacing w:val="-2"/>
        </w:rPr>
        <w:t>Resumo</w:t>
      </w:r>
    </w:p>
    <w:p>
      <w:pPr>
        <w:pStyle w:val="BodyText"/>
        <w:spacing w:line="360" w:lineRule="auto" w:before="259"/>
        <w:ind w:left="142" w:right="155"/>
        <w:jc w:val="both"/>
      </w:pPr>
      <w:r>
        <w:rPr/>
        <w:t>A Caatinga é um dos biomas brasileiros mais sensíveis à variabilidade climática, </w:t>
      </w:r>
      <w:r>
        <w:rPr/>
        <w:t>sendo fortemente influenciada pela disponibilidade hídrica. Este estudo avaliou os efeitos da Mega Seca (2012–2017) sobre a dinâmica fenológica da vegetação da Floresta Nacional de Açu (RN), buscando identificar possíveis efeitos de legado após o evento extremo. Foram utilizados dados do Índice de Vegetação por Diferença Normalizada (NDVI), derivados do MODIS, e</w:t>
      </w:r>
      <w:r>
        <w:rPr>
          <w:spacing w:val="-2"/>
        </w:rPr>
        <w:t> </w:t>
      </w:r>
      <w:r>
        <w:rPr/>
        <w:t>precipitação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CHIRPS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período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2005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2024.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séries</w:t>
      </w:r>
      <w:r>
        <w:rPr>
          <w:spacing w:val="-2"/>
        </w:rPr>
        <w:t> </w:t>
      </w:r>
      <w:r>
        <w:rPr/>
        <w:t>temporais</w:t>
      </w:r>
      <w:r>
        <w:rPr>
          <w:spacing w:val="-2"/>
        </w:rPr>
        <w:t> </w:t>
      </w:r>
      <w:r>
        <w:rPr/>
        <w:t>foram suavizadas pelo filtro Savitzky-Golay e as métricas fenológicas extraídas a partir do ano fenológico (1º de novembro a 31 de outubro). No período Pré-seca, o início do brotamento (SOG) ocorreu, em média, aos 49,6 dias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ano</w:t>
      </w:r>
      <w:r>
        <w:rPr>
          <w:spacing w:val="-3"/>
        </w:rPr>
        <w:t> </w:t>
      </w:r>
      <w:r>
        <w:rPr/>
        <w:t>fenológico,</w:t>
      </w:r>
      <w:r>
        <w:rPr>
          <w:spacing w:val="-3"/>
        </w:rPr>
        <w:t> </w:t>
      </w:r>
      <w:r>
        <w:rPr/>
        <w:t>enquanto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duração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estação</w:t>
      </w:r>
      <w:r>
        <w:rPr>
          <w:spacing w:val="-3"/>
        </w:rPr>
        <w:t> </w:t>
      </w:r>
      <w:r>
        <w:rPr/>
        <w:t>de crescimento (LOS) foi de 295,8 dias. Durante a</w:t>
      </w:r>
      <w:r>
        <w:rPr>
          <w:spacing w:val="-2"/>
        </w:rPr>
        <w:t> </w:t>
      </w:r>
      <w:r>
        <w:rPr/>
        <w:t>Mega</w:t>
      </w:r>
      <w:r>
        <w:rPr>
          <w:spacing w:val="-2"/>
        </w:rPr>
        <w:t> </w:t>
      </w:r>
      <w:r>
        <w:rPr/>
        <w:t>Seca,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SOG</w:t>
      </w:r>
      <w:r>
        <w:rPr>
          <w:spacing w:val="-2"/>
        </w:rPr>
        <w:t> </w:t>
      </w:r>
      <w:r>
        <w:rPr/>
        <w:t>atrasou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50,8</w:t>
      </w:r>
      <w:r>
        <w:rPr>
          <w:spacing w:val="-2"/>
        </w:rPr>
        <w:t> </w:t>
      </w:r>
      <w:r>
        <w:rPr/>
        <w:t>dias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o LOS reduziu para 261,8 dias. No Pós-seca, o SOG foi antecipado para 23,5 dias e o LOS recuperou-se parcialmente (288,2 dias); entretanto,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Estação</w:t>
      </w:r>
      <w:r>
        <w:rPr>
          <w:spacing w:val="-3"/>
        </w:rPr>
        <w:t> </w:t>
      </w:r>
      <w:r>
        <w:rPr/>
        <w:t>Cheia</w:t>
      </w:r>
      <w:r>
        <w:rPr>
          <w:spacing w:val="-3"/>
        </w:rPr>
        <w:t> </w:t>
      </w:r>
      <w:r>
        <w:rPr/>
        <w:t>reduziu-se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93,4</w:t>
      </w:r>
      <w:r>
        <w:rPr>
          <w:spacing w:val="-3"/>
        </w:rPr>
        <w:t> </w:t>
      </w:r>
      <w:r>
        <w:rPr/>
        <w:t>dias, o menor valor da série. Os resultados indicam que a Mega Seca promoveu alterações persistentes na dinâmica fenológica da vegetação, sugerindo possíveis efeitos de legado associados ao estresse hídrico prolongado.</w:t>
      </w:r>
    </w:p>
    <w:p>
      <w:pPr>
        <w:pStyle w:val="BodyText"/>
        <w:ind w:left="142"/>
        <w:jc w:val="both"/>
      </w:pPr>
      <w:r>
        <w:rPr>
          <w:b/>
        </w:rPr>
        <w:t>Palavras-chave: </w:t>
      </w:r>
      <w:r>
        <w:rPr/>
        <w:t>Caatinga; Extremos climáticos; NDVI; Precipitação; Sensoriamento </w:t>
      </w:r>
      <w:r>
        <w:rPr>
          <w:spacing w:val="-2"/>
        </w:rPr>
        <w:t>remoto.</w:t>
      </w:r>
    </w:p>
    <w:p>
      <w:pPr>
        <w:pStyle w:val="BodyText"/>
        <w:spacing w:before="184"/>
      </w:pPr>
    </w:p>
    <w:p>
      <w:pPr>
        <w:pStyle w:val="Heading2"/>
        <w:spacing w:before="0"/>
      </w:pPr>
      <w:r>
        <w:rPr>
          <w:spacing w:val="-2"/>
        </w:rPr>
        <w:t>Introdução</w:t>
      </w:r>
    </w:p>
    <w:p>
      <w:pPr>
        <w:pStyle w:val="BodyText"/>
        <w:spacing w:before="1"/>
        <w:rPr>
          <w:b/>
          <w:sz w:val="28"/>
        </w:rPr>
      </w:pPr>
    </w:p>
    <w:p>
      <w:pPr>
        <w:pStyle w:val="BodyText"/>
        <w:spacing w:line="360" w:lineRule="auto"/>
        <w:ind w:left="142" w:right="147" w:firstLine="720"/>
      </w:pPr>
      <w:r>
        <w:rPr/>
        <w:t>A Caatinga é um bioma exclusivamente brasileiro, cujas espécies</w:t>
      </w:r>
      <w:r>
        <w:rPr>
          <w:spacing w:val="-3"/>
        </w:rPr>
        <w:t> </w:t>
      </w:r>
      <w:r>
        <w:rPr/>
        <w:t>apresentam</w:t>
      </w:r>
      <w:r>
        <w:rPr>
          <w:spacing w:val="-3"/>
        </w:rPr>
        <w:t> </w:t>
      </w:r>
      <w:r>
        <w:rPr/>
        <w:t>elevada adaptação</w:t>
      </w:r>
      <w:r>
        <w:rPr>
          <w:spacing w:val="30"/>
        </w:rPr>
        <w:t> </w:t>
      </w:r>
      <w:r>
        <w:rPr/>
        <w:t>fisiológica</w:t>
      </w:r>
      <w:r>
        <w:rPr>
          <w:spacing w:val="30"/>
        </w:rPr>
        <w:t> </w:t>
      </w:r>
      <w:r>
        <w:rPr/>
        <w:t>e</w:t>
      </w:r>
      <w:r>
        <w:rPr>
          <w:spacing w:val="15"/>
        </w:rPr>
        <w:t> </w:t>
      </w:r>
      <w:r>
        <w:rPr/>
        <w:t>fenológica</w:t>
      </w:r>
      <w:r>
        <w:rPr>
          <w:spacing w:val="15"/>
        </w:rPr>
        <w:t> </w:t>
      </w:r>
      <w:r>
        <w:rPr/>
        <w:t>à</w:t>
      </w:r>
      <w:r>
        <w:rPr>
          <w:spacing w:val="15"/>
        </w:rPr>
        <w:t> </w:t>
      </w:r>
      <w:r>
        <w:rPr/>
        <w:t>variabilidade</w:t>
      </w:r>
      <w:r>
        <w:rPr>
          <w:spacing w:val="15"/>
        </w:rPr>
        <w:t> </w:t>
      </w:r>
      <w:r>
        <w:rPr/>
        <w:t>pluviométrica</w:t>
      </w:r>
      <w:r>
        <w:rPr>
          <w:spacing w:val="15"/>
        </w:rPr>
        <w:t> </w:t>
      </w:r>
      <w:r>
        <w:rPr/>
        <w:t>do</w:t>
      </w:r>
      <w:r>
        <w:rPr>
          <w:spacing w:val="15"/>
        </w:rPr>
        <w:t> </w:t>
      </w:r>
      <w:r>
        <w:rPr/>
        <w:t>semiárido.</w:t>
      </w:r>
      <w:r>
        <w:rPr>
          <w:spacing w:val="15"/>
        </w:rPr>
        <w:t> </w:t>
      </w:r>
      <w:r>
        <w:rPr/>
        <w:t>Entretanto,</w:t>
      </w:r>
      <w:r>
        <w:rPr>
          <w:spacing w:val="15"/>
        </w:rPr>
        <w:t> </w:t>
      </w:r>
      <w:r>
        <w:rPr>
          <w:spacing w:val="-5"/>
        </w:rPr>
        <w:t>as</w:t>
      </w:r>
    </w:p>
    <w:p>
      <w:pPr>
        <w:pStyle w:val="BodyText"/>
        <w:spacing w:after="0" w:line="360" w:lineRule="auto"/>
        <w:sectPr>
          <w:type w:val="continuous"/>
          <w:pgSz w:w="11920" w:h="16840"/>
          <w:pgMar w:top="0" w:bottom="280" w:left="1559" w:right="992"/>
        </w:sectPr>
      </w:pPr>
    </w:p>
    <w:p>
      <w:pPr>
        <w:pStyle w:val="BodyText"/>
        <w:spacing w:line="360" w:lineRule="auto" w:before="21"/>
        <w:ind w:left="142" w:right="155"/>
        <w:jc w:val="both"/>
      </w:pPr>
      <w:r>
        <w:rPr/>
        <w:t>mudanças climáticas têm aumentado a frequência e a intensidade de eventos </w:t>
      </w:r>
      <w:r>
        <w:rPr/>
        <w:t>extremos, incluindo secas mais severas (IPCC, 2023). Entre 2012 e 2017, o Nordeste brasileiro</w:t>
      </w:r>
      <w:r>
        <w:rPr>
          <w:spacing w:val="40"/>
        </w:rPr>
        <w:t> </w:t>
      </w:r>
      <w:r>
        <w:rPr/>
        <w:t>enfrentou a Mega Seca, um dos eventos mais intensos e prolongados das últimas décadas, caracterizado por déficit de precipitação e impactos sobre a disponibilidade hídrica e a dinâmica dos ecossistemas semiáridos (Marengo et al., 2018; Brito et al., 2018). Estudos indicam que os impactos de secas severas podem persistir mesmo após o fim do evento, fenômeno conhecido como efeito de legado da seca (drought legacy), em que o estresse hídrico continua influenciando a dinâmica da vegetação nos anos subsequentes (Anderegg et al., 2015). Além disso, a disponibilidade de água é o principal fator controlador da produtividade e da dinâmica fenológica em ecossistemas secos, tornando a Caatinga</w:t>
      </w:r>
      <w:r>
        <w:rPr>
          <w:spacing w:val="40"/>
        </w:rPr>
        <w:t> </w:t>
      </w:r>
      <w:r>
        <w:rPr/>
        <w:t>altamente sensível à variabilidade climática (He et al., 2023). Assim, este estudo avaliou os efeitos da Mega Seca (2012–2017) sobre a dinâmica fenológica da vegetação da Floresta Nacional</w:t>
      </w:r>
      <w:r>
        <w:rPr>
          <w:spacing w:val="40"/>
        </w:rPr>
        <w:t> </w:t>
      </w:r>
      <w:r>
        <w:rPr/>
        <w:t>(FLONA)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Açu</w:t>
      </w:r>
      <w:r>
        <w:rPr>
          <w:spacing w:val="40"/>
        </w:rPr>
        <w:t> </w:t>
      </w:r>
      <w:r>
        <w:rPr/>
        <w:t>(RN),</w:t>
      </w:r>
      <w:r>
        <w:rPr>
          <w:spacing w:val="40"/>
        </w:rPr>
        <w:t> </w:t>
      </w:r>
      <w:r>
        <w:rPr/>
        <w:t>utilizando</w:t>
      </w:r>
      <w:r>
        <w:rPr>
          <w:spacing w:val="40"/>
        </w:rPr>
        <w:t> </w:t>
      </w:r>
      <w:r>
        <w:rPr/>
        <w:t>séries</w:t>
      </w:r>
      <w:r>
        <w:rPr>
          <w:spacing w:val="40"/>
        </w:rPr>
        <w:t> </w:t>
      </w:r>
      <w:r>
        <w:rPr/>
        <w:t>temporais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NDVI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precipitação (2005–2024). Os períodos de Pré-seca, Mega Seca e Pós-seca foram comparados para identificar alterações no ciclo fenológico da vegetação e investigar possíveis efeitos de</w:t>
      </w:r>
      <w:r>
        <w:rPr>
          <w:spacing w:val="80"/>
        </w:rPr>
        <w:t> </w:t>
      </w:r>
      <w:r>
        <w:rPr>
          <w:spacing w:val="-2"/>
        </w:rPr>
        <w:t>legado.</w:t>
      </w:r>
    </w:p>
    <w:p>
      <w:pPr>
        <w:pStyle w:val="BodyText"/>
        <w:spacing w:before="139"/>
      </w:pPr>
    </w:p>
    <w:p>
      <w:pPr>
        <w:pStyle w:val="Heading2"/>
      </w:pPr>
      <w:r>
        <w:rPr>
          <w:spacing w:val="-2"/>
        </w:rPr>
        <w:t>Metodologia</w:t>
      </w:r>
    </w:p>
    <w:p>
      <w:pPr>
        <w:pStyle w:val="BodyText"/>
        <w:spacing w:line="360" w:lineRule="auto" w:before="162"/>
        <w:ind w:left="142" w:right="159" w:firstLine="720"/>
        <w:jc w:val="both"/>
      </w:pPr>
      <w:r>
        <w:rPr/>
        <w:t>A presente pesquisa caracteriza-se como um estudo quantitativo e </w:t>
      </w:r>
      <w:r>
        <w:rPr/>
        <w:t>exploratório, baseado na análise de séries temporais de dados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sensoriamento</w:t>
      </w:r>
      <w:r>
        <w:rPr>
          <w:spacing w:val="-3"/>
        </w:rPr>
        <w:t> </w:t>
      </w:r>
      <w:r>
        <w:rPr/>
        <w:t>remoto.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área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estudo</w:t>
      </w:r>
      <w:r>
        <w:rPr>
          <w:spacing w:val="-3"/>
        </w:rPr>
        <w:t> </w:t>
      </w:r>
      <w:r>
        <w:rPr/>
        <w:t>é</w:t>
      </w:r>
      <w:r>
        <w:rPr>
          <w:spacing w:val="40"/>
        </w:rPr>
        <w:t> </w:t>
      </w:r>
      <w:r>
        <w:rPr/>
        <w:t>a Floresta Nacional (FLONA) de Açu, uma Unidade de Conservação com aproximadamente 225 ha, localizada no município de Açu, Rio Grande do Norte, inserida no bioma Caatinga.</w:t>
      </w:r>
    </w:p>
    <w:p>
      <w:pPr>
        <w:spacing w:line="360" w:lineRule="auto" w:before="1"/>
        <w:ind w:left="4408" w:right="0" w:hanging="4087"/>
        <w:jc w:val="left"/>
        <w:rPr>
          <w:b/>
          <w:sz w:val="20"/>
        </w:rPr>
      </w:pPr>
      <w:r>
        <w:rPr>
          <w:b/>
          <w:sz w:val="20"/>
        </w:rPr>
        <w:t>Figura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–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Mapa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localização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área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estudo: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Floresta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Nacional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(FLONA)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Açu,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Rio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Grande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do </w:t>
      </w:r>
      <w:r>
        <w:rPr>
          <w:b/>
          <w:spacing w:val="-2"/>
          <w:sz w:val="20"/>
        </w:rPr>
        <w:t>Norte.</w:t>
      </w:r>
    </w:p>
    <w:p>
      <w:pPr>
        <w:pStyle w:val="BodyText"/>
        <w:spacing w:before="10"/>
        <w:rPr>
          <w:b/>
          <w:sz w:val="10"/>
        </w:rPr>
      </w:pPr>
      <w:r>
        <w:rPr>
          <w:b/>
          <w:sz w:val="1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2503023</wp:posOffset>
            </wp:positionH>
            <wp:positionV relativeFrom="paragraph">
              <wp:posOffset>94711</wp:posOffset>
            </wp:positionV>
            <wp:extent cx="3171018" cy="2124456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1018" cy="2124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9"/>
        <w:ind w:left="391" w:right="0" w:firstLine="0"/>
        <w:jc w:val="left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Autora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(2026)</w:t>
      </w:r>
    </w:p>
    <w:p>
      <w:pPr>
        <w:spacing w:after="0"/>
        <w:jc w:val="left"/>
        <w:rPr>
          <w:b/>
          <w:sz w:val="20"/>
        </w:rPr>
        <w:sectPr>
          <w:headerReference w:type="default" r:id="rId12"/>
          <w:pgSz w:w="11920" w:h="16840"/>
          <w:pgMar w:header="0" w:footer="0" w:top="1680" w:bottom="280" w:left="1559" w:right="992"/>
        </w:sectPr>
      </w:pPr>
    </w:p>
    <w:p>
      <w:pPr>
        <w:pStyle w:val="BodyText"/>
        <w:spacing w:line="360" w:lineRule="auto" w:before="21"/>
        <w:ind w:left="142" w:right="154" w:firstLine="720"/>
        <w:jc w:val="both"/>
      </w:pPr>
      <w:r>
        <w:rPr/>
        <w:t>A dinâmica fenológica foi avaliada utilizando o Índice de Vegetação por Diferença Normalizada (NDVI) do produto MOD13Q1 do sensor MODIS, com resolução espacial de 250 m e</w:t>
      </w:r>
      <w:r>
        <w:rPr>
          <w:spacing w:val="-2"/>
        </w:rPr>
        <w:t> </w:t>
      </w:r>
      <w:r>
        <w:rPr/>
        <w:t>temporal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16</w:t>
      </w:r>
      <w:r>
        <w:rPr>
          <w:spacing w:val="-2"/>
        </w:rPr>
        <w:t> </w:t>
      </w:r>
      <w:r>
        <w:rPr/>
        <w:t>dias</w:t>
      </w:r>
      <w:r>
        <w:rPr>
          <w:spacing w:val="-2"/>
        </w:rPr>
        <w:t> </w:t>
      </w:r>
      <w:r>
        <w:rPr/>
        <w:t>(Didan,</w:t>
      </w:r>
      <w:r>
        <w:rPr>
          <w:spacing w:val="-2"/>
        </w:rPr>
        <w:t> </w:t>
      </w:r>
      <w:r>
        <w:rPr/>
        <w:t>2021).</w:t>
      </w:r>
      <w:r>
        <w:rPr>
          <w:spacing w:val="-2"/>
        </w:rPr>
        <w:t> </w:t>
      </w:r>
      <w:r>
        <w:rPr/>
        <w:t>Foram</w:t>
      </w:r>
      <w:r>
        <w:rPr>
          <w:spacing w:val="-2"/>
        </w:rPr>
        <w:t> </w:t>
      </w:r>
      <w:r>
        <w:rPr/>
        <w:t>utilizados</w:t>
      </w:r>
      <w:r>
        <w:rPr>
          <w:spacing w:val="-2"/>
        </w:rPr>
        <w:t> </w:t>
      </w:r>
      <w:r>
        <w:rPr/>
        <w:t>dados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2005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2024,</w:t>
      </w:r>
      <w:r>
        <w:rPr>
          <w:spacing w:val="-2"/>
        </w:rPr>
        <w:t> </w:t>
      </w:r>
      <w:r>
        <w:rPr/>
        <w:t>divididos em Pré-seca (2005–2011), Mega Seca (2012–2017) e Pós-seca (2018–2024), enquanto </w:t>
      </w:r>
      <w:r>
        <w:rPr/>
        <w:t>a precipitação mensal foi obtida do conjunto CHIRPS (Funk</w:t>
      </w:r>
      <w:r>
        <w:rPr>
          <w:spacing w:val="-3"/>
        </w:rPr>
        <w:t> </w:t>
      </w:r>
      <w:r>
        <w:rPr>
          <w:i/>
        </w:rPr>
        <w:t>et</w:t>
      </w:r>
      <w:r>
        <w:rPr>
          <w:i/>
          <w:spacing w:val="-3"/>
        </w:rPr>
        <w:t> </w:t>
      </w:r>
      <w:r>
        <w:rPr>
          <w:i/>
        </w:rPr>
        <w:t>al.</w:t>
      </w:r>
      <w:r>
        <w:rPr/>
        <w:t>,</w:t>
      </w:r>
      <w:r>
        <w:rPr>
          <w:spacing w:val="-3"/>
        </w:rPr>
        <w:t> </w:t>
      </w:r>
      <w:r>
        <w:rPr/>
        <w:t>2015).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processamento</w:t>
      </w:r>
      <w:r>
        <w:rPr>
          <w:spacing w:val="-3"/>
        </w:rPr>
        <w:t> </w:t>
      </w:r>
      <w:r>
        <w:rPr/>
        <w:t>foi realizado em Python e R, organizando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dados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anos</w:t>
      </w:r>
      <w:r>
        <w:rPr>
          <w:spacing w:val="-3"/>
        </w:rPr>
        <w:t> </w:t>
      </w:r>
      <w:r>
        <w:rPr/>
        <w:t>fenológicos</w:t>
      </w:r>
      <w:r>
        <w:rPr>
          <w:spacing w:val="-3"/>
        </w:rPr>
        <w:t> </w:t>
      </w:r>
      <w:r>
        <w:rPr/>
        <w:t>(1º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novembro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31</w:t>
      </w:r>
      <w:r>
        <w:rPr>
          <w:spacing w:val="-3"/>
        </w:rPr>
        <w:t> </w:t>
      </w:r>
      <w:r>
        <w:rPr/>
        <w:t>de outubro). Para reduzir ruídos atmosféricos, aplicou-se o filtro Savitzky-Golay (Savitzky; Golay, 1964), seguido da interpolação diária das séries. As métricas fenológicas foram extraídas pelo método de limiares relativos à amplitude anual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curva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NDVI</w:t>
      </w:r>
      <w:r>
        <w:rPr>
          <w:spacing w:val="-3"/>
        </w:rPr>
        <w:t> </w:t>
      </w:r>
      <w:r>
        <w:rPr/>
        <w:t>(Zeng</w:t>
      </w:r>
      <w:r>
        <w:rPr>
          <w:spacing w:val="-3"/>
        </w:rPr>
        <w:t> </w:t>
      </w:r>
      <w:r>
        <w:rPr>
          <w:i/>
        </w:rPr>
        <w:t>et</w:t>
      </w:r>
      <w:r>
        <w:rPr>
          <w:i/>
          <w:spacing w:val="-3"/>
        </w:rPr>
        <w:t> </w:t>
      </w:r>
      <w:r>
        <w:rPr>
          <w:i/>
        </w:rPr>
        <w:t>al.</w:t>
      </w:r>
      <w:r>
        <w:rPr/>
        <w:t>, 2020), utilizando limiares de</w:t>
      </w:r>
      <w:r>
        <w:rPr>
          <w:spacing w:val="-2"/>
        </w:rPr>
        <w:t> </w:t>
      </w:r>
      <w:r>
        <w:rPr/>
        <w:t>10%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85%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identificar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início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brotamento</w:t>
      </w:r>
      <w:r>
        <w:rPr>
          <w:spacing w:val="-2"/>
        </w:rPr>
        <w:t> </w:t>
      </w:r>
      <w:r>
        <w:rPr/>
        <w:t>(SOG),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fim do brotamento (EOG), o início da senescência (SOSc) e o fim da senescência (EOSc). A Estação Cheia correspondeu ao intervalo entre EOG e SOSc, enquanto o comprimento da estação de crescimento (LOS) foi definido pelo intervalo entre SOG e EOSc. Por fim, as métricas foram agrupadas nos períodos de Pré-seca, Mega Seca e Pós-seca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comparadas</w:t>
      </w:r>
      <w:r>
        <w:rPr>
          <w:spacing w:val="-3"/>
        </w:rPr>
        <w:t> </w:t>
      </w:r>
      <w:r>
        <w:rPr/>
        <w:t>por meio de estatística descritiva, utilizando as médias anuais de cada variável.</w:t>
      </w:r>
    </w:p>
    <w:p>
      <w:pPr>
        <w:pStyle w:val="BodyText"/>
        <w:spacing w:before="139"/>
      </w:pPr>
    </w:p>
    <w:p>
      <w:pPr>
        <w:pStyle w:val="Heading2"/>
        <w:jc w:val="both"/>
      </w:pPr>
      <w:r>
        <w:rPr/>
        <w:t>Resultados</w:t>
      </w:r>
      <w:r>
        <w:rPr>
          <w:spacing w:val="-6"/>
        </w:rPr>
        <w:t> </w:t>
      </w:r>
      <w:r>
        <w:rPr/>
        <w:t>e</w:t>
      </w:r>
      <w:r>
        <w:rPr>
          <w:spacing w:val="-5"/>
        </w:rPr>
        <w:t> </w:t>
      </w:r>
      <w:r>
        <w:rPr>
          <w:spacing w:val="-2"/>
        </w:rPr>
        <w:t>Discussão</w:t>
      </w:r>
    </w:p>
    <w:p>
      <w:pPr>
        <w:pStyle w:val="BodyText"/>
        <w:spacing w:line="360" w:lineRule="auto" w:before="162"/>
        <w:ind w:left="142" w:right="155" w:firstLine="720"/>
        <w:jc w:val="both"/>
      </w:pPr>
      <w:r>
        <w:rPr/>
        <w:t>O regime pluviométrico da FLONA de Açu apresentou elevada </w:t>
      </w:r>
      <w:r>
        <w:rPr/>
        <w:t>variabilidade interanual entre 2005 e 2024, com predominância de</w:t>
      </w:r>
      <w:r>
        <w:rPr>
          <w:spacing w:val="-3"/>
        </w:rPr>
        <w:t> </w:t>
      </w:r>
      <w:r>
        <w:rPr/>
        <w:t>anomalias</w:t>
      </w:r>
      <w:r>
        <w:rPr>
          <w:spacing w:val="-3"/>
        </w:rPr>
        <w:t> </w:t>
      </w:r>
      <w:r>
        <w:rPr/>
        <w:t>positivas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período</w:t>
      </w:r>
      <w:r>
        <w:rPr>
          <w:spacing w:val="-3"/>
        </w:rPr>
        <w:t> </w:t>
      </w:r>
      <w:r>
        <w:rPr/>
        <w:t>Pré-seca (2005–2011), seguida por sucessivos anos de déficit hídrico entre 2012 e 2017 (Figura 2). </w:t>
      </w:r>
      <w:r>
        <w:rPr/>
        <w:t>O maior déficit ocorreu em 2012, permanecendo anomalias negativas até</w:t>
      </w:r>
      <w:r>
        <w:rPr>
          <w:spacing w:val="-3"/>
        </w:rPr>
        <w:t> </w:t>
      </w:r>
      <w:r>
        <w:rPr/>
        <w:t>2017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caracterizando um período prolongado de escassez hídrica. No Pós-seca, as anomalias voltaram a ser positivas, indicando recuperação parcial das condições climáticas. Em média, a </w:t>
      </w:r>
      <w:r>
        <w:rPr/>
        <w:t>precipitação passou de 125,9 mm na Pré-seca para −232,5 mm durante a Mega Seca, retornando a </w:t>
      </w:r>
      <w:r>
        <w:rPr/>
        <w:t>73,4</w:t>
      </w:r>
      <w:r>
        <w:rPr>
          <w:spacing w:val="40"/>
        </w:rPr>
        <w:t> </w:t>
      </w:r>
      <w:r>
        <w:rPr/>
        <w:t>mm no Pós-seca. Embora essa recuperação tenha ocorrido sob anomalias </w:t>
      </w:r>
      <w:r>
        <w:rPr/>
        <w:t>pluviométricas inferiores às</w:t>
      </w:r>
      <w:r>
        <w:rPr>
          <w:spacing w:val="-3"/>
        </w:rPr>
        <w:t> </w:t>
      </w:r>
      <w:r>
        <w:rPr/>
        <w:t>observadas</w:t>
      </w:r>
      <w:r>
        <w:rPr>
          <w:spacing w:val="-3"/>
        </w:rPr>
        <w:t> </w:t>
      </w:r>
      <w:r>
        <w:rPr/>
        <w:t>antes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2012,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resposta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vegetação</w:t>
      </w:r>
      <w:r>
        <w:rPr>
          <w:spacing w:val="-3"/>
        </w:rPr>
        <w:t> </w:t>
      </w:r>
      <w:r>
        <w:rPr/>
        <w:t>foi</w:t>
      </w:r>
      <w:r>
        <w:rPr>
          <w:spacing w:val="-3"/>
        </w:rPr>
        <w:t> </w:t>
      </w:r>
      <w:r>
        <w:rPr/>
        <w:t>mais</w:t>
      </w:r>
      <w:r>
        <w:rPr>
          <w:spacing w:val="-3"/>
        </w:rPr>
        <w:t> </w:t>
      </w:r>
      <w:r>
        <w:rPr/>
        <w:t>expressiva,</w:t>
      </w:r>
      <w:r>
        <w:rPr>
          <w:spacing w:val="-3"/>
        </w:rPr>
        <w:t> </w:t>
      </w:r>
      <w:r>
        <w:rPr/>
        <w:t>indicando recuperação parcial mesmo sem o restabelecimento completo das condições climáticas anteriores. Esse comportamento é consistente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Marengo</w:t>
      </w:r>
      <w:r>
        <w:rPr>
          <w:spacing w:val="-2"/>
        </w:rPr>
        <w:t> </w:t>
      </w:r>
      <w:r>
        <w:rPr/>
        <w:t>et</w:t>
      </w:r>
      <w:r>
        <w:rPr>
          <w:spacing w:val="-2"/>
        </w:rPr>
        <w:t> </w:t>
      </w:r>
      <w:r>
        <w:rPr/>
        <w:t>al.</w:t>
      </w:r>
      <w:r>
        <w:rPr>
          <w:spacing w:val="-2"/>
        </w:rPr>
        <w:t> </w:t>
      </w:r>
      <w:r>
        <w:rPr/>
        <w:t>(2018)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Brito</w:t>
      </w:r>
      <w:r>
        <w:rPr>
          <w:spacing w:val="-2"/>
        </w:rPr>
        <w:t> </w:t>
      </w:r>
      <w:r>
        <w:rPr/>
        <w:t>et</w:t>
      </w:r>
      <w:r>
        <w:rPr>
          <w:spacing w:val="-2"/>
        </w:rPr>
        <w:t> </w:t>
      </w:r>
      <w:r>
        <w:rPr/>
        <w:t>al.</w:t>
      </w:r>
      <w:r>
        <w:rPr>
          <w:spacing w:val="-2"/>
        </w:rPr>
        <w:t> </w:t>
      </w:r>
      <w:r>
        <w:rPr/>
        <w:t>(2018), que caracterizam a seca de 2012–2017 como o evento mais intenso e persistente das últimas décadas no Nordeste brasileiro.</w:t>
      </w:r>
    </w:p>
    <w:p>
      <w:pPr>
        <w:pStyle w:val="BodyText"/>
        <w:spacing w:after="0" w:line="360" w:lineRule="auto"/>
        <w:jc w:val="both"/>
        <w:sectPr>
          <w:pgSz w:w="11920" w:h="16840"/>
          <w:pgMar w:header="0" w:footer="0" w:top="1680" w:bottom="280" w:left="1559" w:right="992"/>
        </w:sectPr>
      </w:pPr>
    </w:p>
    <w:p>
      <w:pPr>
        <w:spacing w:before="21"/>
        <w:ind w:left="136" w:right="148" w:firstLine="0"/>
        <w:jc w:val="center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2300193</wp:posOffset>
            </wp:positionH>
            <wp:positionV relativeFrom="paragraph">
              <wp:posOffset>282399</wp:posOffset>
            </wp:positionV>
            <wp:extent cx="3514412" cy="1413121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4412" cy="1413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Figura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2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–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Anomalias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anuais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precipitação.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29"/>
        <w:rPr>
          <w:b/>
          <w:sz w:val="20"/>
        </w:rPr>
      </w:pPr>
    </w:p>
    <w:p>
      <w:pPr>
        <w:spacing w:before="0"/>
        <w:ind w:left="142" w:right="0" w:firstLine="0"/>
        <w:jc w:val="left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Autora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(2026)</w:t>
      </w: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</w:rPr>
      </w:pPr>
    </w:p>
    <w:p>
      <w:pPr>
        <w:pStyle w:val="BodyText"/>
        <w:spacing w:line="360" w:lineRule="auto"/>
        <w:ind w:left="142" w:right="154" w:firstLine="720"/>
        <w:jc w:val="both"/>
      </w:pPr>
      <w:r>
        <w:rPr/>
        <w:t>A resposta da vegetação acompanhou essa variabilidade climática. A</w:t>
      </w:r>
      <w:r>
        <w:rPr>
          <w:spacing w:val="-2"/>
        </w:rPr>
        <w:t> </w:t>
      </w:r>
      <w:r>
        <w:rPr/>
        <w:t>correlação</w:t>
      </w:r>
      <w:r>
        <w:rPr>
          <w:spacing w:val="-2"/>
        </w:rPr>
        <w:t> </w:t>
      </w:r>
      <w:r>
        <w:rPr/>
        <w:t>entre as anomalias anuais de precipitação e NDVI apresentou coeficiente de Pearson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0,725</w:t>
      </w:r>
      <w:r>
        <w:rPr>
          <w:spacing w:val="-2"/>
        </w:rPr>
        <w:t> </w:t>
      </w:r>
      <w:r>
        <w:rPr/>
        <w:t>(</w:t>
      </w:r>
      <w:r>
        <w:rPr>
          <w:i/>
        </w:rPr>
        <w:t>p</w:t>
      </w:r>
      <w:r>
        <w:rPr>
          <w:i/>
          <w:spacing w:val="-2"/>
        </w:rPr>
        <w:t> </w:t>
      </w:r>
      <w:r>
        <w:rPr/>
        <w:t>&lt; 0,001),</w:t>
      </w:r>
      <w:r>
        <w:rPr>
          <w:spacing w:val="-4"/>
        </w:rPr>
        <w:t> </w:t>
      </w:r>
      <w:r>
        <w:rPr/>
        <w:t>evidenciando</w:t>
      </w:r>
      <w:r>
        <w:rPr>
          <w:spacing w:val="-4"/>
        </w:rPr>
        <w:t> </w:t>
      </w:r>
      <w:r>
        <w:rPr/>
        <w:t>forte</w:t>
      </w:r>
      <w:r>
        <w:rPr>
          <w:spacing w:val="-4"/>
        </w:rPr>
        <w:t> </w:t>
      </w:r>
      <w:r>
        <w:rPr/>
        <w:t>associação</w:t>
      </w:r>
      <w:r>
        <w:rPr>
          <w:spacing w:val="-4"/>
        </w:rPr>
        <w:t> </w:t>
      </w:r>
      <w:r>
        <w:rPr/>
        <w:t>positiva</w:t>
      </w:r>
      <w:r>
        <w:rPr>
          <w:spacing w:val="-4"/>
        </w:rPr>
        <w:t> </w:t>
      </w:r>
      <w:r>
        <w:rPr/>
        <w:t>entre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variáveis</w:t>
      </w:r>
      <w:r>
        <w:rPr>
          <w:spacing w:val="-4"/>
        </w:rPr>
        <w:t> </w:t>
      </w:r>
      <w:r>
        <w:rPr/>
        <w:t>(Figura</w:t>
      </w:r>
      <w:r>
        <w:rPr>
          <w:spacing w:val="-4"/>
        </w:rPr>
        <w:t> </w:t>
      </w:r>
      <w:r>
        <w:rPr/>
        <w:t>3).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anomalia</w:t>
      </w:r>
      <w:r>
        <w:rPr>
          <w:spacing w:val="-4"/>
        </w:rPr>
        <w:t> </w:t>
      </w:r>
      <w:r>
        <w:rPr/>
        <w:t>média do NDVI reduziu de 0,019 na Pré-seca para −0,044 durante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Mega</w:t>
      </w:r>
      <w:r>
        <w:rPr>
          <w:spacing w:val="-2"/>
        </w:rPr>
        <w:t> </w:t>
      </w:r>
      <w:r>
        <w:rPr/>
        <w:t>Seca,</w:t>
      </w:r>
      <w:r>
        <w:rPr>
          <w:spacing w:val="-2"/>
        </w:rPr>
        <w:t> </w:t>
      </w:r>
      <w:r>
        <w:rPr/>
        <w:t>retornando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0,019 no Pós-seca. Esses resultados reforçam que a disponibilidade hídrica é o principal fator controlador da dinâmica da vegetação na FLONA de Açu, em concordância com He </w:t>
      </w:r>
      <w:r>
        <w:rPr>
          <w:i/>
        </w:rPr>
        <w:t>et al. </w:t>
      </w:r>
      <w:r>
        <w:rPr>
          <w:spacing w:val="-2"/>
        </w:rPr>
        <w:t>(2023).</w:t>
      </w:r>
    </w:p>
    <w:p>
      <w:pPr>
        <w:spacing w:before="1"/>
        <w:ind w:left="2041" w:right="0" w:firstLine="0"/>
        <w:jc w:val="left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2711853</wp:posOffset>
            </wp:positionH>
            <wp:positionV relativeFrom="paragraph">
              <wp:posOffset>268176</wp:posOffset>
            </wp:positionV>
            <wp:extent cx="2516785" cy="1637977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6785" cy="1637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Figura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3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Correlação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entre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anomalias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anuais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precipitação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NDVI.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9"/>
        <w:rPr>
          <w:b/>
          <w:sz w:val="20"/>
        </w:rPr>
      </w:pPr>
    </w:p>
    <w:p>
      <w:pPr>
        <w:spacing w:before="0"/>
        <w:ind w:left="241" w:right="0" w:firstLine="0"/>
        <w:jc w:val="left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Autora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(2026)</w:t>
      </w: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</w:rPr>
      </w:pPr>
    </w:p>
    <w:p>
      <w:pPr>
        <w:pStyle w:val="BodyText"/>
        <w:spacing w:line="360" w:lineRule="auto"/>
        <w:ind w:left="142" w:right="156" w:firstLine="720"/>
        <w:jc w:val="both"/>
      </w:pPr>
      <w:r>
        <w:rPr/>
        <w:t>A climatologia do NDVI evidencia os impactos da seca sobre a vegetação</w:t>
      </w:r>
      <w:r>
        <w:rPr>
          <w:spacing w:val="-3"/>
        </w:rPr>
        <w:t> </w:t>
      </w:r>
      <w:r>
        <w:rPr/>
        <w:t>(Figura</w:t>
      </w:r>
      <w:r>
        <w:rPr>
          <w:spacing w:val="-3"/>
        </w:rPr>
        <w:t> </w:t>
      </w:r>
      <w:r>
        <w:rPr/>
        <w:t>4). Embora o padrão sazonal tenha sido mantido, os valores de NDVI durante a Mega Seca permaneceram inferiores aos observados nos períodos Pré e Pós-seca, principalmente entre março e julho, quando ocorre o pico de desenvolvimento vegetativo da Caatinga. Esse comportamento indica redução do vigor vegetativo em resposta ao déficit hídrico prolongado.</w:t>
      </w:r>
    </w:p>
    <w:p>
      <w:pPr>
        <w:pStyle w:val="BodyText"/>
        <w:spacing w:after="0" w:line="360" w:lineRule="auto"/>
        <w:jc w:val="both"/>
        <w:sectPr>
          <w:pgSz w:w="11920" w:h="16840"/>
          <w:pgMar w:header="0" w:footer="0" w:top="1680" w:bottom="280" w:left="1559" w:right="992"/>
        </w:sectPr>
      </w:pPr>
    </w:p>
    <w:p>
      <w:pPr>
        <w:spacing w:before="21"/>
        <w:ind w:left="136" w:right="148" w:firstLine="0"/>
        <w:jc w:val="center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2518583</wp:posOffset>
            </wp:positionH>
            <wp:positionV relativeFrom="paragraph">
              <wp:posOffset>284092</wp:posOffset>
            </wp:positionV>
            <wp:extent cx="2823541" cy="151050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3541" cy="1510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Figura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4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Climatologia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NDVI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para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os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períodos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Pré-seca,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Mega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Seca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Pós-</w:t>
      </w:r>
      <w:r>
        <w:rPr>
          <w:b/>
          <w:spacing w:val="-2"/>
          <w:sz w:val="20"/>
        </w:rPr>
        <w:t>seca.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34"/>
        <w:rPr>
          <w:b/>
          <w:sz w:val="20"/>
        </w:rPr>
      </w:pPr>
    </w:p>
    <w:p>
      <w:pPr>
        <w:spacing w:before="0"/>
        <w:ind w:left="142" w:right="0" w:firstLine="0"/>
        <w:jc w:val="left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Autora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(2026)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3"/>
        <w:rPr>
          <w:b/>
          <w:sz w:val="20"/>
        </w:rPr>
      </w:pPr>
    </w:p>
    <w:p>
      <w:pPr>
        <w:pStyle w:val="BodyText"/>
        <w:spacing w:line="360" w:lineRule="auto"/>
        <w:ind w:left="142" w:right="154" w:firstLine="720"/>
        <w:jc w:val="both"/>
      </w:pPr>
      <w:r>
        <w:rPr/>
        <w:t>As alterações observadas no NDVI refletiram-se</w:t>
      </w:r>
      <w:r>
        <w:rPr>
          <w:spacing w:val="-3"/>
        </w:rPr>
        <w:t> </w:t>
      </w:r>
      <w:r>
        <w:rPr/>
        <w:t>na</w:t>
      </w:r>
      <w:r>
        <w:rPr>
          <w:spacing w:val="-3"/>
        </w:rPr>
        <w:t> </w:t>
      </w:r>
      <w:r>
        <w:rPr/>
        <w:t>dinâmica</w:t>
      </w:r>
      <w:r>
        <w:rPr>
          <w:spacing w:val="-3"/>
        </w:rPr>
        <w:t> </w:t>
      </w:r>
      <w:r>
        <w:rPr/>
        <w:t>fenológica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vegetação (Figura</w:t>
      </w:r>
      <w:r>
        <w:rPr>
          <w:spacing w:val="27"/>
        </w:rPr>
        <w:t> </w:t>
      </w:r>
      <w:r>
        <w:rPr/>
        <w:t>5).</w:t>
      </w:r>
      <w:r>
        <w:rPr>
          <w:spacing w:val="27"/>
        </w:rPr>
        <w:t> </w:t>
      </w:r>
      <w:r>
        <w:rPr/>
        <w:t>Embora</w:t>
      </w:r>
      <w:r>
        <w:rPr>
          <w:spacing w:val="27"/>
        </w:rPr>
        <w:t> </w:t>
      </w:r>
      <w:r>
        <w:rPr/>
        <w:t>o</w:t>
      </w:r>
      <w:r>
        <w:rPr>
          <w:spacing w:val="27"/>
        </w:rPr>
        <w:t> </w:t>
      </w:r>
      <w:r>
        <w:rPr/>
        <w:t>ciclo sazonal tenha sido preservado, a Mega Seca reduziu a </w:t>
      </w:r>
      <w:r>
        <w:rPr/>
        <w:t>amplitude da curva de NDVI e antecipou a senescência, indicando diminuição do período de máxima atividade vegetativa. No Pós-seca, observou-se antecipação do brotamento, sugerindo rápida resposta da vegetação ao retorno das chuvas. As métricas fenológicas confirmam esse comportamento (Tabela 1). O SOG sofreu pequeno atraso durante a Mega Seca (49,6 para 50,8 dias do ano fenológico), enquanto a Estação Cheia reduziu de 125,7 para 111,1 dias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o LOS de 295,8 para 261,8 dias, representando encurtamento aproximado de um mês no ciclo fenológico. No Pós-seca, o LOS recuperou-se parcialmente (288,2 dias), porém a Estação Cheia apresentou apenas 93,4 dias, o menor valor da série. Esse resultado indica que, apesar da recuperação do crescimento inicial, a vegetação passou a permanecer menos tempo em máxima atividade vegetativa, sugerindo possíveis efeitos de legado decorrentes do estresse hídrico prolongado (Anderegg et al., 2015).</w:t>
      </w:r>
    </w:p>
    <w:p>
      <w:pPr>
        <w:pStyle w:val="BodyText"/>
        <w:spacing w:before="140"/>
      </w:pPr>
    </w:p>
    <w:p>
      <w:pPr>
        <w:spacing w:before="0"/>
        <w:ind w:left="862" w:right="0" w:firstLine="0"/>
        <w:jc w:val="left"/>
        <w:rPr>
          <w:b/>
          <w:sz w:val="20"/>
        </w:rPr>
      </w:pPr>
      <w:r>
        <w:rPr>
          <w:b/>
          <w:sz w:val="20"/>
        </w:rPr>
        <w:t>Figura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5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Dinâmica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fenológica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FLONA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Açu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nos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períodos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Pré-seca,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Mega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Seca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Pós-</w:t>
      </w:r>
      <w:r>
        <w:rPr>
          <w:b/>
          <w:spacing w:val="-2"/>
          <w:sz w:val="20"/>
        </w:rPr>
        <w:t>seca.</w:t>
      </w:r>
    </w:p>
    <w:p>
      <w:pPr>
        <w:pStyle w:val="BodyText"/>
        <w:spacing w:before="8"/>
        <w:rPr>
          <w:b/>
          <w:sz w:val="14"/>
        </w:rPr>
      </w:pPr>
      <w:r>
        <w:rPr>
          <w:b/>
          <w:sz w:val="14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1580279</wp:posOffset>
            </wp:positionH>
            <wp:positionV relativeFrom="paragraph">
              <wp:posOffset>122711</wp:posOffset>
            </wp:positionV>
            <wp:extent cx="5224018" cy="1659445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4018" cy="1659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5"/>
        <w:rPr>
          <w:b/>
          <w:sz w:val="20"/>
        </w:rPr>
      </w:pPr>
    </w:p>
    <w:p>
      <w:pPr>
        <w:spacing w:before="0"/>
        <w:ind w:left="142" w:right="0" w:firstLine="0"/>
        <w:jc w:val="left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Autora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(2026)</w:t>
      </w:r>
    </w:p>
    <w:p>
      <w:pPr>
        <w:spacing w:after="0"/>
        <w:jc w:val="left"/>
        <w:rPr>
          <w:b/>
          <w:sz w:val="20"/>
        </w:rPr>
        <w:sectPr>
          <w:pgSz w:w="11920" w:h="16840"/>
          <w:pgMar w:header="0" w:footer="0" w:top="1680" w:bottom="280" w:left="1559" w:right="992"/>
        </w:sectPr>
      </w:pPr>
    </w:p>
    <w:p>
      <w:pPr>
        <w:spacing w:before="21"/>
        <w:ind w:left="86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–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Métricas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fenológicas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médias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para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os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períodos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Pré-seca,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Mega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Seca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Pós-</w:t>
      </w:r>
      <w:r>
        <w:rPr>
          <w:b/>
          <w:spacing w:val="-2"/>
          <w:sz w:val="20"/>
        </w:rPr>
        <w:t>seca.</w:t>
      </w:r>
    </w:p>
    <w:p>
      <w:pPr>
        <w:pStyle w:val="BodyText"/>
        <w:spacing w:before="5"/>
        <w:rPr>
          <w:b/>
          <w:sz w:val="9"/>
        </w:rPr>
      </w:pPr>
    </w:p>
    <w:tbl>
      <w:tblPr>
        <w:tblW w:w="0" w:type="auto"/>
        <w:jc w:val="left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0"/>
        <w:gridCol w:w="1380"/>
        <w:gridCol w:w="1400"/>
        <w:gridCol w:w="1360"/>
        <w:gridCol w:w="1360"/>
        <w:gridCol w:w="1180"/>
        <w:gridCol w:w="1160"/>
      </w:tblGrid>
      <w:tr>
        <w:trPr>
          <w:trHeight w:val="659" w:hRule="atLeast"/>
        </w:trPr>
        <w:tc>
          <w:tcPr>
            <w:tcW w:w="1080" w:type="dxa"/>
          </w:tcPr>
          <w:p>
            <w:pPr>
              <w:pStyle w:val="TableParagraph"/>
              <w:ind w:left="9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</w:t>
            </w:r>
          </w:p>
        </w:tc>
        <w:tc>
          <w:tcPr>
            <w:tcW w:w="1380" w:type="dxa"/>
          </w:tcPr>
          <w:p>
            <w:pPr>
              <w:pStyle w:val="TableParagraph"/>
              <w:ind w:left="11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SOG</w:t>
            </w:r>
          </w:p>
          <w:p>
            <w:pPr>
              <w:pStyle w:val="TableParagraph"/>
              <w:spacing w:before="0"/>
              <w:ind w:left="11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(Brotamento)</w:t>
            </w:r>
          </w:p>
        </w:tc>
        <w:tc>
          <w:tcPr>
            <w:tcW w:w="1400" w:type="dxa"/>
          </w:tcPr>
          <w:p>
            <w:pPr>
              <w:pStyle w:val="TableParagraph"/>
              <w:ind w:left="11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EOG</w:t>
            </w:r>
          </w:p>
          <w:p>
            <w:pPr>
              <w:pStyle w:val="TableParagraph"/>
              <w:spacing w:before="0"/>
              <w:ind w:left="11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(Maturidade)</w:t>
            </w:r>
          </w:p>
        </w:tc>
        <w:tc>
          <w:tcPr>
            <w:tcW w:w="1360" w:type="dxa"/>
          </w:tcPr>
          <w:p>
            <w:pPr>
              <w:pStyle w:val="TableParagraph"/>
              <w:ind w:left="105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SOS</w:t>
            </w:r>
          </w:p>
          <w:p>
            <w:pPr>
              <w:pStyle w:val="TableParagraph"/>
              <w:spacing w:before="0"/>
              <w:ind w:left="10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(Senescência)</w:t>
            </w:r>
          </w:p>
        </w:tc>
        <w:tc>
          <w:tcPr>
            <w:tcW w:w="1360" w:type="dxa"/>
          </w:tcPr>
          <w:p>
            <w:pPr>
              <w:pStyle w:val="TableParagraph"/>
              <w:ind w:left="11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EOS</w:t>
            </w:r>
          </w:p>
          <w:p>
            <w:pPr>
              <w:pStyle w:val="TableParagraph"/>
              <w:spacing w:before="0"/>
              <w:ind w:left="11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(Dormência)</w:t>
            </w:r>
          </w:p>
        </w:tc>
        <w:tc>
          <w:tcPr>
            <w:tcW w:w="1180" w:type="dxa"/>
          </w:tcPr>
          <w:p>
            <w:pPr>
              <w:pStyle w:val="TableParagraph"/>
              <w:ind w:left="101" w:right="38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Estação Cheia</w:t>
            </w:r>
          </w:p>
        </w:tc>
        <w:tc>
          <w:tcPr>
            <w:tcW w:w="1160" w:type="dxa"/>
          </w:tcPr>
          <w:p>
            <w:pPr>
              <w:pStyle w:val="TableParagraph"/>
              <w:ind w:left="10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LOS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Total</w:t>
            </w:r>
          </w:p>
        </w:tc>
      </w:tr>
      <w:tr>
        <w:trPr>
          <w:trHeight w:val="440" w:hRule="atLeast"/>
        </w:trPr>
        <w:tc>
          <w:tcPr>
            <w:tcW w:w="1080" w:type="dxa"/>
          </w:tcPr>
          <w:p>
            <w:pPr>
              <w:pStyle w:val="TableParagraph"/>
              <w:spacing w:before="111"/>
              <w:ind w:left="9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Pré-</w:t>
            </w:r>
            <w:r>
              <w:rPr>
                <w:b/>
                <w:spacing w:val="-4"/>
                <w:sz w:val="20"/>
              </w:rPr>
              <w:t>seca</w:t>
            </w:r>
          </w:p>
        </w:tc>
        <w:tc>
          <w:tcPr>
            <w:tcW w:w="1380" w:type="dxa"/>
          </w:tcPr>
          <w:p>
            <w:pPr>
              <w:pStyle w:val="TableParagraph"/>
              <w:spacing w:before="111"/>
              <w:ind w:right="76"/>
              <w:rPr>
                <w:sz w:val="20"/>
              </w:rPr>
            </w:pPr>
            <w:r>
              <w:rPr>
                <w:spacing w:val="-4"/>
                <w:sz w:val="20"/>
              </w:rPr>
              <w:t>49.6</w:t>
            </w:r>
          </w:p>
        </w:tc>
        <w:tc>
          <w:tcPr>
            <w:tcW w:w="1400" w:type="dxa"/>
          </w:tcPr>
          <w:p>
            <w:pPr>
              <w:pStyle w:val="TableParagraph"/>
              <w:spacing w:before="111"/>
              <w:ind w:right="81"/>
              <w:rPr>
                <w:sz w:val="20"/>
              </w:rPr>
            </w:pPr>
            <w:r>
              <w:rPr>
                <w:spacing w:val="-2"/>
                <w:sz w:val="20"/>
              </w:rPr>
              <w:t>112.8</w:t>
            </w:r>
          </w:p>
        </w:tc>
        <w:tc>
          <w:tcPr>
            <w:tcW w:w="1360" w:type="dxa"/>
          </w:tcPr>
          <w:p>
            <w:pPr>
              <w:pStyle w:val="TableParagraph"/>
              <w:spacing w:before="111"/>
              <w:ind w:right="76"/>
              <w:rPr>
                <w:sz w:val="20"/>
              </w:rPr>
            </w:pPr>
            <w:r>
              <w:rPr>
                <w:spacing w:val="-2"/>
                <w:sz w:val="20"/>
              </w:rPr>
              <w:t>238.5</w:t>
            </w:r>
          </w:p>
        </w:tc>
        <w:tc>
          <w:tcPr>
            <w:tcW w:w="1360" w:type="dxa"/>
          </w:tcPr>
          <w:p>
            <w:pPr>
              <w:pStyle w:val="TableParagraph"/>
              <w:spacing w:before="111"/>
              <w:ind w:right="86"/>
              <w:rPr>
                <w:sz w:val="20"/>
              </w:rPr>
            </w:pPr>
            <w:r>
              <w:rPr>
                <w:spacing w:val="-2"/>
                <w:sz w:val="20"/>
              </w:rPr>
              <w:t>345.4</w:t>
            </w:r>
          </w:p>
        </w:tc>
        <w:tc>
          <w:tcPr>
            <w:tcW w:w="1180" w:type="dxa"/>
          </w:tcPr>
          <w:p>
            <w:pPr>
              <w:pStyle w:val="TableParagraph"/>
              <w:spacing w:before="111"/>
              <w:ind w:right="81"/>
              <w:rPr>
                <w:sz w:val="20"/>
              </w:rPr>
            </w:pPr>
            <w:r>
              <w:rPr>
                <w:spacing w:val="-2"/>
                <w:sz w:val="20"/>
              </w:rPr>
              <w:t>125.7</w:t>
            </w:r>
          </w:p>
        </w:tc>
        <w:tc>
          <w:tcPr>
            <w:tcW w:w="1160" w:type="dxa"/>
          </w:tcPr>
          <w:p>
            <w:pPr>
              <w:pStyle w:val="TableParagraph"/>
              <w:spacing w:before="111"/>
              <w:ind w:right="86"/>
              <w:rPr>
                <w:sz w:val="20"/>
              </w:rPr>
            </w:pPr>
            <w:r>
              <w:rPr>
                <w:spacing w:val="-2"/>
                <w:sz w:val="20"/>
              </w:rPr>
              <w:t>295.8</w:t>
            </w:r>
          </w:p>
        </w:tc>
      </w:tr>
      <w:tr>
        <w:trPr>
          <w:trHeight w:val="439" w:hRule="atLeast"/>
        </w:trPr>
        <w:tc>
          <w:tcPr>
            <w:tcW w:w="1080" w:type="dxa"/>
          </w:tcPr>
          <w:p>
            <w:pPr>
              <w:pStyle w:val="TableParagraph"/>
              <w:ind w:left="9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Mega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seca</w:t>
            </w:r>
          </w:p>
        </w:tc>
        <w:tc>
          <w:tcPr>
            <w:tcW w:w="1380" w:type="dxa"/>
          </w:tcPr>
          <w:p>
            <w:pPr>
              <w:pStyle w:val="TableParagraph"/>
              <w:ind w:right="76"/>
              <w:rPr>
                <w:sz w:val="20"/>
              </w:rPr>
            </w:pPr>
            <w:r>
              <w:rPr>
                <w:spacing w:val="-4"/>
                <w:sz w:val="20"/>
              </w:rPr>
              <w:t>50.8</w:t>
            </w:r>
          </w:p>
        </w:tc>
        <w:tc>
          <w:tcPr>
            <w:tcW w:w="1400" w:type="dxa"/>
          </w:tcPr>
          <w:p>
            <w:pPr>
              <w:pStyle w:val="TableParagraph"/>
              <w:ind w:right="81"/>
              <w:rPr>
                <w:sz w:val="20"/>
              </w:rPr>
            </w:pPr>
            <w:r>
              <w:rPr>
                <w:spacing w:val="-2"/>
                <w:sz w:val="20"/>
              </w:rPr>
              <w:t>110.8</w:t>
            </w:r>
          </w:p>
        </w:tc>
        <w:tc>
          <w:tcPr>
            <w:tcW w:w="1360" w:type="dxa"/>
          </w:tcPr>
          <w:p>
            <w:pPr>
              <w:pStyle w:val="TableParagraph"/>
              <w:ind w:right="76"/>
              <w:rPr>
                <w:sz w:val="20"/>
              </w:rPr>
            </w:pPr>
            <w:r>
              <w:rPr>
                <w:spacing w:val="-2"/>
                <w:sz w:val="20"/>
              </w:rPr>
              <w:t>221.9</w:t>
            </w:r>
          </w:p>
        </w:tc>
        <w:tc>
          <w:tcPr>
            <w:tcW w:w="1360" w:type="dxa"/>
          </w:tcPr>
          <w:p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2"/>
                <w:sz w:val="20"/>
              </w:rPr>
              <w:t>312.6</w:t>
            </w:r>
          </w:p>
        </w:tc>
        <w:tc>
          <w:tcPr>
            <w:tcW w:w="1180" w:type="dxa"/>
          </w:tcPr>
          <w:p>
            <w:pPr>
              <w:pStyle w:val="TableParagraph"/>
              <w:ind w:right="81"/>
              <w:rPr>
                <w:sz w:val="20"/>
              </w:rPr>
            </w:pPr>
            <w:r>
              <w:rPr>
                <w:spacing w:val="-2"/>
                <w:sz w:val="20"/>
              </w:rPr>
              <w:t>111.1</w:t>
            </w:r>
          </w:p>
        </w:tc>
        <w:tc>
          <w:tcPr>
            <w:tcW w:w="1160" w:type="dxa"/>
          </w:tcPr>
          <w:p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2"/>
                <w:sz w:val="20"/>
              </w:rPr>
              <w:t>261.8</w:t>
            </w:r>
          </w:p>
        </w:tc>
      </w:tr>
      <w:tr>
        <w:trPr>
          <w:trHeight w:val="419" w:hRule="atLeast"/>
        </w:trPr>
        <w:tc>
          <w:tcPr>
            <w:tcW w:w="1080" w:type="dxa"/>
          </w:tcPr>
          <w:p>
            <w:pPr>
              <w:pStyle w:val="TableParagraph"/>
              <w:spacing w:before="101"/>
              <w:ind w:left="9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Pós-</w:t>
            </w:r>
            <w:r>
              <w:rPr>
                <w:b/>
                <w:spacing w:val="-4"/>
                <w:sz w:val="20"/>
              </w:rPr>
              <w:t>seca</w:t>
            </w:r>
          </w:p>
        </w:tc>
        <w:tc>
          <w:tcPr>
            <w:tcW w:w="1380" w:type="dxa"/>
          </w:tcPr>
          <w:p>
            <w:pPr>
              <w:pStyle w:val="TableParagraph"/>
              <w:spacing w:before="101"/>
              <w:ind w:right="76"/>
              <w:rPr>
                <w:sz w:val="20"/>
              </w:rPr>
            </w:pPr>
            <w:r>
              <w:rPr>
                <w:spacing w:val="-4"/>
                <w:sz w:val="20"/>
              </w:rPr>
              <w:t>23.5</w:t>
            </w:r>
          </w:p>
        </w:tc>
        <w:tc>
          <w:tcPr>
            <w:tcW w:w="1400" w:type="dxa"/>
          </w:tcPr>
          <w:p>
            <w:pPr>
              <w:pStyle w:val="TableParagraph"/>
              <w:spacing w:before="101"/>
              <w:ind w:right="81"/>
              <w:rPr>
                <w:sz w:val="20"/>
              </w:rPr>
            </w:pPr>
            <w:r>
              <w:rPr>
                <w:spacing w:val="-2"/>
                <w:sz w:val="20"/>
              </w:rPr>
              <w:t>131.2</w:t>
            </w:r>
          </w:p>
        </w:tc>
        <w:tc>
          <w:tcPr>
            <w:tcW w:w="1360" w:type="dxa"/>
          </w:tcPr>
          <w:p>
            <w:pPr>
              <w:pStyle w:val="TableParagraph"/>
              <w:spacing w:before="101"/>
              <w:ind w:right="76"/>
              <w:rPr>
                <w:sz w:val="20"/>
              </w:rPr>
            </w:pPr>
            <w:r>
              <w:rPr>
                <w:spacing w:val="-2"/>
                <w:sz w:val="20"/>
              </w:rPr>
              <w:t>224.7</w:t>
            </w:r>
          </w:p>
        </w:tc>
        <w:tc>
          <w:tcPr>
            <w:tcW w:w="1360" w:type="dxa"/>
          </w:tcPr>
          <w:p>
            <w:pPr>
              <w:pStyle w:val="TableParagraph"/>
              <w:spacing w:before="101"/>
              <w:ind w:right="86"/>
              <w:rPr>
                <w:sz w:val="20"/>
              </w:rPr>
            </w:pPr>
            <w:r>
              <w:rPr>
                <w:spacing w:val="-2"/>
                <w:sz w:val="20"/>
              </w:rPr>
              <w:t>311.7</w:t>
            </w:r>
          </w:p>
        </w:tc>
        <w:tc>
          <w:tcPr>
            <w:tcW w:w="1180" w:type="dxa"/>
          </w:tcPr>
          <w:p>
            <w:pPr>
              <w:pStyle w:val="TableParagraph"/>
              <w:spacing w:before="101"/>
              <w:ind w:right="81"/>
              <w:rPr>
                <w:sz w:val="20"/>
              </w:rPr>
            </w:pPr>
            <w:r>
              <w:rPr>
                <w:spacing w:val="-4"/>
                <w:sz w:val="20"/>
              </w:rPr>
              <w:t>93.4</w:t>
            </w:r>
          </w:p>
        </w:tc>
        <w:tc>
          <w:tcPr>
            <w:tcW w:w="1160" w:type="dxa"/>
          </w:tcPr>
          <w:p>
            <w:pPr>
              <w:pStyle w:val="TableParagraph"/>
              <w:spacing w:before="101"/>
              <w:ind w:right="86"/>
              <w:rPr>
                <w:sz w:val="20"/>
              </w:rPr>
            </w:pPr>
            <w:r>
              <w:rPr>
                <w:spacing w:val="-2"/>
                <w:sz w:val="20"/>
              </w:rPr>
              <w:t>288.2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38"/>
        <w:rPr>
          <w:b/>
          <w:sz w:val="20"/>
        </w:rPr>
      </w:pPr>
    </w:p>
    <w:p>
      <w:pPr>
        <w:pStyle w:val="Heading2"/>
      </w:pPr>
      <w:r>
        <w:rPr>
          <w:spacing w:val="-2"/>
        </w:rPr>
        <w:t>Conclusão</w:t>
      </w:r>
    </w:p>
    <w:p>
      <w:pPr>
        <w:pStyle w:val="BodyText"/>
        <w:spacing w:line="360" w:lineRule="auto" w:before="162"/>
        <w:ind w:left="142" w:right="156" w:firstLine="720"/>
        <w:jc w:val="both"/>
      </w:pPr>
      <w:r>
        <w:rPr/>
        <w:t>A Mega Seca (2012–2017) promoveu</w:t>
      </w:r>
      <w:r>
        <w:rPr>
          <w:spacing w:val="-4"/>
        </w:rPr>
        <w:t> </w:t>
      </w:r>
      <w:r>
        <w:rPr/>
        <w:t>alterações</w:t>
      </w:r>
      <w:r>
        <w:rPr>
          <w:spacing w:val="-4"/>
        </w:rPr>
        <w:t> </w:t>
      </w:r>
      <w:r>
        <w:rPr/>
        <w:t>significativas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dinâmica</w:t>
      </w:r>
      <w:r>
        <w:rPr>
          <w:spacing w:val="-4"/>
        </w:rPr>
        <w:t> </w:t>
      </w:r>
      <w:r>
        <w:rPr/>
        <w:t>fenológica da vegetação da FLONA de Açu, evidenciadas pela redução do vigor vegetativo, do comprimento da estação de crescimento (LOS) e da duração da Estação Cheia. Embora a retomada das chuvas tenha favorecido a recuperação parcial do ciclo fenológico, algumas métricas permaneceram</w:t>
      </w:r>
      <w:r>
        <w:rPr>
          <w:spacing w:val="-4"/>
        </w:rPr>
        <w:t> </w:t>
      </w:r>
      <w:r>
        <w:rPr/>
        <w:t>distintas</w:t>
      </w:r>
      <w:r>
        <w:rPr>
          <w:spacing w:val="-4"/>
        </w:rPr>
        <w:t> </w:t>
      </w:r>
      <w:r>
        <w:rPr/>
        <w:t>daquelas</w:t>
      </w:r>
      <w:r>
        <w:rPr>
          <w:spacing w:val="-4"/>
        </w:rPr>
        <w:t> </w:t>
      </w:r>
      <w:r>
        <w:rPr/>
        <w:t>observadas</w:t>
      </w:r>
      <w:r>
        <w:rPr>
          <w:spacing w:val="-4"/>
        </w:rPr>
        <w:t> </w:t>
      </w:r>
      <w:r>
        <w:rPr/>
        <w:t>antes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evento</w:t>
      </w:r>
      <w:r>
        <w:rPr>
          <w:spacing w:val="-4"/>
        </w:rPr>
        <w:t> </w:t>
      </w:r>
      <w:r>
        <w:rPr/>
        <w:t>extremo,</w:t>
      </w:r>
      <w:r>
        <w:rPr>
          <w:spacing w:val="-4"/>
        </w:rPr>
        <w:t> </w:t>
      </w:r>
      <w:r>
        <w:rPr/>
        <w:t>especialmente a redução da duração da Estação Cheia. Esses resultados sugerem que a seca prolongada produziu alterações persistentes na dinâmica da vegetação, indicando possíveis efeitos de legado associados ao estresse hídrico prolongado.</w:t>
      </w:r>
    </w:p>
    <w:p>
      <w:pPr>
        <w:pStyle w:val="BodyText"/>
        <w:spacing w:before="139"/>
      </w:pPr>
    </w:p>
    <w:p>
      <w:pPr>
        <w:pStyle w:val="Heading2"/>
      </w:pPr>
      <w:r>
        <w:rPr>
          <w:spacing w:val="-2"/>
        </w:rPr>
        <w:t>Referências</w:t>
      </w:r>
    </w:p>
    <w:p>
      <w:pPr>
        <w:pStyle w:val="BodyText"/>
        <w:spacing w:before="162"/>
        <w:ind w:left="142"/>
      </w:pPr>
      <w:r>
        <w:rPr/>
        <w:t>ANDEREGG,</w:t>
      </w:r>
      <w:r>
        <w:rPr>
          <w:spacing w:val="-2"/>
        </w:rPr>
        <w:t> </w:t>
      </w:r>
      <w:r>
        <w:rPr/>
        <w:t>W.</w:t>
      </w:r>
      <w:r>
        <w:rPr>
          <w:spacing w:val="-2"/>
        </w:rPr>
        <w:t> </w:t>
      </w:r>
      <w:r>
        <w:rPr/>
        <w:t>R.</w:t>
      </w:r>
      <w:r>
        <w:rPr>
          <w:spacing w:val="-2"/>
        </w:rPr>
        <w:t> </w:t>
      </w:r>
      <w:r>
        <w:rPr/>
        <w:t>L.</w:t>
      </w:r>
      <w:r>
        <w:rPr>
          <w:spacing w:val="-2"/>
        </w:rPr>
        <w:t> </w:t>
      </w:r>
      <w:r>
        <w:rPr/>
        <w:t>et</w:t>
      </w:r>
      <w:r>
        <w:rPr>
          <w:spacing w:val="-1"/>
        </w:rPr>
        <w:t> </w:t>
      </w:r>
      <w:r>
        <w:rPr/>
        <w:t>al.</w:t>
      </w:r>
      <w:r>
        <w:rPr>
          <w:spacing w:val="-2"/>
        </w:rPr>
        <w:t> </w:t>
      </w:r>
      <w:r>
        <w:rPr/>
        <w:t>Pervasive</w:t>
      </w:r>
      <w:r>
        <w:rPr>
          <w:spacing w:val="-2"/>
        </w:rPr>
        <w:t> </w:t>
      </w:r>
      <w:r>
        <w:rPr/>
        <w:t>drought</w:t>
      </w:r>
      <w:r>
        <w:rPr>
          <w:spacing w:val="-2"/>
        </w:rPr>
        <w:t> </w:t>
      </w:r>
      <w:r>
        <w:rPr/>
        <w:t>legacies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forest</w:t>
      </w:r>
      <w:r>
        <w:rPr>
          <w:spacing w:val="-2"/>
        </w:rPr>
        <w:t> </w:t>
      </w:r>
      <w:r>
        <w:rPr/>
        <w:t>ecosystems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>
          <w:spacing w:val="-2"/>
        </w:rPr>
        <w:t>their</w:t>
      </w:r>
    </w:p>
    <w:p>
      <w:pPr>
        <w:pStyle w:val="BodyText"/>
        <w:ind w:left="142"/>
      </w:pPr>
      <w:r>
        <w:rPr/>
        <w:t>implications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carbon</w:t>
      </w:r>
      <w:r>
        <w:rPr>
          <w:spacing w:val="-6"/>
        </w:rPr>
        <w:t> </w:t>
      </w:r>
      <w:r>
        <w:rPr/>
        <w:t>cycle</w:t>
      </w:r>
      <w:r>
        <w:rPr>
          <w:spacing w:val="-6"/>
        </w:rPr>
        <w:t> </w:t>
      </w:r>
      <w:r>
        <w:rPr/>
        <w:t>models.</w:t>
      </w:r>
      <w:r>
        <w:rPr>
          <w:spacing w:val="-6"/>
        </w:rPr>
        <w:t> </w:t>
      </w:r>
      <w:r>
        <w:rPr/>
        <w:t>Science,</w:t>
      </w:r>
      <w:r>
        <w:rPr>
          <w:spacing w:val="-6"/>
        </w:rPr>
        <w:t> </w:t>
      </w:r>
      <w:r>
        <w:rPr/>
        <w:t>Washington,</w:t>
      </w:r>
      <w:r>
        <w:rPr>
          <w:spacing w:val="-6"/>
        </w:rPr>
        <w:t> </w:t>
      </w:r>
      <w:r>
        <w:rPr/>
        <w:t>v.</w:t>
      </w:r>
      <w:r>
        <w:rPr>
          <w:spacing w:val="-6"/>
        </w:rPr>
        <w:t> </w:t>
      </w:r>
      <w:r>
        <w:rPr/>
        <w:t>349,</w:t>
      </w:r>
      <w:r>
        <w:rPr>
          <w:spacing w:val="-6"/>
        </w:rPr>
        <w:t> </w:t>
      </w:r>
      <w:r>
        <w:rPr/>
        <w:t>n.</w:t>
      </w:r>
      <w:r>
        <w:rPr>
          <w:spacing w:val="-6"/>
        </w:rPr>
        <w:t> </w:t>
      </w:r>
      <w:r>
        <w:rPr/>
        <w:t>6247,</w:t>
      </w:r>
      <w:r>
        <w:rPr>
          <w:spacing w:val="-6"/>
        </w:rPr>
        <w:t> </w:t>
      </w:r>
      <w:r>
        <w:rPr/>
        <w:t>p.</w:t>
      </w:r>
      <w:r>
        <w:rPr>
          <w:spacing w:val="-6"/>
        </w:rPr>
        <w:t> </w:t>
      </w:r>
      <w:r>
        <w:rPr/>
        <w:t>528-532,</w:t>
      </w:r>
      <w:r>
        <w:rPr>
          <w:spacing w:val="-6"/>
        </w:rPr>
        <w:t> </w:t>
      </w:r>
      <w:r>
        <w:rPr/>
        <w:t>2015. BRITO, S. S. B. et al. Frequency, duration and severity of drought in the Semiarid Northeast Brazil region. International Journal of Climatology, Hoboken, v. 38, n. 2, p. 517-529, 2018.</w:t>
      </w:r>
    </w:p>
    <w:p>
      <w:pPr>
        <w:pStyle w:val="BodyText"/>
        <w:spacing w:before="2"/>
        <w:ind w:left="142"/>
      </w:pPr>
      <w:r>
        <w:rPr/>
        <w:t>DIDAN,</w:t>
      </w:r>
      <w:r>
        <w:rPr>
          <w:spacing w:val="-7"/>
        </w:rPr>
        <w:t> </w:t>
      </w:r>
      <w:r>
        <w:rPr/>
        <w:t>K.</w:t>
      </w:r>
      <w:r>
        <w:rPr>
          <w:spacing w:val="-7"/>
        </w:rPr>
        <w:t> </w:t>
      </w:r>
      <w:r>
        <w:rPr/>
        <w:t>MOD13Q1</w:t>
      </w:r>
      <w:r>
        <w:rPr>
          <w:spacing w:val="-7"/>
        </w:rPr>
        <w:t> </w:t>
      </w:r>
      <w:r>
        <w:rPr/>
        <w:t>MODIS/Terra</w:t>
      </w:r>
      <w:r>
        <w:rPr>
          <w:spacing w:val="-7"/>
        </w:rPr>
        <w:t> </w:t>
      </w:r>
      <w:r>
        <w:rPr/>
        <w:t>Vegetation</w:t>
      </w:r>
      <w:r>
        <w:rPr>
          <w:spacing w:val="-7"/>
        </w:rPr>
        <w:t> </w:t>
      </w:r>
      <w:r>
        <w:rPr/>
        <w:t>Indices</w:t>
      </w:r>
      <w:r>
        <w:rPr>
          <w:spacing w:val="-7"/>
        </w:rPr>
        <w:t> </w:t>
      </w:r>
      <w:r>
        <w:rPr/>
        <w:t>16-Day</w:t>
      </w:r>
      <w:r>
        <w:rPr>
          <w:spacing w:val="-7"/>
        </w:rPr>
        <w:t> </w:t>
      </w:r>
      <w:r>
        <w:rPr/>
        <w:t>L3</w:t>
      </w:r>
      <w:r>
        <w:rPr>
          <w:spacing w:val="-7"/>
        </w:rPr>
        <w:t> </w:t>
      </w:r>
      <w:r>
        <w:rPr/>
        <w:t>Global</w:t>
      </w:r>
      <w:r>
        <w:rPr>
          <w:spacing w:val="-7"/>
        </w:rPr>
        <w:t> </w:t>
      </w:r>
      <w:r>
        <w:rPr/>
        <w:t>250</w:t>
      </w:r>
      <w:r>
        <w:rPr>
          <w:spacing w:val="-7"/>
        </w:rPr>
        <w:t> </w:t>
      </w:r>
      <w:r>
        <w:rPr/>
        <w:t>m</w:t>
      </w:r>
      <w:r>
        <w:rPr>
          <w:spacing w:val="-7"/>
        </w:rPr>
        <w:t> </w:t>
      </w:r>
      <w:r>
        <w:rPr/>
        <w:t>SIN</w:t>
      </w:r>
      <w:r>
        <w:rPr>
          <w:spacing w:val="-7"/>
        </w:rPr>
        <w:t> </w:t>
      </w:r>
      <w:r>
        <w:rPr/>
        <w:t>Grid V061. NASA EOSDIS Land Processes DAAC, Sioux Falls, 2021.</w:t>
      </w:r>
    </w:p>
    <w:p>
      <w:pPr>
        <w:pStyle w:val="BodyText"/>
        <w:spacing w:before="1"/>
        <w:ind w:left="142" w:right="750"/>
      </w:pPr>
      <w:r>
        <w:rPr/>
        <w:t>FUNK, C. et al. The Climate Hazards Infrared Precipitation with Stations: A new environmental</w:t>
      </w:r>
      <w:r>
        <w:rPr>
          <w:spacing w:val="-5"/>
        </w:rPr>
        <w:t> </w:t>
      </w:r>
      <w:r>
        <w:rPr/>
        <w:t>record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monitoring</w:t>
      </w:r>
      <w:r>
        <w:rPr>
          <w:spacing w:val="-5"/>
        </w:rPr>
        <w:t> </w:t>
      </w:r>
      <w:r>
        <w:rPr/>
        <w:t>extremes.</w:t>
      </w:r>
      <w:r>
        <w:rPr>
          <w:spacing w:val="-5"/>
        </w:rPr>
        <w:t> </w:t>
      </w:r>
      <w:r>
        <w:rPr/>
        <w:t>Scientific</w:t>
      </w:r>
      <w:r>
        <w:rPr>
          <w:spacing w:val="-5"/>
        </w:rPr>
        <w:t> </w:t>
      </w:r>
      <w:r>
        <w:rPr/>
        <w:t>Data,</w:t>
      </w:r>
      <w:r>
        <w:rPr>
          <w:spacing w:val="-5"/>
        </w:rPr>
        <w:t> </w:t>
      </w:r>
      <w:r>
        <w:rPr/>
        <w:t>London,</w:t>
      </w:r>
      <w:r>
        <w:rPr>
          <w:spacing w:val="-5"/>
        </w:rPr>
        <w:t> </w:t>
      </w:r>
      <w:r>
        <w:rPr/>
        <w:t>v.</w:t>
      </w:r>
      <w:r>
        <w:rPr>
          <w:spacing w:val="-5"/>
        </w:rPr>
        <w:t> </w:t>
      </w:r>
      <w:r>
        <w:rPr/>
        <w:t>2,</w:t>
      </w:r>
      <w:r>
        <w:rPr>
          <w:spacing w:val="-5"/>
        </w:rPr>
        <w:t> </w:t>
      </w:r>
      <w:r>
        <w:rPr/>
        <w:t>p.</w:t>
      </w:r>
      <w:r>
        <w:rPr>
          <w:spacing w:val="-5"/>
        </w:rPr>
        <w:t> </w:t>
      </w:r>
      <w:r>
        <w:rPr/>
        <w:t>150066, </w:t>
      </w:r>
      <w:r>
        <w:rPr>
          <w:spacing w:val="-2"/>
        </w:rPr>
        <w:t>2015.</w:t>
      </w:r>
    </w:p>
    <w:p>
      <w:pPr>
        <w:pStyle w:val="BodyText"/>
        <w:spacing w:before="1"/>
        <w:ind w:left="142"/>
      </w:pPr>
      <w:r>
        <w:rPr/>
        <w:t>HE,</w:t>
      </w:r>
      <w:r>
        <w:rPr>
          <w:spacing w:val="-3"/>
        </w:rPr>
        <w:t> </w:t>
      </w:r>
      <w:r>
        <w:rPr/>
        <w:t>L.</w:t>
      </w:r>
      <w:r>
        <w:rPr>
          <w:spacing w:val="-3"/>
        </w:rPr>
        <w:t> </w:t>
      </w:r>
      <w:r>
        <w:rPr/>
        <w:t>et</w:t>
      </w:r>
      <w:r>
        <w:rPr>
          <w:spacing w:val="-3"/>
        </w:rPr>
        <w:t> </w:t>
      </w:r>
      <w:r>
        <w:rPr/>
        <w:t>al.</w:t>
      </w:r>
      <w:r>
        <w:rPr>
          <w:spacing w:val="-3"/>
        </w:rPr>
        <w:t> </w:t>
      </w:r>
      <w:r>
        <w:rPr/>
        <w:t>Multifaceted</w:t>
      </w:r>
      <w:r>
        <w:rPr>
          <w:spacing w:val="-3"/>
        </w:rPr>
        <w:t> </w:t>
      </w:r>
      <w:r>
        <w:rPr/>
        <w:t>responses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vegetation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average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extreme</w:t>
      </w:r>
      <w:r>
        <w:rPr>
          <w:spacing w:val="-3"/>
        </w:rPr>
        <w:t> </w:t>
      </w:r>
      <w:r>
        <w:rPr/>
        <w:t>climate</w:t>
      </w:r>
      <w:r>
        <w:rPr>
          <w:spacing w:val="-3"/>
        </w:rPr>
        <w:t> </w:t>
      </w:r>
      <w:r>
        <w:rPr/>
        <w:t>change</w:t>
      </w:r>
      <w:r>
        <w:rPr>
          <w:spacing w:val="-3"/>
        </w:rPr>
        <w:t> </w:t>
      </w:r>
      <w:r>
        <w:rPr/>
        <w:t>over global drylands. Science of the Total Environment, Amsterdam, v. 858, p. 159942, 2023.</w:t>
      </w:r>
    </w:p>
    <w:p>
      <w:pPr>
        <w:pStyle w:val="BodyText"/>
        <w:spacing w:before="1"/>
        <w:ind w:left="142" w:right="325"/>
        <w:jc w:val="both"/>
      </w:pPr>
      <w:r>
        <w:rPr/>
        <w:t>IPCC.</w:t>
      </w:r>
      <w:r>
        <w:rPr>
          <w:spacing w:val="-5"/>
        </w:rPr>
        <w:t> </w:t>
      </w:r>
      <w:r>
        <w:rPr/>
        <w:t>Climate</w:t>
      </w:r>
      <w:r>
        <w:rPr>
          <w:spacing w:val="-5"/>
        </w:rPr>
        <w:t> </w:t>
      </w:r>
      <w:r>
        <w:rPr/>
        <w:t>Change</w:t>
      </w:r>
      <w:r>
        <w:rPr>
          <w:spacing w:val="-5"/>
        </w:rPr>
        <w:t> </w:t>
      </w:r>
      <w:r>
        <w:rPr/>
        <w:t>2023:</w:t>
      </w:r>
      <w:r>
        <w:rPr>
          <w:spacing w:val="-5"/>
        </w:rPr>
        <w:t> </w:t>
      </w:r>
      <w:r>
        <w:rPr/>
        <w:t>Synthesis</w:t>
      </w:r>
      <w:r>
        <w:rPr>
          <w:spacing w:val="-5"/>
        </w:rPr>
        <w:t> </w:t>
      </w:r>
      <w:r>
        <w:rPr/>
        <w:t>Report.</w:t>
      </w:r>
      <w:r>
        <w:rPr>
          <w:spacing w:val="-5"/>
        </w:rPr>
        <w:t> </w:t>
      </w:r>
      <w:r>
        <w:rPr/>
        <w:t>Contribution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Working</w:t>
      </w:r>
      <w:r>
        <w:rPr>
          <w:spacing w:val="-5"/>
        </w:rPr>
        <w:t> </w:t>
      </w:r>
      <w:r>
        <w:rPr/>
        <w:t>Groups</w:t>
      </w:r>
      <w:r>
        <w:rPr>
          <w:spacing w:val="-5"/>
        </w:rPr>
        <w:t> </w:t>
      </w:r>
      <w:r>
        <w:rPr/>
        <w:t>I,</w:t>
      </w:r>
      <w:r>
        <w:rPr>
          <w:spacing w:val="-5"/>
        </w:rPr>
        <w:t> </w:t>
      </w:r>
      <w:r>
        <w:rPr/>
        <w:t>II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III 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Sixth</w:t>
      </w:r>
      <w:r>
        <w:rPr>
          <w:spacing w:val="-2"/>
        </w:rPr>
        <w:t> </w:t>
      </w:r>
      <w:r>
        <w:rPr/>
        <w:t>Assessment</w:t>
      </w:r>
      <w:r>
        <w:rPr>
          <w:spacing w:val="-2"/>
        </w:rPr>
        <w:t> </w:t>
      </w:r>
      <w:r>
        <w:rPr/>
        <w:t>Report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Intergovernmental</w:t>
      </w:r>
      <w:r>
        <w:rPr>
          <w:spacing w:val="-2"/>
        </w:rPr>
        <w:t> </w:t>
      </w:r>
      <w:r>
        <w:rPr/>
        <w:t>Panel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Climate</w:t>
      </w:r>
      <w:r>
        <w:rPr>
          <w:spacing w:val="-2"/>
        </w:rPr>
        <w:t> </w:t>
      </w:r>
      <w:r>
        <w:rPr/>
        <w:t>Change.</w:t>
      </w:r>
      <w:r>
        <w:rPr>
          <w:spacing w:val="-2"/>
        </w:rPr>
        <w:t> </w:t>
      </w:r>
      <w:r>
        <w:rPr/>
        <w:t>Geneva: IPCC, 2023.</w:t>
      </w:r>
    </w:p>
    <w:p>
      <w:pPr>
        <w:pStyle w:val="BodyText"/>
        <w:spacing w:before="2"/>
        <w:ind w:left="142" w:right="522"/>
        <w:jc w:val="both"/>
      </w:pPr>
      <w:r>
        <w:rPr/>
        <w:t>MARENGO,</w:t>
      </w:r>
      <w:r>
        <w:rPr>
          <w:spacing w:val="-1"/>
        </w:rPr>
        <w:t> </w:t>
      </w:r>
      <w:r>
        <w:rPr/>
        <w:t>J.</w:t>
      </w:r>
      <w:r>
        <w:rPr>
          <w:spacing w:val="-1"/>
        </w:rPr>
        <w:t> </w:t>
      </w:r>
      <w:r>
        <w:rPr/>
        <w:t>A.</w:t>
      </w:r>
      <w:r>
        <w:rPr>
          <w:spacing w:val="-1"/>
        </w:rPr>
        <w:t> </w:t>
      </w:r>
      <w:r>
        <w:rPr/>
        <w:t>et</w:t>
      </w:r>
      <w:r>
        <w:rPr>
          <w:spacing w:val="-1"/>
        </w:rPr>
        <w:t> </w:t>
      </w:r>
      <w:r>
        <w:rPr/>
        <w:t>al.</w:t>
      </w:r>
      <w:r>
        <w:rPr>
          <w:spacing w:val="-1"/>
        </w:rPr>
        <w:t> </w:t>
      </w:r>
      <w:r>
        <w:rPr/>
        <w:t>Climatic</w:t>
      </w:r>
      <w:r>
        <w:rPr>
          <w:spacing w:val="-1"/>
        </w:rPr>
        <w:t> </w:t>
      </w:r>
      <w:r>
        <w:rPr/>
        <w:t>characteristics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2010–2016</w:t>
      </w:r>
      <w:r>
        <w:rPr>
          <w:spacing w:val="-1"/>
        </w:rPr>
        <w:t> </w:t>
      </w:r>
      <w:r>
        <w:rPr/>
        <w:t>drought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semiarid Northeast</w:t>
      </w:r>
      <w:r>
        <w:rPr>
          <w:spacing w:val="-4"/>
        </w:rPr>
        <w:t> </w:t>
      </w:r>
      <w:r>
        <w:rPr/>
        <w:t>Brazil</w:t>
      </w:r>
      <w:r>
        <w:rPr>
          <w:spacing w:val="-4"/>
        </w:rPr>
        <w:t> </w:t>
      </w:r>
      <w:r>
        <w:rPr/>
        <w:t>region.</w:t>
      </w:r>
      <w:r>
        <w:rPr>
          <w:spacing w:val="-4"/>
        </w:rPr>
        <w:t> </w:t>
      </w:r>
      <w:r>
        <w:rPr/>
        <w:t>Anais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Academia</w:t>
      </w:r>
      <w:r>
        <w:rPr>
          <w:spacing w:val="-4"/>
        </w:rPr>
        <w:t> </w:t>
      </w:r>
      <w:r>
        <w:rPr/>
        <w:t>Brasileira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Ciências,</w:t>
      </w:r>
      <w:r>
        <w:rPr>
          <w:spacing w:val="-4"/>
        </w:rPr>
        <w:t> </w:t>
      </w:r>
      <w:r>
        <w:rPr/>
        <w:t>v.</w:t>
      </w:r>
      <w:r>
        <w:rPr>
          <w:spacing w:val="-4"/>
        </w:rPr>
        <w:t> </w:t>
      </w:r>
      <w:r>
        <w:rPr/>
        <w:t>90,</w:t>
      </w:r>
      <w:r>
        <w:rPr>
          <w:spacing w:val="-4"/>
        </w:rPr>
        <w:t> </w:t>
      </w:r>
      <w:r>
        <w:rPr/>
        <w:t>n.</w:t>
      </w:r>
      <w:r>
        <w:rPr>
          <w:spacing w:val="-4"/>
        </w:rPr>
        <w:t> </w:t>
      </w:r>
      <w:r>
        <w:rPr/>
        <w:t>2,</w:t>
      </w:r>
      <w:r>
        <w:rPr>
          <w:spacing w:val="-4"/>
        </w:rPr>
        <w:t> </w:t>
      </w:r>
      <w:r>
        <w:rPr/>
        <w:t>Suppl.</w:t>
      </w:r>
      <w:r>
        <w:rPr>
          <w:spacing w:val="-4"/>
        </w:rPr>
        <w:t> </w:t>
      </w:r>
      <w:r>
        <w:rPr/>
        <w:t>1,</w:t>
      </w:r>
      <w:r>
        <w:rPr>
          <w:spacing w:val="-4"/>
        </w:rPr>
        <w:t> </w:t>
      </w:r>
      <w:r>
        <w:rPr/>
        <w:t>p. 1973–1985, 2018.</w:t>
      </w:r>
    </w:p>
    <w:p>
      <w:pPr>
        <w:pStyle w:val="BodyText"/>
        <w:spacing w:before="1"/>
        <w:ind w:left="142" w:right="445"/>
        <w:jc w:val="both"/>
      </w:pPr>
      <w:r>
        <w:rPr/>
        <w:t>SAVITZKY,</w:t>
      </w:r>
      <w:r>
        <w:rPr>
          <w:spacing w:val="-13"/>
        </w:rPr>
        <w:t> </w:t>
      </w:r>
      <w:r>
        <w:rPr/>
        <w:t>A.;</w:t>
      </w:r>
      <w:r>
        <w:rPr>
          <w:spacing w:val="-13"/>
        </w:rPr>
        <w:t> </w:t>
      </w:r>
      <w:r>
        <w:rPr/>
        <w:t>GOLAY,</w:t>
      </w:r>
      <w:r>
        <w:rPr>
          <w:spacing w:val="-13"/>
        </w:rPr>
        <w:t> </w:t>
      </w:r>
      <w:r>
        <w:rPr/>
        <w:t>M.</w:t>
      </w:r>
      <w:r>
        <w:rPr>
          <w:spacing w:val="-13"/>
        </w:rPr>
        <w:t> </w:t>
      </w:r>
      <w:r>
        <w:rPr/>
        <w:t>J.</w:t>
      </w:r>
      <w:r>
        <w:rPr>
          <w:spacing w:val="-13"/>
        </w:rPr>
        <w:t> </w:t>
      </w:r>
      <w:r>
        <w:rPr/>
        <w:t>E.</w:t>
      </w:r>
      <w:r>
        <w:rPr>
          <w:spacing w:val="-13"/>
        </w:rPr>
        <w:t> </w:t>
      </w:r>
      <w:r>
        <w:rPr/>
        <w:t>Smoothing</w:t>
      </w:r>
      <w:r>
        <w:rPr>
          <w:spacing w:val="-13"/>
        </w:rPr>
        <w:t> </w:t>
      </w:r>
      <w:r>
        <w:rPr/>
        <w:t>and</w:t>
      </w:r>
      <w:r>
        <w:rPr>
          <w:spacing w:val="-13"/>
        </w:rPr>
        <w:t> </w:t>
      </w:r>
      <w:r>
        <w:rPr/>
        <w:t>differentiation</w:t>
      </w:r>
      <w:r>
        <w:rPr>
          <w:spacing w:val="-13"/>
        </w:rPr>
        <w:t> </w:t>
      </w:r>
      <w:r>
        <w:rPr/>
        <w:t>of</w:t>
      </w:r>
      <w:r>
        <w:rPr>
          <w:spacing w:val="-13"/>
        </w:rPr>
        <w:t> </w:t>
      </w:r>
      <w:r>
        <w:rPr/>
        <w:t>data</w:t>
      </w:r>
      <w:r>
        <w:rPr>
          <w:spacing w:val="-13"/>
        </w:rPr>
        <w:t> </w:t>
      </w:r>
      <w:r>
        <w:rPr/>
        <w:t>by</w:t>
      </w:r>
      <w:r>
        <w:rPr>
          <w:spacing w:val="-13"/>
        </w:rPr>
        <w:t> </w:t>
      </w:r>
      <w:r>
        <w:rPr/>
        <w:t>simplified</w:t>
      </w:r>
      <w:r>
        <w:rPr>
          <w:spacing w:val="-13"/>
        </w:rPr>
        <w:t> </w:t>
      </w:r>
      <w:r>
        <w:rPr/>
        <w:t>least squares procedures. Analytical Chemistry, Washington, v. 36, n. 8, p. 1627-1639, 1964.</w:t>
      </w:r>
    </w:p>
    <w:p>
      <w:pPr>
        <w:pStyle w:val="BodyText"/>
        <w:spacing w:before="1"/>
        <w:ind w:left="142"/>
        <w:jc w:val="both"/>
      </w:pPr>
      <w:r>
        <w:rPr/>
        <w:t>ZENG,</w:t>
      </w:r>
      <w:r>
        <w:rPr>
          <w:spacing w:val="-12"/>
        </w:rPr>
        <w:t> </w:t>
      </w:r>
      <w:r>
        <w:rPr/>
        <w:t>L.;</w:t>
      </w:r>
      <w:r>
        <w:rPr>
          <w:spacing w:val="-9"/>
        </w:rPr>
        <w:t> </w:t>
      </w:r>
      <w:r>
        <w:rPr/>
        <w:t>WARDLOW,</w:t>
      </w:r>
      <w:r>
        <w:rPr>
          <w:spacing w:val="-9"/>
        </w:rPr>
        <w:t> </w:t>
      </w:r>
      <w:r>
        <w:rPr/>
        <w:t>B.</w:t>
      </w:r>
      <w:r>
        <w:rPr>
          <w:spacing w:val="-9"/>
        </w:rPr>
        <w:t> </w:t>
      </w:r>
      <w:r>
        <w:rPr/>
        <w:t>D.;</w:t>
      </w:r>
      <w:r>
        <w:rPr>
          <w:spacing w:val="-9"/>
        </w:rPr>
        <w:t> </w:t>
      </w:r>
      <w:r>
        <w:rPr/>
        <w:t>SHAN,</w:t>
      </w:r>
      <w:r>
        <w:rPr>
          <w:spacing w:val="-10"/>
        </w:rPr>
        <w:t> </w:t>
      </w:r>
      <w:r>
        <w:rPr/>
        <w:t>J.;</w:t>
      </w:r>
      <w:r>
        <w:rPr>
          <w:spacing w:val="-9"/>
        </w:rPr>
        <w:t> </w:t>
      </w:r>
      <w:r>
        <w:rPr/>
        <w:t>WANG,</w:t>
      </w:r>
      <w:r>
        <w:rPr>
          <w:spacing w:val="-9"/>
        </w:rPr>
        <w:t> </w:t>
      </w:r>
      <w:r>
        <w:rPr/>
        <w:t>R.;</w:t>
      </w:r>
      <w:r>
        <w:rPr>
          <w:spacing w:val="-9"/>
        </w:rPr>
        <w:t> </w:t>
      </w:r>
      <w:r>
        <w:rPr/>
        <w:t>TADESSE,</w:t>
      </w:r>
      <w:r>
        <w:rPr>
          <w:spacing w:val="-9"/>
        </w:rPr>
        <w:t> </w:t>
      </w:r>
      <w:r>
        <w:rPr/>
        <w:t>T.;</w:t>
      </w:r>
      <w:r>
        <w:rPr>
          <w:spacing w:val="-10"/>
        </w:rPr>
        <w:t> </w:t>
      </w:r>
      <w:r>
        <w:rPr/>
        <w:t>HAYES,</w:t>
      </w:r>
      <w:r>
        <w:rPr>
          <w:spacing w:val="-9"/>
        </w:rPr>
        <w:t> </w:t>
      </w:r>
      <w:r>
        <w:rPr/>
        <w:t>M.</w:t>
      </w:r>
      <w:r>
        <w:rPr>
          <w:spacing w:val="-9"/>
        </w:rPr>
        <w:t> </w:t>
      </w:r>
      <w:r>
        <w:rPr/>
        <w:t>J.;</w:t>
      </w:r>
      <w:r>
        <w:rPr>
          <w:spacing w:val="-9"/>
        </w:rPr>
        <w:t> </w:t>
      </w:r>
      <w:r>
        <w:rPr/>
        <w:t>LI,</w:t>
      </w:r>
      <w:r>
        <w:rPr>
          <w:spacing w:val="-9"/>
        </w:rPr>
        <w:t> </w:t>
      </w:r>
      <w:r>
        <w:rPr>
          <w:spacing w:val="-5"/>
        </w:rPr>
        <w:t>D.</w:t>
      </w:r>
    </w:p>
    <w:p>
      <w:pPr>
        <w:pStyle w:val="BodyText"/>
        <w:ind w:left="142" w:right="750"/>
      </w:pPr>
      <w:r>
        <w:rPr/>
        <w:t>A</w:t>
      </w:r>
      <w:r>
        <w:rPr>
          <w:spacing w:val="-5"/>
        </w:rPr>
        <w:t> </w:t>
      </w:r>
      <w:r>
        <w:rPr/>
        <w:t>review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vegetation</w:t>
      </w:r>
      <w:r>
        <w:rPr>
          <w:spacing w:val="-5"/>
        </w:rPr>
        <w:t> </w:t>
      </w:r>
      <w:r>
        <w:rPr/>
        <w:t>phenological</w:t>
      </w:r>
      <w:r>
        <w:rPr>
          <w:spacing w:val="-5"/>
        </w:rPr>
        <w:t> </w:t>
      </w:r>
      <w:r>
        <w:rPr/>
        <w:t>metrics</w:t>
      </w:r>
      <w:r>
        <w:rPr>
          <w:spacing w:val="-5"/>
        </w:rPr>
        <w:t> </w:t>
      </w:r>
      <w:r>
        <w:rPr/>
        <w:t>extraction</w:t>
      </w:r>
      <w:r>
        <w:rPr>
          <w:spacing w:val="-5"/>
        </w:rPr>
        <w:t> </w:t>
      </w:r>
      <w:r>
        <w:rPr/>
        <w:t>using</w:t>
      </w:r>
      <w:r>
        <w:rPr>
          <w:spacing w:val="-5"/>
        </w:rPr>
        <w:t> </w:t>
      </w:r>
      <w:r>
        <w:rPr/>
        <w:t>time-series,</w:t>
      </w:r>
      <w:r>
        <w:rPr>
          <w:spacing w:val="-5"/>
        </w:rPr>
        <w:t> </w:t>
      </w:r>
      <w:r>
        <w:rPr/>
        <w:t>multispectral satellite data. Remote Sensing of Environment, v. 237, p. 111511, 2020.</w:t>
      </w:r>
    </w:p>
    <w:sectPr>
      <w:pgSz w:w="11920" w:h="16840"/>
      <w:pgMar w:header="0" w:footer="0" w:top="1680" w:bottom="280" w:left="1559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5881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3808" cy="1066800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3808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" w:right="148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42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pt-PT" w:eastAsia="en-US" w:bidi="ar-SA"/>
    </w:rPr>
  </w:style>
  <w:style w:styleId="Heading3" w:type="paragraph">
    <w:name w:val="Heading 3"/>
    <w:basedOn w:val="Normal"/>
    <w:uiPriority w:val="1"/>
    <w:qFormat/>
    <w:pPr>
      <w:spacing w:before="251"/>
      <w:ind w:left="1086" w:hanging="558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6"/>
      <w:jc w:val="right"/>
    </w:pPr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ester.moura.143@ufrn.edu.br" TargetMode="External"/><Relationship Id="rId8" Type="http://schemas.openxmlformats.org/officeDocument/2006/relationships/hyperlink" Target="mailto:gabriele.almeida.092@ufrn.edu.br" TargetMode="External"/><Relationship Id="rId9" Type="http://schemas.openxmlformats.org/officeDocument/2006/relationships/hyperlink" Target="mailto:rayane.ferreira.130@ufrn.edu.br" TargetMode="External"/><Relationship Id="rId10" Type="http://schemas.openxmlformats.org/officeDocument/2006/relationships/hyperlink" Target="mailto:bernardobdbaracho@gmail.com" TargetMode="External"/><Relationship Id="rId11" Type="http://schemas.openxmlformats.org/officeDocument/2006/relationships/hyperlink" Target="mailto:pedro.mutti@ufrn.br" TargetMode="External"/><Relationship Id="rId12" Type="http://schemas.openxmlformats.org/officeDocument/2006/relationships/header" Target="header1.xml"/><Relationship Id="rId13" Type="http://schemas.openxmlformats.org/officeDocument/2006/relationships/image" Target="media/image3.jpeg"/><Relationship Id="rId14" Type="http://schemas.openxmlformats.org/officeDocument/2006/relationships/image" Target="media/image4.png"/><Relationship Id="rId15" Type="http://schemas.openxmlformats.org/officeDocument/2006/relationships/image" Target="media/image5.jpeg"/><Relationship Id="rId16" Type="http://schemas.openxmlformats.org/officeDocument/2006/relationships/image" Target="media/image6.jpeg"/><Relationship Id="rId17" Type="http://schemas.openxmlformats.org/officeDocument/2006/relationships/image" Target="media/image7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MeioAmbiente_c.autores</dc:title>
  <dcterms:created xsi:type="dcterms:W3CDTF">2026-07-01T00:46:44Z</dcterms:created>
  <dcterms:modified xsi:type="dcterms:W3CDTF">2026-07-01T00:46:44Z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2026-07-01T00:00:00Z</vt:filetime>
  </property>
  <property fmtid="{D5CDD505-2E9C-101B-9397-08002B2CF9AE}" pid="4" name="Producer">
    <vt:lpwstr>Skia/PDF m151 Google Docs Renderer</vt:lpwstr>
  </property>
  <property fmtid="{D5CDD505-2E9C-101B-9397-08002B2CF9AE}" pid="5" name="LastSaved">
    <vt:filetime>2026-07-01T00:00:00Z</vt:filetime>
  </property>
</Properties>
</file>