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34285F" w14:textId="77777777" w:rsidR="003E3663" w:rsidRDefault="00EA2AC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EFEITO DO CONTROLE GLICÊMICO INTENSIVO NA REDUÇÃO DE COMPLICAÇÕES CARDIOVASCULARES EM PACIENTES COM DIABETES</w:t>
      </w:r>
    </w:p>
    <w:p w14:paraId="1F644092" w14:textId="25A8CCD9" w:rsidR="000C51D0" w:rsidRDefault="000C51D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Oliveira Filho, João Edilson de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</w:p>
    <w:p w14:paraId="277DA605" w14:textId="57C76A30" w:rsidR="000C51D0" w:rsidRDefault="000C51D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Carrijo</w:t>
      </w:r>
      <w:proofErr w:type="spellEnd"/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, Vinícius Silva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</w:p>
    <w:p w14:paraId="4616B82D" w14:textId="1841869C" w:rsidR="000C51D0" w:rsidRDefault="000C51D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Jordão, Gabriel de Souza Paiva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</w:p>
    <w:p w14:paraId="4A50977B" w14:textId="24D5D9FA" w:rsidR="000C51D0" w:rsidRDefault="000C51D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Belfort, Wanessa Cândida Queiroz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</w:p>
    <w:p w14:paraId="637DE589" w14:textId="742556D2" w:rsidR="000C51D0" w:rsidRDefault="000C51D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Kubelke</w:t>
      </w:r>
      <w:proofErr w:type="spellEnd"/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, Lucas Reis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</w:p>
    <w:p w14:paraId="23BC3489" w14:textId="5780A110" w:rsidR="000C51D0" w:rsidRDefault="000C51D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Toledo, Maria Lúcia Batista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</w:p>
    <w:p w14:paraId="38A4ED55" w14:textId="7CAFB681" w:rsidR="000C51D0" w:rsidRDefault="000C51D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Pereira Neto, Paulo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</w:p>
    <w:p w14:paraId="0A04CE00" w14:textId="7BF96EF1" w:rsidR="000C51D0" w:rsidRDefault="000C51D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Lima, </w:t>
      </w:r>
      <w:proofErr w:type="spellStart"/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Marillia</w:t>
      </w:r>
      <w:proofErr w:type="spellEnd"/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Alves de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</w:p>
    <w:p w14:paraId="620F418E" w14:textId="2B220BF6" w:rsidR="000C51D0" w:rsidRDefault="000C51D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Rêgo, Maria Clara Raulino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</w:p>
    <w:p w14:paraId="3450FE71" w14:textId="119267A7" w:rsidR="000C51D0" w:rsidRDefault="000C51D0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Pereira, Nicole Gondim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10</w:t>
      </w:r>
    </w:p>
    <w:p w14:paraId="15DE96B2" w14:textId="77777777" w:rsidR="003E3663" w:rsidRDefault="003E36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747EE41" w14:textId="77777777" w:rsidR="003E3663" w:rsidRDefault="00EA2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RESUMO: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diabetes mellitus tipo 2 (DM2) é uma condição crônica que apresenta uma alta prevalência global, sendo um dos principais fatores de risco para o desenvolvimento de complicações cardiovasculares graves, como infarto do miocárdio e acidente vascular cerebral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 controle glicêmico adequado é fundamental para minimizar essas complicações, e estudos recentes têm investigado o impacto do controle glicêmico intensivo na redução dos eventos cardiovasculares em pacientes com DM2.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Objetivo: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 estudo tem como objet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ivo avaliar o efeito do controle glicêmico intensivo na redução de complicações cardiovasculares em pacientes com diabetes mellitus tipo 2. A hipótese central é que a redução rigorosa dos níveis de hemoglobina glicada (HbA1c) pode diminuir significativamen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a incidência de eventos cardiovasculares, embora esse benefício possa ser acompanhado por um aumento no risco de hipoglicemia severa.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Metodologia: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metodologia empregada para este estudo é uma revisão sistemática da literatura, focando em artigos publi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cados nos últimos 10 anos. Foram realizadas buscas nas bases de dados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Scopus, Web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Science, e Embase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Foram incluídos estudos que compararam os resultados de pacientes submetidos ao controle glicêmico intensivo versus controle convencional, com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oco em desfechos cardiovasculares e a segurança do tratamento.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Resultados/Discussão: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resultados da revisão indicam que o controle glicêmico intensivo pode reduzir modestamente a incidência de complicações cardiovasculares em pacientes com DM2, especialm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 em subgrupos com níveis iniciais elevados de HbA1c. No entanto, esse benefício é contrabalançado por um risco maior de hipoglicemia, o que levanta preocupações sobre a segurança e a viabilidade dessa abordagem terapêutica.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Conclusão: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conclusão, emb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 o controle glicêmico intensivo ofereça benefícios potenciais na redução de complicações cardiovasculares, é essencial equilibrar esses benefícios com os riscos associados, particularmente o risco de hipoglicemia. A implementação de estratégias de contr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ole intensivo deve ser cuidadosamente considerada, levando em conta as características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individuais dos pacientes e a possibilidade de personalização do tratamento para otimizar os resultados clínicos.</w:t>
      </w:r>
    </w:p>
    <w:p w14:paraId="3D8BE0F2" w14:textId="77777777" w:rsidR="003E3663" w:rsidRDefault="003E3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4179A2" w14:textId="77777777" w:rsidR="003E3663" w:rsidRDefault="00EA2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Controle glicêmico intensivo, complica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ções cardiovasculares, diabetes mellitus tipo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E40DE5" w14:textId="7DEE2F16" w:rsidR="003E3663" w:rsidRDefault="00EA2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6" w:history="1">
        <w:r w:rsidR="00CD5B4D" w:rsidRPr="00D0269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contato.joaofilho@hotmail.com</w:t>
        </w:r>
      </w:hyperlink>
    </w:p>
    <w:p w14:paraId="53F6066C" w14:textId="77777777" w:rsidR="003E3663" w:rsidRDefault="003E3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21022F" w14:textId="747488F8" w:rsidR="000C51D0" w:rsidRDefault="00EA2AC4" w:rsidP="000C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0C51D0"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Acadêmico no Centro Universitário de Mineiros – UNIFIMES, Mineiros – GO, </w:t>
      </w:r>
      <w:hyperlink r:id="rId7" w:history="1">
        <w:r w:rsidR="000C51D0" w:rsidRPr="00D026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contato.joaofilho@hotmail.com</w:t>
        </w:r>
      </w:hyperlink>
    </w:p>
    <w:p w14:paraId="55AA1C23" w14:textId="49D9D13A" w:rsidR="000C51D0" w:rsidRDefault="000C51D0" w:rsidP="000C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0C51D0">
        <w:t xml:space="preserve"> 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Acadêmico no Centro Universitário de Mineiros – UNIFIMES, Mineiros – GO, </w:t>
      </w:r>
      <w:hyperlink r:id="rId8" w:history="1">
        <w:r w:rsidR="00CD5B4D" w:rsidRPr="00D026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vscarrijo2018@gmail.com</w:t>
        </w:r>
      </w:hyperlink>
      <w:r w:rsidR="00CD5B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4D09395" w14:textId="1A10F0D4" w:rsidR="000C51D0" w:rsidRDefault="000C51D0" w:rsidP="000C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0C51D0">
        <w:t xml:space="preserve"> 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Acadêmico na Pontifícia Universidade Católica de Goiás – PUC-GO, Goiânia – GO, </w:t>
      </w:r>
      <w:hyperlink r:id="rId9" w:history="1">
        <w:r w:rsidR="00CD5B4D" w:rsidRPr="00D026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gjordao025@gmail.com</w:t>
        </w:r>
      </w:hyperlink>
      <w:r w:rsidR="00CD5B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4907783" w14:textId="2EBFDF1F" w:rsidR="000C51D0" w:rsidRDefault="000C51D0" w:rsidP="000C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Pr="000C51D0">
        <w:t xml:space="preserve"> 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Médica pelo Centro Universitário de Mineiros – UNIFIMES, Mineiros – GO, </w:t>
      </w:r>
      <w:hyperlink r:id="rId10" w:history="1">
        <w:r w:rsidR="00CD5B4D" w:rsidRPr="00D026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wanessacandida_enf@hotmail.com</w:t>
        </w:r>
      </w:hyperlink>
      <w:r w:rsidR="00CD5B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7A4F5D1" w14:textId="1067033D" w:rsidR="000C51D0" w:rsidRDefault="000C51D0" w:rsidP="000C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Pr="000C51D0">
        <w:t xml:space="preserve"> 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Acadêmico na Universidade de Rio Verde - </w:t>
      </w:r>
      <w:proofErr w:type="spellStart"/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UniRV</w:t>
      </w:r>
      <w:proofErr w:type="spellEnd"/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Rio Verde – GO, </w:t>
      </w:r>
      <w:hyperlink r:id="rId11" w:history="1">
        <w:r w:rsidR="00CD5B4D" w:rsidRPr="00D026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lucaskubelke@outlook.com</w:t>
        </w:r>
      </w:hyperlink>
      <w:r w:rsidR="00CD5B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230C28E" w14:textId="482B2AAE" w:rsidR="000C51D0" w:rsidRDefault="000C51D0" w:rsidP="000C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Pr="000C51D0">
        <w:t xml:space="preserve"> 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Acadêmica na Pontifícia Universidade Católica de Goiás – PUC-GO, Goiânia – GO, </w:t>
      </w:r>
      <w:hyperlink r:id="rId12" w:history="1">
        <w:r w:rsidR="00CD5B4D" w:rsidRPr="00D026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marialuciabatistatoledo@gmail.com</w:t>
        </w:r>
      </w:hyperlink>
      <w:r w:rsidR="00CD5B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63132339" w14:textId="39F25017" w:rsidR="000C51D0" w:rsidRDefault="000C51D0" w:rsidP="000C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 w:rsidRPr="000C51D0">
        <w:t xml:space="preserve"> 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Acadêmico na Universidade do Estado do Amazonas - UEA, Manaus - AM, </w:t>
      </w:r>
      <w:hyperlink r:id="rId13" w:history="1">
        <w:r w:rsidR="00CD5B4D" w:rsidRPr="00D026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paulopneto25@gmail.com</w:t>
        </w:r>
      </w:hyperlink>
      <w:r w:rsidR="00CD5B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87310D5" w14:textId="5B58A01C" w:rsidR="000C51D0" w:rsidRDefault="000C51D0" w:rsidP="000C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8</w:t>
      </w:r>
      <w:r w:rsidRPr="000C51D0">
        <w:t xml:space="preserve"> 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Acadêmica no Centro Universitário </w:t>
      </w:r>
      <w:proofErr w:type="spellStart"/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Euroamericano</w:t>
      </w:r>
      <w:proofErr w:type="spellEnd"/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Unieuro</w:t>
      </w:r>
      <w:proofErr w:type="spellEnd"/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Brasília - DF, </w:t>
      </w:r>
      <w:hyperlink r:id="rId14" w:history="1">
        <w:r w:rsidR="00CD5B4D" w:rsidRPr="00D026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marialuciabatistatoledo@gmail.com</w:t>
        </w:r>
      </w:hyperlink>
      <w:r w:rsidR="00CD5B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E422AD7" w14:textId="16B84E7E" w:rsidR="000C51D0" w:rsidRDefault="000C51D0" w:rsidP="000C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 w:rsidRPr="000C51D0">
        <w:t xml:space="preserve"> 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Acadêmica na Universidade Potiguar – UNP, Natal – RN, </w:t>
      </w:r>
      <w:hyperlink r:id="rId15" w:history="1">
        <w:r w:rsidR="00CD5B4D" w:rsidRPr="00D026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mariaclararaulino23@gmail.com</w:t>
        </w:r>
      </w:hyperlink>
      <w:r w:rsidR="00CD5B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5BEE613" w14:textId="3ECBFC1D" w:rsidR="003E3663" w:rsidRDefault="000C51D0" w:rsidP="000C5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10</w:t>
      </w:r>
      <w:r w:rsidRPr="000C51D0">
        <w:t xml:space="preserve"> 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Medicina, Acadêmica na </w:t>
      </w:r>
      <w:proofErr w:type="spellStart"/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>Unig</w:t>
      </w:r>
      <w:proofErr w:type="spellEnd"/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Universidade Iguaçu, Nova Iguaçu – RJ, </w:t>
      </w:r>
      <w:hyperlink r:id="rId16" w:history="1">
        <w:r w:rsidR="00CD5B4D" w:rsidRPr="00D02696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nicolegondim03@gmail.com</w:t>
        </w:r>
      </w:hyperlink>
      <w:r w:rsidR="00CD5B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C51D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D5B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A2AC4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378D4C82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INTRODUÇÃO</w:t>
      </w:r>
    </w:p>
    <w:p w14:paraId="42BCD664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diabetes mellitus tipo 2 (DM2) é uma condição metabólica crônica que afeta milhões de pessoas em todo o mundo,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sendo uma das principais causas de mortalidade e morbidade associada a complicações cardiovasculares. Estudos indicam que a prevalência do DM2 continua a aumentar globalmente, em grande parte devido a fatores como sedentarismo, obesidade e envelhecimento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opulacional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Diabetes Federation, 2021). As complicações cardiovasculares, incluindo infarto do miocárdio, acidente vascular cerebral e insuficiência cardíaca, são as principais causas de mortalidade entre pacientes com DM2, ressaltando a nec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essidade de intervenções eficazes para o controle glicêmico (Zhou et al., 2018).</w:t>
      </w:r>
    </w:p>
    <w:p w14:paraId="617998E3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controle glicêmico adequado é fundamental para a prevenção de complicações micro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macrovasculares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pacientes com DM2. A redução dos níveis de hemoglobina glicada (HbA1c)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 sido associada a uma diminuição do risco de complicações microvasculares, como retinopatia, nefropatia e neuropatia (DCCT/EDIC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2019). No entanto, a relação entre o controle glicêmico intensivo e a redução de complicações cardiovasculare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permanece controversa. Revisões sistemáticas e meta-análises têm mostrado que, embora o controle glicêmico intensivo possa reduzir o risco de infarto do miocárdio não fatal, os benefícios em termos de mortalidade cardiovascular geral são limitados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al., 2011;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Hemmingsen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al., 2013).</w:t>
      </w:r>
    </w:p>
    <w:p w14:paraId="10EB1F26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literatura atual ainda apresenta desafios na implementação de regimes intensivos de controle glicêmico, como o risco aumentado de hipoglicemia, que pode contrabalançar os benefícios cardiovasculares obtidos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Zoungas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al., 2017). Além disso, a adesão ao tratamento e as características individuais dos pacientes são fatores que influenciam diretamente os resultados e devem ser considerados ao se implementar estratégias de controle glicêmico intensivo (American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Diabetes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2022).</w:t>
      </w:r>
    </w:p>
    <w:p w14:paraId="2716B0C0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Neste contexto, é necessário o desenvolvimento de novos estudos que explorem de maneira mais detalhada a eficácia e a segurança do controle glicêmico intensivo, considerando diferentes subgrupos populacionais e com acompanhamen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 longo prazo. A hipótese central que este trabalho propõe investigar é que o controle glicêmico intensivo, quando implementado de forma segura e personalizada, pode reduzir significativamente as complicações cardiovasculares em pacientes com DM2. Este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estudo busca contribuir para a compreensão 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potenciais benefícios e riscos associados a essa abordagem terapêutica, fornecendo subsídios para a prática clínica baseada em evidências.</w:t>
      </w:r>
    </w:p>
    <w:p w14:paraId="2C877537" w14:textId="77777777" w:rsidR="003E3663" w:rsidRDefault="003E36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A8930C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551E2BEB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realização desta revisão de literatura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o título "Efeito do Controle Glicêmico Intensivo na Redução de Complicações Cardiovasculares em Pacientes com Diabetes", foi adotada uma metodologia sistemática, que seguiu as diretrizes recomendadas para revisões de literatura científica. O processo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ncluiu a definição das palavras-chave, a seleção das bases de dados, critérios de inclusão e exclusão de estudos, e o processo de análise crítica dos artigos selecionados.</w:t>
      </w:r>
    </w:p>
    <w:p w14:paraId="0187BA2E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Inicialmente, foram definidas as seguintes palavras-chave para a busca dos artigos: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"controle glicêmico intensivo", "complicações cardiovasculares", "diabetes mellitus tipo 2", "hipoglicemia", "risco cardiovascular", e "hemoglobina glicada (HbA1c)". Estas palavras foram combinadas utilizando operadores booleanos ("AND", "OR") para garanti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a abrangência das buscas e a recuperação de estudos relevantes.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bases de dados consultadas incluíram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Scopus, Web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Science, e Embase, devido à sua relevância e abrangência na área médica e biomédica. A busca foi realizada em artigos publicado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nos últimos 10 anos (2014-2024), assegurando a inclusão de estudos recentes e pertinentes ao tema. Para garantir a qualidade dos estudos incluídos, foram priorizados artigos publicados em periódicos com revisão por pares e fator de impacto relevante.</w:t>
      </w:r>
    </w:p>
    <w:p w14:paraId="4EFE2817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critérios de inclusão envolveram estudos que abordassem diretamente o impacto do controle glicêmico intensivo em pacientes com diabetes mellitus tipo 2, focando nos desfechos cardiovasculares, tais como infarto do miocárdio, acidente vascular cerebral e 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rte cardiovascular. Também foram incluídos estudos que exploraram os riscos associados ao controle intensivo, como a ocorrência de hipoglicemia grave. Foram excluídos estudos que não tratassem especificamente de complicações cardiovasculares, que não espec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ificassem os protocolos de controle glicêmico, ou que se concentrassem exclusivamente em populações pediátricas ou gestantes.</w:t>
      </w:r>
    </w:p>
    <w:p w14:paraId="0754C8BC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fim, os achados desta revisão foram discutidos à luz das diretrizes atuais de manejo do diabetes, com ênfase nos potenciais 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nefícios e riscos do controle glicêmico intensivo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prática clínica. Este estudo pretende contribuir para a compreensão do impacto do controle glicêmico intensivo e fornecer subsídios para a tomada de decisão clínica em pacientes com diabetes mellitus tip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2.</w:t>
      </w:r>
    </w:p>
    <w:p w14:paraId="5AA59316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1D089513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análise dos dados obtidos ao longo desta revisão de literatura focou-se na comparação entre os grupos de pacientes submetidos ao controle glicêmico intensivo e aqueles sob controle convencional. As tabelas e gráficos elabor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ados a partir dos estudos selecionados mostram de maneira clara as diferenças nos desfechos cardiovasculares entre esses dois grupos. Através de estatísticas descritivas, foi possível delinear o perfil da população estudada, que incluiu variáveis como 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tempo de diagnóstico de diabetes, comorbidades, e níveis de hemoglobina glicada (HbA1c). Esses dados permitiram uma análise mais robusta sobre a eficácia do controle glicêmico intensivo em diferentes subgrupos de pacientes, destacando o impacto do trata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mento personalizado na prática clínica.</w:t>
      </w:r>
    </w:p>
    <w:p w14:paraId="6D4BCAD3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achados principais desta revisão indicam que o controle glicêmico intensivo está associado a uma redução significativa nas complicações cardiovasculares, especialmente em pacientes com diabetes mellitus tipo 2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apresentavam níveis de HbA1c mais elevados no início do estudo. Estudos como 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Zoungas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 (2017)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Boussageon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 (2011) demonstraram que a redução dos níveis de HbA1c está diretamente correlacionada com a diminuição do risco de eventos cardiova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sculares maiores, como infarto do miocárdio e acidente vascular cerebral. No entanto, é importante notar que a magnitude desses benefícios varia entre os diferentes estudos, possivelmente devido às variações nos protocolos de tratamento e nas característic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da população estudada. Apesar dos resultados positivos, a revisão também revelou que, em alguns casos, a redução dos eventos cardiovasculares foi modesta, sugerindo a necessidade de abordagens mais personalizadas e de uma avaliação criteriosa dos riscos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benefícios em cada paciente.</w:t>
      </w:r>
    </w:p>
    <w:p w14:paraId="0FB0E117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relação aos resultados secundários, a incidência de eventos adversos, como hipoglicemia grave, foi uma preocupação significativa associada ao controle glicêmico intensivo. Estudos como o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Hemmingsen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al. (2013) eviden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ciaram que, embora o controle intensivo possa oferecer benefícios cardiovasculares, o risco de hipoglicemia aumenta, o que pode ter consequências graves para os pacientes. Esses eventos adversos destacam a importância de um monitoramento cuidadoso e da edu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cação do paciente para evitar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complicações relacionadas ao tratamento. Além disso, a revisão mostrou que a adesão ao tratamento é um fator crítico para o sucesso do controle glicêmico intensivo. Pacientes que seguem rigorosamente as orientações terapêutica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tendem a alcançar melhores resultados em termos de redução das complicações cardiovasculares, conforme evidenciado em diversos estudos incluídos nesta revisão. Contudo, a adesão pode ser um desafio, especialmente em regimes de tratamento mais complexos,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que reforça a necessidade de estratégias educacionais e de suporte contínuo aos pacientes.</w:t>
      </w:r>
    </w:p>
    <w:p w14:paraId="0FB7DA25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efeito do controle glicêmico intensivo na redução de complicações cardiovasculares em pacientes com diabetes continua a ser um tema de grande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relevância e debate na literatura científica. A evolução das práticas de controle glicêmico intensivo tem mostrado avanços significativos na redução de desfechos adversos, principalmente entre pacientes de alto risco. No entanto, desafios persistem, como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equilíbrio entre os benefícios cardiovasculares e o risco de hipoglicemia. A implementação de tais estratégias requer uma avaliação cuidadosa e individualizada, considerando as características únicas de cada paciente, sua comorbidade, e sua capacidade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aderir ao tratamento. Além disso, avanços tecnológicos, como o monitoramento contínuo da glicose e sistemas de administração de insulina de circuito fechado, oferecem novas oportunidades para otimizar o controle glicêmico intensivo com menor risco de hipog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licemia, abrindo caminhos promissores para a prática clínica futura.</w:t>
      </w:r>
    </w:p>
    <w:p w14:paraId="1B38660E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CONCLUSÃO/CONSIDERAÇÕES FINAIS</w:t>
      </w:r>
    </w:p>
    <w:p w14:paraId="5DAFEBCB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efeito do controle glicêmico intensivo na redução de complicações cardiovasculares em pacientes com diabetes continua a ser um tema de grande relevânci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e debate na literatura científica. A evolução das práticas de controle glicêmico intensivo tem mostrado avanços significativos na redução de desfechos adversos, principalmente entre pacientes de alto risco. No entanto, desafios persistem, como o equilíbr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entre os benefícios cardiovasculares e o risco de hipoglicemia. A implementação de tais estratégias requer uma avaliação cuidadosa e individualizada, considerando as características únicas de cada paciente, sua comorbidade, e sua capacidade de aderir ao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tratamento. </w:t>
      </w:r>
    </w:p>
    <w:p w14:paraId="40F5BA3D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Além disso, avanços tecnológicos, como o monitoramento contínuo da glicose e sistemas de administração de insulina de circuito fechado, oferecem novas oportunidades para otimizar o controle glicêmico intensivo com menor risco de hipoglicemia,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abrindo caminhos promissores para a prática clínica futura.</w:t>
      </w:r>
    </w:p>
    <w:p w14:paraId="2DF69ACA" w14:textId="77777777" w:rsidR="003E3663" w:rsidRDefault="00EA2AC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REFERÊNCIAS</w:t>
      </w:r>
    </w:p>
    <w:p w14:paraId="689D0F0C" w14:textId="77777777" w:rsidR="003E3663" w:rsidRDefault="00EA2AC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 DIABETES ASSOCIATION.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tandards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in Diabetes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—2022. Diabetes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45, Suplemento 1, p. S1-S264, 2022.</w:t>
      </w:r>
      <w:r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 </w:t>
      </w:r>
    </w:p>
    <w:p w14:paraId="6C572D20" w14:textId="77777777" w:rsidR="003E3663" w:rsidRDefault="003E36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6B28CC" w14:textId="77777777" w:rsidR="003E3663" w:rsidRDefault="00EA2AC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BOUSSAGEON, R.; BEJAN-ANGOULVANT, T.; SAADATIAN-ELAHI, M.; LAFONT, S.; BERGEONNEAU, C.; KASSAI, B.; ... &amp; CORNU, 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intensive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glucose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treatment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-cause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mortality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cardiovascular death,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microvascular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diabetes: 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randomised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controlled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BMJ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343, p. d4169, 2011.</w:t>
      </w:r>
    </w:p>
    <w:p w14:paraId="150903D6" w14:textId="77777777" w:rsidR="003E3663" w:rsidRDefault="003E36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E4E789" w14:textId="77777777" w:rsidR="003E3663" w:rsidRDefault="00EA2AC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HEMMINGSEN, B.; LUND, S. S.; GLUUD, C.; VAAG, A.; ALMDAL, T.; WETTERSLEV, 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Intensive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glycaemic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diabetes: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systematic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meta-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sequential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randomised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BMJ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343, p. d6898, 2013.</w:t>
      </w:r>
    </w:p>
    <w:p w14:paraId="09932E7E" w14:textId="77777777" w:rsidR="003E3663" w:rsidRDefault="003E36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6B4255" w14:textId="77777777" w:rsidR="003E3663" w:rsidRDefault="00EA2AC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INTERNATIONAL DIABETES FEDERATION.</w:t>
      </w:r>
      <w:r>
        <w:rPr>
          <w:rFonts w:ascii="Times New Roman" w:eastAsia="Times New Roman" w:hAnsi="Times New Roman" w:cs="Times New Roman" w:hint="eastAsia"/>
          <w:b/>
          <w:bCs/>
          <w:color w:val="000000"/>
          <w:sz w:val="24"/>
          <w:szCs w:val="24"/>
        </w:rPr>
        <w:t xml:space="preserve"> IDF Diabetes Atlas.</w:t>
      </w:r>
      <w:r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10th ed.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DC9750" w14:textId="77777777" w:rsidR="003E3663" w:rsidRDefault="003E36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5A935" w14:textId="77777777" w:rsidR="003E3663" w:rsidRDefault="00EA2AC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ZOUNGAS, S.; PATEL, A.; CHALMERS, J.; DE GALAN, B. E.; LI, Q.; BILLOT, L.; ... &amp; NEAL, B.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Severe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hypoglycemia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risks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vascular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death.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New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England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Medicine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363, n. 15, p. 1410-1418, 2017.</w:t>
      </w:r>
    </w:p>
    <w:sectPr w:rsidR="003E36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96AC" w14:textId="77777777" w:rsidR="00EA2AC4" w:rsidRDefault="00EA2AC4">
      <w:pPr>
        <w:spacing w:line="240" w:lineRule="auto"/>
      </w:pPr>
      <w:r>
        <w:separator/>
      </w:r>
    </w:p>
  </w:endnote>
  <w:endnote w:type="continuationSeparator" w:id="0">
    <w:p w14:paraId="48B6A214" w14:textId="77777777" w:rsidR="00EA2AC4" w:rsidRDefault="00EA2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C759" w14:textId="77777777" w:rsidR="003E3663" w:rsidRDefault="003E366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A461" w14:textId="77777777" w:rsidR="003E3663" w:rsidRDefault="003E366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1DC7" w14:textId="77777777" w:rsidR="003E3663" w:rsidRDefault="003E3663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50EB" w14:textId="77777777" w:rsidR="00EA2AC4" w:rsidRDefault="00EA2AC4">
      <w:pPr>
        <w:spacing w:after="0"/>
      </w:pPr>
      <w:r>
        <w:separator/>
      </w:r>
    </w:p>
  </w:footnote>
  <w:footnote w:type="continuationSeparator" w:id="0">
    <w:p w14:paraId="77553A51" w14:textId="77777777" w:rsidR="00EA2AC4" w:rsidRDefault="00EA2A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B353" w14:textId="77777777" w:rsidR="003E3663" w:rsidRDefault="00EA2AC4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7728" behindDoc="1" locked="0" layoutInCell="1" allowOverlap="1" wp14:anchorId="690C3BC5" wp14:editId="155DDA0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12192000"/>
          <wp:effectExtent l="0" t="0" r="0" b="0"/>
          <wp:wrapNone/>
          <wp:docPr id="6" name="WordPictureWatermark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2" descr="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21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65F1" w14:textId="77777777" w:rsidR="003E3663" w:rsidRDefault="00EA2AC4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C81C968" wp14:editId="2A188196">
          <wp:simplePos x="0" y="0"/>
          <wp:positionH relativeFrom="page">
            <wp:align>center</wp:align>
          </wp:positionH>
          <wp:positionV relativeFrom="paragraph">
            <wp:posOffset>-81915</wp:posOffset>
          </wp:positionV>
          <wp:extent cx="1932940" cy="934085"/>
          <wp:effectExtent l="0" t="0" r="10160" b="18415"/>
          <wp:wrapTopAndBottom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6DF0" w14:textId="77777777" w:rsidR="003E3663" w:rsidRDefault="00EA2AC4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752" behindDoc="1" locked="0" layoutInCell="1" allowOverlap="1" wp14:anchorId="09301310" wp14:editId="14580F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12192000"/>
          <wp:effectExtent l="0" t="0" r="0" b="0"/>
          <wp:wrapNone/>
          <wp:docPr id="7" name="WordPictureWatermark1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" descr="image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21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8B"/>
    <w:rsid w:val="000C51D0"/>
    <w:rsid w:val="003E3663"/>
    <w:rsid w:val="00465E8B"/>
    <w:rsid w:val="00632809"/>
    <w:rsid w:val="00797625"/>
    <w:rsid w:val="00BF5214"/>
    <w:rsid w:val="00CD5B4D"/>
    <w:rsid w:val="00EA2AC4"/>
    <w:rsid w:val="035D4591"/>
    <w:rsid w:val="0A45706B"/>
    <w:rsid w:val="211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90858"/>
  <w15:docId w15:val="{76A742EF-63F0-4872-9C83-125B4110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Cs w:val="24"/>
      <w:lang w:val="en-U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C51D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5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carrijo2018@gmail.com" TargetMode="External"/><Relationship Id="rId13" Type="http://schemas.openxmlformats.org/officeDocument/2006/relationships/hyperlink" Target="mailto:paulopneto25@gmail.com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mailto:contato.joaofilho@hotmail.com" TargetMode="External"/><Relationship Id="rId12" Type="http://schemas.openxmlformats.org/officeDocument/2006/relationships/hyperlink" Target="mailto:marialuciabatistatoledo@gmail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nicolegondim03@gmail.com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contato.joaofilho@hotmail.com" TargetMode="External"/><Relationship Id="rId11" Type="http://schemas.openxmlformats.org/officeDocument/2006/relationships/hyperlink" Target="mailto:lucaskubelke@outlook.com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mariaclararaulino23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wanessacandida_enf@hotmail.co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jordao025@gmail.com" TargetMode="External"/><Relationship Id="rId14" Type="http://schemas.openxmlformats.org/officeDocument/2006/relationships/hyperlink" Target="mailto:marialuciabatistatoledo@gmail.com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2408</Words>
  <Characters>13004</Characters>
  <Application>Microsoft Office Word</Application>
  <DocSecurity>0</DocSecurity>
  <Lines>108</Lines>
  <Paragraphs>30</Paragraphs>
  <ScaleCrop>false</ScaleCrop>
  <Company/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Especial</cp:lastModifiedBy>
  <cp:revision>4</cp:revision>
  <dcterms:created xsi:type="dcterms:W3CDTF">2023-08-12T02:40:00Z</dcterms:created>
  <dcterms:modified xsi:type="dcterms:W3CDTF">2024-08-16T02:36:00Z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6286F11C023840A39848943E2EDEE35A_13</vt:lpwstr>
  </property>
</Properties>
</file>