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-1090735</wp:posOffset>
            </wp:positionH>
            <wp:positionV relativeFrom="paragraph">
              <wp:posOffset>-923924</wp:posOffset>
            </wp:positionV>
            <wp:extent cx="7578284" cy="10711543"/>
            <wp:effectExtent b="0" l="0" r="0" t="0"/>
            <wp:wrapNone/>
            <wp:docPr descr="Texto, Carta&#10;&#10;O conteúdo gerado por IA pode estar incorreto." id="4" name="image4.png"/>
            <a:graphic>
              <a:graphicData uri="http://schemas.openxmlformats.org/drawingml/2006/picture">
                <pic:pic>
                  <pic:nvPicPr>
                    <pic:cNvPr descr="Texto, Carta&#10;&#10;O conteúdo gerado por IA pode estar incorreto." id="0" name="image4.png"/>
                    <pic:cNvPicPr preferRelativeResize="0"/>
                  </pic:nvPicPr>
                  <pic:blipFill>
                    <a:blip r:embed="rId7"/>
                    <a:srcRect b="0" l="0" r="0" t="0"/>
                    <a:stretch>
                      <a:fillRect/>
                    </a:stretch>
                  </pic:blipFill>
                  <pic:spPr>
                    <a:xfrm>
                      <a:off x="0" y="0"/>
                      <a:ext cx="7578284" cy="10711543"/>
                    </a:xfrm>
                    <a:prstGeom prst="rect"/>
                    <a:ln/>
                  </pic:spPr>
                </pic:pic>
              </a:graphicData>
            </a:graphic>
          </wp:anchor>
        </w:drawing>
      </w:r>
    </w:p>
    <w:p w:rsidR="00000000" w:rsidDel="00000000" w:rsidP="00000000" w:rsidRDefault="00000000" w:rsidRPr="00000000" w14:paraId="00000002">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500062</wp:posOffset>
                </wp:positionH>
                <wp:positionV relativeFrom="paragraph">
                  <wp:posOffset>6972300</wp:posOffset>
                </wp:positionV>
                <wp:extent cx="718651" cy="392080"/>
                <wp:effectExtent b="0" l="0" r="0" t="0"/>
                <wp:wrapNone/>
                <wp:docPr id="1" name=""/>
                <a:graphic>
                  <a:graphicData uri="http://schemas.microsoft.com/office/word/2010/wordprocessingShape">
                    <wps:wsp>
                      <wps:cNvSpPr/>
                      <wps:cNvPr id="2" name="Shape 2"/>
                      <wps:spPr>
                        <a:xfrm>
                          <a:off x="4991437" y="3588723"/>
                          <a:ext cx="709126" cy="382555"/>
                        </a:xfrm>
                        <a:prstGeom prst="roundRect">
                          <a:avLst>
                            <a:gd fmla="val 16667" name="adj"/>
                          </a:avLst>
                        </a:prstGeom>
                        <a:solidFill>
                          <a:srgbClr val="1A9B3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500062</wp:posOffset>
                </wp:positionH>
                <wp:positionV relativeFrom="paragraph">
                  <wp:posOffset>6972300</wp:posOffset>
                </wp:positionV>
                <wp:extent cx="718651" cy="39208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718651" cy="3920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6832600</wp:posOffset>
                </wp:positionV>
                <wp:extent cx="3703955" cy="1377111"/>
                <wp:effectExtent b="0" l="0" r="0" t="0"/>
                <wp:wrapNone/>
                <wp:docPr id="2" name=""/>
                <a:graphic>
                  <a:graphicData uri="http://schemas.microsoft.com/office/word/2010/wordprocessingShape">
                    <wps:wsp>
                      <wps:cNvSpPr/>
                      <wps:cNvPr id="3" name="Shape 3"/>
                      <wps:spPr>
                        <a:xfrm>
                          <a:off x="3498785" y="3098963"/>
                          <a:ext cx="3694430" cy="1362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rebuchet MS" w:cs="Trebuchet MS" w:eastAsia="Trebuchet MS" w:hAnsi="Trebuchet MS"/>
                                <w:b w:val="0"/>
                                <w:i w:val="0"/>
                                <w:smallCaps w:val="0"/>
                                <w:strike w:val="0"/>
                                <w:color w:val="1a9b3c"/>
                                <w:sz w:val="39"/>
                                <w:vertAlign w:val="baseline"/>
                              </w:rPr>
                              <w:t xml:space="preserve">Movimentos sociais e representações sindicais do campo: disputas, resistências e formas de organização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6832600</wp:posOffset>
                </wp:positionV>
                <wp:extent cx="3703955" cy="1377111"/>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3703955" cy="137711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447788</wp:posOffset>
                </wp:positionH>
                <wp:positionV relativeFrom="paragraph">
                  <wp:posOffset>7019925</wp:posOffset>
                </wp:positionV>
                <wp:extent cx="942863" cy="466725"/>
                <wp:effectExtent b="0" l="0" r="0" t="0"/>
                <wp:wrapNone/>
                <wp:docPr id="3" name=""/>
                <a:graphic>
                  <a:graphicData uri="http://schemas.microsoft.com/office/word/2010/wordprocessingShape">
                    <wps:wsp>
                      <wps:cNvSpPr/>
                      <wps:cNvPr id="4" name="Shape 4"/>
                      <wps:spPr>
                        <a:xfrm>
                          <a:off x="5061735" y="3532985"/>
                          <a:ext cx="811500" cy="494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rebuchet MS" w:cs="Trebuchet MS" w:eastAsia="Trebuchet MS" w:hAnsi="Trebuchet MS"/>
                                <w:b w:val="0"/>
                                <w:i w:val="0"/>
                                <w:smallCaps w:val="0"/>
                                <w:strike w:val="0"/>
                                <w:color w:val="f8edd1"/>
                                <w:sz w:val="28"/>
                                <w:vertAlign w:val="baseline"/>
                              </w:rPr>
                              <w:t xml:space="preserve">GT </w:t>
                            </w:r>
                            <w:r w:rsidDel="00000000" w:rsidR="00000000" w:rsidRPr="00000000">
                              <w:rPr>
                                <w:rFonts w:ascii="Trebuchet MS" w:cs="Trebuchet MS" w:eastAsia="Trebuchet MS" w:hAnsi="Trebuchet MS"/>
                                <w:b w:val="0"/>
                                <w:i w:val="0"/>
                                <w:smallCaps w:val="0"/>
                                <w:strike w:val="0"/>
                                <w:color w:val="f8edd1"/>
                                <w:sz w:val="28"/>
                                <w:vertAlign w:val="baseline"/>
                              </w:rPr>
                              <w:t xml:space="preserve">07</w:t>
                            </w:r>
                            <w:r w:rsidDel="00000000" w:rsidR="00000000" w:rsidRPr="00000000">
                              <w:rPr>
                                <w:rFonts w:ascii="Trebuchet MS" w:cs="Trebuchet MS" w:eastAsia="Trebuchet MS" w:hAnsi="Trebuchet MS"/>
                                <w:b w:val="0"/>
                                <w:i w:val="0"/>
                                <w:smallCaps w:val="0"/>
                                <w:strike w:val="0"/>
                                <w:color w:val="f8edd1"/>
                                <w:sz w:val="28"/>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447788</wp:posOffset>
                </wp:positionH>
                <wp:positionV relativeFrom="paragraph">
                  <wp:posOffset>7019925</wp:posOffset>
                </wp:positionV>
                <wp:extent cx="942863" cy="466725"/>
                <wp:effectExtent b="0" l="0" r="0" t="0"/>
                <wp:wrapNone/>
                <wp:docPr id="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942863" cy="466725"/>
                        </a:xfrm>
                        <a:prstGeom prst="rect"/>
                        <a:ln/>
                      </pic:spPr>
                    </pic:pic>
                  </a:graphicData>
                </a:graphic>
              </wp:anchor>
            </w:drawing>
          </mc:Fallback>
        </mc:AlternateContent>
      </w:r>
    </w:p>
    <w:p w:rsidR="00000000" w:rsidDel="00000000" w:rsidP="00000000" w:rsidRDefault="00000000" w:rsidRPr="00000000" w14:paraId="00000003">
      <w:pPr>
        <w:spacing w:after="240" w:line="360" w:lineRule="auto"/>
        <w:jc w:val="center"/>
        <w:rPr>
          <w:b w:val="1"/>
        </w:rPr>
      </w:pPr>
      <w:r w:rsidDel="00000000" w:rsidR="00000000" w:rsidRPr="00000000">
        <w:rPr>
          <w:b w:val="1"/>
          <w:rtl w:val="0"/>
        </w:rPr>
        <w:t xml:space="preserve">MEMÓRIA E RESISTÊNCIA CAMPONESA: A EXPERIÊNCIA DAS LIGAS CAMPONESAS DE SAPÉ-PB</w:t>
      </w:r>
    </w:p>
    <w:p w:rsidR="00000000" w:rsidDel="00000000" w:rsidP="00000000" w:rsidRDefault="00000000" w:rsidRPr="00000000" w14:paraId="00000004">
      <w:pPr>
        <w:spacing w:line="360" w:lineRule="auto"/>
        <w:jc w:val="both"/>
        <w:rPr>
          <w:b w:val="1"/>
        </w:rPr>
      </w:pPr>
      <w:r w:rsidDel="00000000" w:rsidR="00000000" w:rsidRPr="00000000">
        <w:rPr>
          <w:rtl w:val="0"/>
        </w:rPr>
      </w:r>
    </w:p>
    <w:p w:rsidR="00000000" w:rsidDel="00000000" w:rsidP="00000000" w:rsidRDefault="00000000" w:rsidRPr="00000000" w14:paraId="00000005">
      <w:pPr>
        <w:spacing w:line="360" w:lineRule="auto"/>
        <w:jc w:val="center"/>
        <w:rPr/>
      </w:pPr>
      <w:r w:rsidDel="00000000" w:rsidR="00000000" w:rsidRPr="00000000">
        <w:rPr>
          <w:rtl w:val="0"/>
        </w:rPr>
      </w:r>
    </w:p>
    <w:p w:rsidR="00000000" w:rsidDel="00000000" w:rsidP="00000000" w:rsidRDefault="00000000" w:rsidRPr="00000000" w14:paraId="00000006">
      <w:pPr>
        <w:spacing w:line="360" w:lineRule="auto"/>
        <w:ind w:hanging="2"/>
        <w:jc w:val="center"/>
        <w:rPr/>
      </w:pPr>
      <w:r w:rsidDel="00000000" w:rsidR="00000000" w:rsidRPr="00000000">
        <w:rPr>
          <w:rtl w:val="0"/>
        </w:rPr>
      </w:r>
    </w:p>
    <w:p w:rsidR="00000000" w:rsidDel="00000000" w:rsidP="00000000" w:rsidRDefault="00000000" w:rsidRPr="00000000" w14:paraId="00000007">
      <w:pPr>
        <w:spacing w:line="360" w:lineRule="auto"/>
        <w:ind w:hanging="2"/>
        <w:jc w:val="center"/>
        <w:rPr>
          <w:vertAlign w:val="superscript"/>
        </w:rPr>
      </w:pPr>
      <w:r w:rsidDel="00000000" w:rsidR="00000000" w:rsidRPr="00000000">
        <w:rPr>
          <w:rtl w:val="0"/>
        </w:rPr>
        <w:t xml:space="preserve">Nayara Gomes Leite</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8">
      <w:pPr>
        <w:spacing w:line="360" w:lineRule="auto"/>
        <w:ind w:hanging="2"/>
        <w:jc w:val="left"/>
        <w:rPr/>
      </w:pPr>
      <w:r w:rsidDel="00000000" w:rsidR="00000000" w:rsidRPr="00000000">
        <w:rPr>
          <w:rtl w:val="0"/>
        </w:rPr>
      </w:r>
    </w:p>
    <w:p w:rsidR="00000000" w:rsidDel="00000000" w:rsidP="00000000" w:rsidRDefault="00000000" w:rsidRPr="00000000" w14:paraId="00000009">
      <w:pPr>
        <w:spacing w:line="360" w:lineRule="auto"/>
        <w:ind w:hanging="2"/>
        <w:rPr>
          <w:color w:val="ff0000"/>
        </w:rPr>
      </w:pPr>
      <w:r w:rsidDel="00000000" w:rsidR="00000000" w:rsidRPr="00000000">
        <w:rPr>
          <w:rtl w:val="0"/>
        </w:rPr>
      </w:r>
    </w:p>
    <w:p w:rsidR="00000000" w:rsidDel="00000000" w:rsidP="00000000" w:rsidRDefault="00000000" w:rsidRPr="00000000" w14:paraId="0000000A">
      <w:pPr>
        <w:spacing w:line="360" w:lineRule="auto"/>
        <w:ind w:hanging="2"/>
        <w:jc w:val="both"/>
        <w:rPr>
          <w:color w:val="ff0000"/>
        </w:rPr>
      </w:pPr>
      <w:r w:rsidDel="00000000" w:rsidR="00000000" w:rsidRPr="00000000">
        <w:rPr>
          <w:rtl w:val="0"/>
        </w:rPr>
      </w:r>
    </w:p>
    <w:p w:rsidR="00000000" w:rsidDel="00000000" w:rsidP="00000000" w:rsidRDefault="00000000" w:rsidRPr="00000000" w14:paraId="0000000B">
      <w:pPr>
        <w:spacing w:line="360" w:lineRule="auto"/>
        <w:ind w:hanging="2"/>
        <w:jc w:val="both"/>
        <w:rPr/>
      </w:pPr>
      <w:r w:rsidDel="00000000" w:rsidR="00000000" w:rsidRPr="00000000">
        <w:rPr>
          <w:b w:val="1"/>
          <w:rtl w:val="0"/>
        </w:rPr>
        <w:t xml:space="preserve">GT 07: </w:t>
      </w:r>
      <w:r w:rsidDel="00000000" w:rsidR="00000000" w:rsidRPr="00000000">
        <w:rPr>
          <w:rtl w:val="0"/>
        </w:rPr>
        <w:t xml:space="preserve">Movimentos sociais e representações sindicais do campo: disputas, resistências e formas de organização.</w:t>
      </w:r>
      <w:r w:rsidDel="00000000" w:rsidR="00000000" w:rsidRPr="00000000">
        <w:rPr>
          <w:rtl w:val="0"/>
        </w:rPr>
      </w:r>
    </w:p>
    <w:p w:rsidR="00000000" w:rsidDel="00000000" w:rsidP="00000000" w:rsidRDefault="00000000" w:rsidRPr="00000000" w14:paraId="0000000C">
      <w:pPr>
        <w:tabs>
          <w:tab w:val="left" w:leader="none" w:pos="3544"/>
        </w:tabs>
        <w:spacing w:line="360" w:lineRule="auto"/>
        <w:ind w:hanging="2"/>
        <w:jc w:val="center"/>
        <w:rPr/>
      </w:pPr>
      <w:r w:rsidDel="00000000" w:rsidR="00000000" w:rsidRPr="00000000">
        <w:rPr>
          <w:rtl w:val="0"/>
        </w:rPr>
      </w:r>
    </w:p>
    <w:p w:rsidR="00000000" w:rsidDel="00000000" w:rsidP="00000000" w:rsidRDefault="00000000" w:rsidRPr="00000000" w14:paraId="0000000D">
      <w:pPr>
        <w:spacing w:line="360" w:lineRule="auto"/>
        <w:ind w:hanging="2"/>
        <w:jc w:val="center"/>
        <w:rPr>
          <w:b w:val="1"/>
        </w:rPr>
      </w:pPr>
      <w:r w:rsidDel="00000000" w:rsidR="00000000" w:rsidRPr="00000000">
        <w:rPr>
          <w:b w:val="1"/>
          <w:rtl w:val="0"/>
        </w:rPr>
        <w:t xml:space="preserve">RESUMO </w:t>
      </w:r>
    </w:p>
    <w:p w:rsidR="00000000" w:rsidDel="00000000" w:rsidP="00000000" w:rsidRDefault="00000000" w:rsidRPr="00000000" w14:paraId="0000000E">
      <w:pPr>
        <w:spacing w:line="360" w:lineRule="auto"/>
        <w:ind w:hanging="2"/>
        <w:jc w:val="center"/>
        <w:rPr/>
      </w:pPr>
      <w:r w:rsidDel="00000000" w:rsidR="00000000" w:rsidRPr="00000000">
        <w:rPr>
          <w:color w:val="000000"/>
          <w:rtl w:val="0"/>
        </w:rPr>
        <w:t xml:space="preserve">(100 a 150 palavras)</w:t>
      </w:r>
      <w:r w:rsidDel="00000000" w:rsidR="00000000" w:rsidRPr="00000000">
        <w:rPr>
          <w:rtl w:val="0"/>
        </w:rPr>
      </w:r>
    </w:p>
    <w:p w:rsidR="00000000" w:rsidDel="00000000" w:rsidP="00000000" w:rsidRDefault="00000000" w:rsidRPr="00000000" w14:paraId="0000000F">
      <w:pPr>
        <w:spacing w:line="360" w:lineRule="auto"/>
        <w:ind w:hanging="2"/>
        <w:jc w:val="both"/>
        <w:rPr/>
      </w:pPr>
      <w:r w:rsidDel="00000000" w:rsidR="00000000" w:rsidRPr="00000000">
        <w:rPr>
          <w:rtl w:val="0"/>
        </w:rPr>
        <w:t xml:space="preserve">O presente trabalho analisa a experiência das Ligas Camponesas de Sapé-PB à luz dos conceitos de memória coletiva e memoriação. Com base em autores como Halbwachs (1990), Bosi (2006) e Tolentino (2016a, 2023b), investiga-se como a memória camponesa e o Memorial das Ligas e Lutas Camponesas (MLLC) atua como instrumento de resistência política e social no campo. A pesquisa utiliza metodologia qualitativa e se apoia em revisão bibliográfica e documental sobre o movimento camponês, com foco nas experiências de luta, repressão e preservação da memória. O estudo revela que a memória não é apenas lembrança, mas ação, uma forma de manter viva a coletividade, atualizar os sentidos da luta por justiça social e fortalecer os laços entre passado e presente.</w:t>
      </w:r>
    </w:p>
    <w:p w:rsidR="00000000" w:rsidDel="00000000" w:rsidP="00000000" w:rsidRDefault="00000000" w:rsidRPr="00000000" w14:paraId="00000010">
      <w:pPr>
        <w:spacing w:line="360" w:lineRule="auto"/>
        <w:ind w:hanging="2"/>
        <w:jc w:val="both"/>
        <w:rPr/>
      </w:pPr>
      <w:r w:rsidDel="00000000" w:rsidR="00000000" w:rsidRPr="00000000">
        <w:rPr>
          <w:rtl w:val="0"/>
        </w:rPr>
        <w:t xml:space="preserve">Palavras-chave: Ligas Camponesas; Memória coletiva; Memoriação; Sapé-PB.</w:t>
      </w:r>
    </w:p>
    <w:p w:rsidR="00000000" w:rsidDel="00000000" w:rsidP="00000000" w:rsidRDefault="00000000" w:rsidRPr="00000000" w14:paraId="00000011">
      <w:pPr>
        <w:spacing w:line="360" w:lineRule="auto"/>
        <w:ind w:hanging="2"/>
        <w:jc w:val="both"/>
        <w:rPr/>
      </w:pPr>
      <w:r w:rsidDel="00000000" w:rsidR="00000000" w:rsidRPr="00000000">
        <w:rPr>
          <w:rtl w:val="0"/>
        </w:rPr>
      </w:r>
    </w:p>
    <w:p w:rsidR="00000000" w:rsidDel="00000000" w:rsidP="00000000" w:rsidRDefault="00000000" w:rsidRPr="00000000" w14:paraId="00000012">
      <w:pPr>
        <w:spacing w:line="360" w:lineRule="auto"/>
        <w:ind w:hanging="2"/>
        <w:jc w:val="both"/>
        <w:rPr>
          <w:color w:val="000000"/>
        </w:rPr>
      </w:pPr>
      <w:r w:rsidDel="00000000" w:rsidR="00000000" w:rsidRPr="00000000">
        <w:rPr>
          <w:rtl w:val="0"/>
        </w:rPr>
      </w:r>
    </w:p>
    <w:p w:rsidR="00000000" w:rsidDel="00000000" w:rsidP="00000000" w:rsidRDefault="00000000" w:rsidRPr="00000000" w14:paraId="00000013">
      <w:pPr>
        <w:spacing w:line="360" w:lineRule="auto"/>
        <w:jc w:val="both"/>
        <w:rPr/>
      </w:pPr>
      <w:r w:rsidDel="00000000" w:rsidR="00000000" w:rsidRPr="00000000">
        <w:rPr>
          <w:rtl w:val="0"/>
        </w:rPr>
      </w:r>
    </w:p>
    <w:p w:rsidR="00000000" w:rsidDel="00000000" w:rsidP="00000000" w:rsidRDefault="00000000" w:rsidRPr="00000000" w14:paraId="00000014">
      <w:pPr>
        <w:spacing w:line="360" w:lineRule="auto"/>
        <w:jc w:val="both"/>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spacing w:line="360" w:lineRule="auto"/>
        <w:jc w:val="both"/>
        <w:rPr>
          <w:b w:val="1"/>
        </w:rPr>
      </w:pPr>
      <w:r w:rsidDel="00000000" w:rsidR="00000000" w:rsidRPr="00000000">
        <w:rPr>
          <w:rtl w:val="0"/>
        </w:rPr>
      </w:r>
    </w:p>
    <w:p w:rsidR="00000000" w:rsidDel="00000000" w:rsidP="00000000" w:rsidRDefault="00000000" w:rsidRPr="00000000" w14:paraId="00000018">
      <w:pPr>
        <w:spacing w:line="360" w:lineRule="auto"/>
        <w:jc w:val="both"/>
        <w:rPr>
          <w:b w:val="1"/>
        </w:rPr>
      </w:pPr>
      <w:r w:rsidDel="00000000" w:rsidR="00000000" w:rsidRPr="00000000">
        <w:rPr>
          <w:b w:val="1"/>
          <w:rtl w:val="0"/>
        </w:rPr>
        <w:t xml:space="preserve">INTRODUÇÃO</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spacing w:line="360" w:lineRule="auto"/>
        <w:jc w:val="both"/>
        <w:rPr/>
      </w:pPr>
      <w:r w:rsidDel="00000000" w:rsidR="00000000" w:rsidRPr="00000000">
        <w:rPr>
          <w:rtl w:val="0"/>
        </w:rPr>
        <w:t xml:space="preserve">As lutas camponesas no Brasil configuram uma longa trajetória de enfrentamento às desigualdades fundiárias, à exploração do trabalho rural e à invisibilização histórica dos sujeitos do campo. No contexto paraibano, as Ligas Camponesas representaram um marco importante nesse processo, articulando trabalhadores(as) rurais em torno da defesa da terra, da dignidade e da justiça social. Mais do que um capítulo encerrado da história, essas experiências permanecem vivas por meio das memórias preservadas, atualizadas e politizadas por indivíduos e coletivos que continuam a resistir.</w:t>
      </w:r>
    </w:p>
    <w:p w:rsidR="00000000" w:rsidDel="00000000" w:rsidP="00000000" w:rsidRDefault="00000000" w:rsidRPr="00000000" w14:paraId="0000001B">
      <w:pPr>
        <w:spacing w:line="360" w:lineRule="auto"/>
        <w:jc w:val="both"/>
        <w:rPr/>
      </w:pPr>
      <w:r w:rsidDel="00000000" w:rsidR="00000000" w:rsidRPr="00000000">
        <w:rPr>
          <w:rtl w:val="0"/>
        </w:rPr>
        <w:t xml:space="preserve">No Brasil, a luta pela terra está marcada por um histórico de exclusão, violência e concentração fundiária, que moldou as relações sociais no campo desde o período colonial(MARTINS, 1994). Os movimentos camponeses, como as Ligas, emergiram como resposta coletiva a essas desigualdades, buscando não apenas o acesso à terra, mas também o reconhecimento político e social dos(as) trabalhadores(as) rurais (RANGEL, 2000). </w:t>
      </w:r>
    </w:p>
    <w:p w:rsidR="00000000" w:rsidDel="00000000" w:rsidP="00000000" w:rsidRDefault="00000000" w:rsidRPr="00000000" w14:paraId="0000001C">
      <w:pPr>
        <w:spacing w:line="360" w:lineRule="auto"/>
        <w:jc w:val="both"/>
        <w:rPr/>
      </w:pPr>
      <w:r w:rsidDel="00000000" w:rsidR="00000000" w:rsidRPr="00000000">
        <w:rPr>
          <w:rtl w:val="0"/>
        </w:rPr>
        <w:t xml:space="preserve">O Memorial das Ligas e Lutas Camponesas (MLLC), localizado na comunidade de Barra de Antas, no município de Sapé-PB, emerge como um espaço de compartilhamento das memórias e de ação política, no qual a memória camponesa é utilizada como instrumento de resistência e afirmação coletiva. </w:t>
      </w:r>
    </w:p>
    <w:p w:rsidR="00000000" w:rsidDel="00000000" w:rsidP="00000000" w:rsidRDefault="00000000" w:rsidRPr="00000000" w14:paraId="0000001D">
      <w:pPr>
        <w:spacing w:line="360" w:lineRule="auto"/>
        <w:jc w:val="both"/>
        <w:rPr/>
      </w:pPr>
      <w:r w:rsidDel="00000000" w:rsidR="00000000" w:rsidRPr="00000000">
        <w:rPr>
          <w:rtl w:val="0"/>
        </w:rPr>
        <w:t xml:space="preserve">A pesquisa tem como objetivo geral compreender de que maneira a memória e a memoriação operam como instrumentos de resistência política no contexto das lutas camponesas fortalecendo os vínculos entre história, identidade camponesa e luta social no campo brasileiro contemporâneo (TOLENTINO, 2023). Como objetivos específicos, buscou-se: analisar a trajetória histórica das Ligas Camponesas de Sapé-PB; discutir os conceitos de memória coletiva e memoriação à luz da realidade camponesa; e examinar as ações do Memorial das Ligas e Lutas Camponesas como espaço de preservação e ativação das memórias camponesas.</w:t>
      </w:r>
    </w:p>
    <w:p w:rsidR="00000000" w:rsidDel="00000000" w:rsidP="00000000" w:rsidRDefault="00000000" w:rsidRPr="00000000" w14:paraId="0000001E">
      <w:pPr>
        <w:spacing w:line="360" w:lineRule="auto"/>
        <w:jc w:val="both"/>
        <w:rPr/>
      </w:pPr>
      <w:r w:rsidDel="00000000" w:rsidR="00000000" w:rsidRPr="00000000">
        <w:rPr>
          <w:rtl w:val="0"/>
        </w:rPr>
        <w:t xml:space="preserve">A partir das contribuições de Maurice Halbwachs (1990), Ecléa Bosi (2006) e Atila Tolentino (2016; 2023), a análise é guiada por dois conceitos centrais: o de memória coletiva, entendida como a construção social das lembranças partilhadas por grupos, e o de memoriação, compreendido como ação intencional de sujeitos sobre essas memórias, atribuindo-lhes novos sentidos no presente.</w:t>
      </w:r>
    </w:p>
    <w:p w:rsidR="00000000" w:rsidDel="00000000" w:rsidP="00000000" w:rsidRDefault="00000000" w:rsidRPr="00000000" w14:paraId="0000001F">
      <w:pPr>
        <w:spacing w:line="360" w:lineRule="auto"/>
        <w:jc w:val="both"/>
        <w:rPr/>
      </w:pPr>
      <w:r w:rsidDel="00000000" w:rsidR="00000000" w:rsidRPr="00000000">
        <w:rPr>
          <w:rtl w:val="0"/>
        </w:rPr>
        <w:t xml:space="preserve">Maurice Halbwachs (1990) foi um dos primeiros autores a formular a noção de memória coletiva como um fenômeno social dentro da Sociologia, rompendo com a ideia de que a memória fosse exclusivamente individual, predominantemente presente na Psicologia. Para o autor, nossas lembranças são sempre construídas em diálogo com os grupos dos quais fazemos parte (família, religião, classe, vizinhança, militância). A memória individual, nesse sentido, é inseparável dos quadros sociais que a moldam e organizam. No caso das lutas camponesas, isso significa que as experiências de resistência à exploração não se transmitem apenas por relatos individuais, mas por um conjunto de representações compartilhadas que dão sentido à história coletiva de uma comunidade. Essa perspectiva é necessária para compreender como as Ligas Camponesas de Sapé permanecem vivas na memória das comunidades, mesmo décadas após a dissolução. </w:t>
      </w:r>
    </w:p>
    <w:p w:rsidR="00000000" w:rsidDel="00000000" w:rsidP="00000000" w:rsidRDefault="00000000" w:rsidRPr="00000000" w14:paraId="00000020">
      <w:pPr>
        <w:spacing w:line="360" w:lineRule="auto"/>
        <w:jc w:val="both"/>
        <w:rPr/>
      </w:pPr>
      <w:r w:rsidDel="00000000" w:rsidR="00000000" w:rsidRPr="00000000">
        <w:rPr>
          <w:rtl w:val="0"/>
        </w:rPr>
        <w:t xml:space="preserve">Já Ecléa Bosi (2006), ao discutir a memória a partir do campo da psicologia social, propõe uma abordagem sensível e crítica, baseada na ideia de memória afetiva. Para a autora, lembrar é um ato carregado de sentimentos, intimamente relacionados ao lugar, aos vínculos e à vida cotidiana. Suas análises sobre a memória dos “velhos” revelam que a recordação não é algo estático, mas uma reconstrução subjetiva que envolve escolhas, ênfases e silêncios. No caso camponês, essa abordagem permite compreender como o afeto pelo território, pelas figuras que marcaram a luta (como João Pedro e Elizabeth), e pelos modos de vida comunitários, se entrelaça com a resistência. É nesse entrelaçamento que a memória se transforma em prática: aquilo que é lembrado não apenas </w:t>
      </w:r>
      <w:r w:rsidDel="00000000" w:rsidR="00000000" w:rsidRPr="00000000">
        <w:rPr>
          <w:rtl w:val="0"/>
        </w:rPr>
        <w:t xml:space="preserve">informa</w:t>
      </w:r>
      <w:r w:rsidDel="00000000" w:rsidR="00000000" w:rsidRPr="00000000">
        <w:rPr>
          <w:rtl w:val="0"/>
        </w:rPr>
        <w:t xml:space="preserve">, mas </w:t>
      </w:r>
      <w:r w:rsidDel="00000000" w:rsidR="00000000" w:rsidRPr="00000000">
        <w:rPr>
          <w:rtl w:val="0"/>
        </w:rPr>
        <w:t xml:space="preserve">forma</w:t>
      </w:r>
      <w:r w:rsidDel="00000000" w:rsidR="00000000" w:rsidRPr="00000000">
        <w:rPr>
          <w:rtl w:val="0"/>
        </w:rPr>
        <w:t xml:space="preserve"> socialmente.</w:t>
      </w:r>
    </w:p>
    <w:p w:rsidR="00000000" w:rsidDel="00000000" w:rsidP="00000000" w:rsidRDefault="00000000" w:rsidRPr="00000000" w14:paraId="00000021">
      <w:pPr>
        <w:spacing w:line="360" w:lineRule="auto"/>
        <w:jc w:val="both"/>
        <w:rPr/>
      </w:pPr>
      <w:r w:rsidDel="00000000" w:rsidR="00000000" w:rsidRPr="00000000">
        <w:rPr>
          <w:rtl w:val="0"/>
        </w:rPr>
        <w:t xml:space="preserve">Com base nessa tradição, Atila Tolentino (2016; 2023) trabalha o conceito de memoriação, entendido como a ação social e intencional sobre a memória coletiva. Segundo o autor, a memoriação não é apenas o ato de lembrar, mas a escolha consciente de ativar certos sentidos do passado no presente, com finalidades políticas, identitárias ou pedagógicas. Essa ação se manifesta em práticas como eventos, exposições, monumentos, encontros comunitários e rituais de lembrança, nos quais se compartilham histórias que fortalecem a coesão e a mobilização do grupo. No campo, onde o esquecimento é frequentemente uma estratégia de poder, a memoriação constitui-se como uma forma de resistência ativa. Assim, o Memorial das Ligas e Lutas Camponesas pode ser compreendido como um espaço de memoriação, onde as lembranças do passado camponês são ativadas para dar sentido às lutas atuais, como a reforma agrária, a justiça social e o direito à memória.</w:t>
      </w:r>
    </w:p>
    <w:p w:rsidR="00000000" w:rsidDel="00000000" w:rsidP="00000000" w:rsidRDefault="00000000" w:rsidRPr="00000000" w14:paraId="00000022">
      <w:pPr>
        <w:spacing w:line="360" w:lineRule="auto"/>
        <w:jc w:val="both"/>
        <w:rPr/>
      </w:pPr>
      <w:r w:rsidDel="00000000" w:rsidR="00000000" w:rsidRPr="00000000">
        <w:rPr>
          <w:rtl w:val="0"/>
        </w:rPr>
        <w:t xml:space="preserve">A abordagem metodológica adotada é qualitativa e baseia-se na análise documental e bibliográfica, com foco em produções que tratam da história das Ligas Camponesas, das práticas de memória no campo, dos conceitos utilizados nas discussões e da atuação do MLLC. Com isso, pretendeu-se construir uma abordagem crítica a partir do diálogo entre teoria e registros históricos, identificando os sentidos atribuídos às experiências camponesas ao longo do tempo e sua ressignificação no presente.</w:t>
      </w:r>
    </w:p>
    <w:p w:rsidR="00000000" w:rsidDel="00000000" w:rsidP="00000000" w:rsidRDefault="00000000" w:rsidRPr="00000000" w14:paraId="00000023">
      <w:pPr>
        <w:spacing w:line="360" w:lineRule="auto"/>
        <w:jc w:val="both"/>
        <w:rPr/>
      </w:pPr>
      <w:r w:rsidDel="00000000" w:rsidR="00000000" w:rsidRPr="00000000">
        <w:rPr>
          <w:rtl w:val="0"/>
        </w:rPr>
        <w:t xml:space="preserve">Trabalhar com fontes secundárias e registros de memória implica reconhecer que toda narrativa é uma construção situada. Ao adotar uma abordagem qualitativa com base em textos, documentos e estudos sobre as Ligas Camponesas, assumiu-se o compromisso de ler essas fontes como vestígios de experiências sociais que continuam a produzir sentidos no presente. Como aponta Bosi (2006), a memória não é neutra nem objetiva, mas carrega as marcas das emoções, das disputas e das ausências. Essa perspectiva exige uma postura crítica e sensível, que reconhece a parcialidade das fontes e, ao mesmo tempo, sua potência como instrumento de análise sociopolítica.</w:t>
      </w:r>
    </w:p>
    <w:p w:rsidR="00000000" w:rsidDel="00000000" w:rsidP="00000000" w:rsidRDefault="00000000" w:rsidRPr="00000000" w14:paraId="00000024">
      <w:pPr>
        <w:spacing w:line="360" w:lineRule="auto"/>
        <w:jc w:val="both"/>
        <w:rPr/>
      </w:pPr>
      <w:r w:rsidDel="00000000" w:rsidR="00000000" w:rsidRPr="00000000">
        <w:rPr>
          <w:rtl w:val="0"/>
        </w:rPr>
        <w:t xml:space="preserve">Este trabalho está organizado em três seções principais dentro do tópico do desenvolvimento. Na primeira, apresenta-se um panorama histórico sobre o surgimento das Ligas Camponesas de Sapé-PB e sua importância na luta por justiça social e reforma agrária. Em seguida, discute-se a dimensão teórica da memória coletiva e da memoriação, relacionando esses conceitos com as práticas políticas camponesas. Por fim, analisa-se o Memorial das Ligas e Lutas Camponesas como um espaço de resistência simbólica e de atualização das lutas no presente. As considerações finais retomam os principais argumentos, destacando a centralidade da memória como ferramenta política para as populações rurais.</w:t>
      </w:r>
    </w:p>
    <w:p w:rsidR="00000000" w:rsidDel="00000000" w:rsidP="00000000" w:rsidRDefault="00000000" w:rsidRPr="00000000" w14:paraId="00000025">
      <w:pPr>
        <w:spacing w:line="360" w:lineRule="auto"/>
        <w:jc w:val="both"/>
        <w:rPr/>
      </w:pPr>
      <w:r w:rsidDel="00000000" w:rsidR="00000000" w:rsidRPr="00000000">
        <w:rPr>
          <w:rtl w:val="0"/>
        </w:rPr>
      </w:r>
    </w:p>
    <w:p w:rsidR="00000000" w:rsidDel="00000000" w:rsidP="00000000" w:rsidRDefault="00000000" w:rsidRPr="00000000" w14:paraId="00000026">
      <w:pPr>
        <w:spacing w:line="360" w:lineRule="auto"/>
        <w:jc w:val="both"/>
        <w:rPr>
          <w:b w:val="1"/>
        </w:rPr>
      </w:pPr>
      <w:r w:rsidDel="00000000" w:rsidR="00000000" w:rsidRPr="00000000">
        <w:rPr>
          <w:b w:val="1"/>
          <w:rtl w:val="0"/>
        </w:rPr>
        <w:t xml:space="preserve">DESENVOLVIMENTO</w:t>
      </w:r>
    </w:p>
    <w:p w:rsidR="00000000" w:rsidDel="00000000" w:rsidP="00000000" w:rsidRDefault="00000000" w:rsidRPr="00000000" w14:paraId="00000027">
      <w:pPr>
        <w:spacing w:line="360" w:lineRule="auto"/>
        <w:jc w:val="both"/>
        <w:rPr/>
      </w:pPr>
      <w:r w:rsidDel="00000000" w:rsidR="00000000" w:rsidRPr="00000000">
        <w:rPr>
          <w:rtl w:val="0"/>
        </w:rPr>
        <w:t xml:space="preserve">A luta camponesa e as Ligas de Sapé: contexto e trajetória</w:t>
      </w:r>
    </w:p>
    <w:p w:rsidR="00000000" w:rsidDel="00000000" w:rsidP="00000000" w:rsidRDefault="00000000" w:rsidRPr="00000000" w14:paraId="00000028">
      <w:pPr>
        <w:spacing w:line="360" w:lineRule="auto"/>
        <w:jc w:val="both"/>
        <w:rPr/>
      </w:pPr>
      <w:r w:rsidDel="00000000" w:rsidR="00000000" w:rsidRPr="00000000">
        <w:rPr>
          <w:rtl w:val="0"/>
        </w:rPr>
        <w:t xml:space="preserve">As Ligas Camponesas foram uma das formas mais expressivas de organização política e social dos(as) trabalhadores(as) rurais no Brasil durante as décadas de 1950 e 1960. Embora a primeira tenha surgido no Engenho Galiléia, em Pernambuco, em 1954, foi na Paraíba, especialmente na cidade de Sapé, que o movimento encontrou uma de suas formas mais organizadas e atuantes. A região do Brejo Paraibano era marcada por grandes propriedades e uma intensa exploração do trabalho camponês, o que favoreceu o florescimento das lutas por terra, melhores condições de vida e justiça social (MARTINS, 1986).</w:t>
      </w:r>
    </w:p>
    <w:p w:rsidR="00000000" w:rsidDel="00000000" w:rsidP="00000000" w:rsidRDefault="00000000" w:rsidRPr="00000000" w14:paraId="00000029">
      <w:pPr>
        <w:spacing w:line="360" w:lineRule="auto"/>
        <w:jc w:val="both"/>
        <w:rPr/>
      </w:pPr>
      <w:r w:rsidDel="00000000" w:rsidR="00000000" w:rsidRPr="00000000">
        <w:rPr>
          <w:rtl w:val="0"/>
        </w:rPr>
        <w:t xml:space="preserve">Em Sapé, a liderança de João Pedro Teixeira foi considerada decisiva para a consolidação da organização camponesa. João Pedro, agricultor e liderança respeitada, articulou os(as) trabalhadores(as) locais a partir de princípios de solidariedade, coletividade e enfrentamento à estrutura fundiária existente (MUNIZ, 2010). Sua atuação foi fortalecida por setores da Igreja Católica e pelo Partido Comunista Brasileiro (PCB), que ofereciam apoio ideológico e estratégico às mobilizações camponesas (AUED, 1981).</w:t>
      </w:r>
    </w:p>
    <w:p w:rsidR="00000000" w:rsidDel="00000000" w:rsidP="00000000" w:rsidRDefault="00000000" w:rsidRPr="00000000" w14:paraId="0000002A">
      <w:pPr>
        <w:spacing w:line="360" w:lineRule="auto"/>
        <w:jc w:val="both"/>
        <w:rPr/>
      </w:pPr>
      <w:r w:rsidDel="00000000" w:rsidR="00000000" w:rsidRPr="00000000">
        <w:rPr>
          <w:rtl w:val="0"/>
        </w:rPr>
        <w:t xml:space="preserve">As ações desenvolvidas pelas Ligas envolviam desde reivindicações por salários justos até a luta pela reforma agrária, passando por práticas de educação política, reuniões, greves e a organização de sindicatos e associações. Esse contexto produziu um campo fértil para a construção de uma identidade coletiva camponesa, fundamentada na resistência à exploração e no direito à terra (RANGEL, 2000).</w:t>
      </w:r>
    </w:p>
    <w:p w:rsidR="00000000" w:rsidDel="00000000" w:rsidP="00000000" w:rsidRDefault="00000000" w:rsidRPr="00000000" w14:paraId="0000002B">
      <w:pPr>
        <w:spacing w:line="360" w:lineRule="auto"/>
        <w:jc w:val="both"/>
        <w:rPr/>
      </w:pPr>
      <w:r w:rsidDel="00000000" w:rsidR="00000000" w:rsidRPr="00000000">
        <w:rPr>
          <w:rtl w:val="0"/>
        </w:rPr>
        <w:t xml:space="preserve">Embora o foco desta pesquisa esteja centrado nas experiências paraibanas, é importante reconhecer que as Ligas Camponesas constituíram um movimento de alcance nacional (AUED, 1981). Sua atuação influenciou fortemente o debate sobre reforma agrária no país, e seus métodos de organização e politização camponesa foram inspiração para outras experiências de luta no campo, inclusive décadas depois, como no caso do surgimento do Movimento dos Trabalhadores Rurais Sem Terra (MST). A repressão brutal sofrida pelo movimento revelou o temor do Estado e das elites diante da possibilidade de transformação da estrutura fundiária brasileira (MARTINS, 1990). Ainda assim, as Ligas deixaram um legado que ultrapassa seu tempo histórico, sendo constantemente revisitadas por pesquisadores(as), militantes e movimentos sociais.</w:t>
      </w:r>
    </w:p>
    <w:p w:rsidR="00000000" w:rsidDel="00000000" w:rsidP="00000000" w:rsidRDefault="00000000" w:rsidRPr="00000000" w14:paraId="0000002C">
      <w:pPr>
        <w:spacing w:line="360" w:lineRule="auto"/>
        <w:jc w:val="both"/>
        <w:rPr/>
      </w:pPr>
      <w:r w:rsidDel="00000000" w:rsidR="00000000" w:rsidRPr="00000000">
        <w:rPr>
          <w:rtl w:val="0"/>
        </w:rPr>
        <w:t xml:space="preserve">O assassinato de João Pedro Teixeira, em abril de 1962, foi um marco da repressão às Ligas na Paraíba. Sua morte provocou forte comoção, ao mesmo tempo em que evidenciou os limites impostos pela estrutura oligárquica que dominava a política local. A repressão se aprofundou com o golpe civil-militar de 1964, quando diversas lideranças camponesas foram perseguidas, presas ou assassinadas, e as associações ligadas às Ligas foram dissolvidas à força.</w:t>
      </w:r>
    </w:p>
    <w:p w:rsidR="00000000" w:rsidDel="00000000" w:rsidP="00000000" w:rsidRDefault="00000000" w:rsidRPr="00000000" w14:paraId="0000002D">
      <w:pPr>
        <w:spacing w:line="360" w:lineRule="auto"/>
        <w:jc w:val="both"/>
        <w:rPr/>
      </w:pPr>
      <w:r w:rsidDel="00000000" w:rsidR="00000000" w:rsidRPr="00000000">
        <w:rPr>
          <w:rtl w:val="0"/>
        </w:rPr>
        <w:t xml:space="preserve">A repressão às Ligas Camponesas se intensificou com o golpe civil-militar de 1964, que marcou o fechamento dos canais institucionais de participação política popular e acirrou o controle sobre os movimentos sociais no campo. As Ligas, por serem associadas ao PCB e à organização de trabalhadores(as) rurais, foram rapidamente enquadradas como "ameaças à ordem", e seus membros passaram a ser perseguidos, torturados e silenciados. Como observa Martins (2008), o regime militar instituiu o medo que não apenas desarticulou fisicamente as organizações, mas também tentou apagar seus registros históricos. Esse contexto reforça a importância da memória como resistência: diante da tentativa de desaparecimento, lembrar torna-se um ato político crucial.</w:t>
      </w:r>
    </w:p>
    <w:p w:rsidR="00000000" w:rsidDel="00000000" w:rsidP="00000000" w:rsidRDefault="00000000" w:rsidRPr="00000000" w14:paraId="0000002E">
      <w:pPr>
        <w:spacing w:line="360" w:lineRule="auto"/>
        <w:jc w:val="both"/>
        <w:rPr/>
      </w:pPr>
      <w:r w:rsidDel="00000000" w:rsidR="00000000" w:rsidRPr="00000000">
        <w:rPr>
          <w:rtl w:val="0"/>
        </w:rPr>
        <w:t xml:space="preserve">Após a morte de João Pedro, foi Elizabeth Teixeira quem assumiu a continuidade da luta camponesa em Sapé. Camponesa, mãe de 11 filhos e viúva em um contexto de forte repressão política, Elizabeth passou a atuar diretamente na organização, mesmo sob constante ameaça. Sua figura tornou-se símbolo feminino no campo e da força das mulheres camponesas na luta pela terra. Elizabeth foi perseguida e obrigada a viver na clandestinidade por quase duas décadas, tendo sua vida marcada pela repressão do Estado e pela dor da perda, mas também pela coragem de manter viva a memória e a dignidade das lutas que travou ao lado do companheiro.</w:t>
      </w:r>
    </w:p>
    <w:p w:rsidR="00000000" w:rsidDel="00000000" w:rsidP="00000000" w:rsidRDefault="00000000" w:rsidRPr="00000000" w14:paraId="0000002F">
      <w:pPr>
        <w:spacing w:line="360" w:lineRule="auto"/>
        <w:jc w:val="both"/>
        <w:rPr/>
      </w:pPr>
      <w:r w:rsidDel="00000000" w:rsidR="00000000" w:rsidRPr="00000000">
        <w:rPr>
          <w:rtl w:val="0"/>
        </w:rPr>
        <w:t xml:space="preserve">Sua trajetória foi amplamente reconhecida e divulgada a partir do documentário </w:t>
      </w:r>
      <w:r w:rsidDel="00000000" w:rsidR="00000000" w:rsidRPr="00000000">
        <w:rPr>
          <w:i w:val="1"/>
          <w:rtl w:val="0"/>
        </w:rPr>
        <w:t xml:space="preserve">Cabra Marcado para Morrer</w:t>
      </w:r>
      <w:r w:rsidDel="00000000" w:rsidR="00000000" w:rsidRPr="00000000">
        <w:rPr>
          <w:rtl w:val="0"/>
        </w:rPr>
        <w:t xml:space="preserve">, dirigido por Eduardo Coutinho, que, ao narrar a história de João Pedro, acabou também registrando e devolvendo ao Brasil a história de Elizabeth. Sua presença nas lutas por memória, verdade e justiça é hoje um elo importante entre as gerações, sendo considerada como uma das maiores líderes camponesas do país. A sua atuação contribuiu decisivamente para que a memória das Ligas não fosse apagada, e sua figura representa até hoje a capacidade de luta dos sujeitos do campo, especialmente das mulheres, frente à violência do latifúndio e da repressão estatal.</w:t>
      </w:r>
    </w:p>
    <w:p w:rsidR="00000000" w:rsidDel="00000000" w:rsidP="00000000" w:rsidRDefault="00000000" w:rsidRPr="00000000" w14:paraId="00000030">
      <w:pPr>
        <w:spacing w:line="360" w:lineRule="auto"/>
        <w:jc w:val="both"/>
        <w:rPr>
          <w:highlight w:val="yellow"/>
        </w:rPr>
      </w:pPr>
      <w:r w:rsidDel="00000000" w:rsidR="00000000" w:rsidRPr="00000000">
        <w:rPr>
          <w:rtl w:val="0"/>
        </w:rPr>
        <w:t xml:space="preserve">Além de João Pedro e Elizabeth Teixeira, outras lideranças desempenharam papéis cruciais na organização das Ligas Camponesas em Sapé. Entre elas, destaca-se João Alfredo Dias, conhecido como Nego Fuba, trabalhador rural que atuou ativamente na mobilização dos(as) camponeses(as) da região e na condução de assembleias e greves, sendo reconhecido por sua capacidade de articulação e enfrentamento aos abusos dos latifundiários. Outro nome importante foi Pedro Inácio Araújo, o Pedro Fazendeiro, cuja atuação política e comunitária fortaleceu os vínculos entre os(as) trabalhadores(as) rurais e contribuiu para a consolidação das práticas coletivas de enfrentamento político. Essas figuras, ao lado de tantos outros(as) que não figuram nas narrativas oficiais, são considerados importantes para a construção de uma identidade camponesa baseada na solidariedade, na coragem e na luta por justiça. Valorizar suas memórias é reconhecer a dimensão coletiva e plural do movimento das Ligas, que não se resume a um único nome ou trajetória, mas de um povo que expressa a força na coletividade.</w:t>
      </w:r>
      <w:r w:rsidDel="00000000" w:rsidR="00000000" w:rsidRPr="00000000">
        <w:rPr>
          <w:rtl w:val="0"/>
        </w:rPr>
      </w:r>
    </w:p>
    <w:p w:rsidR="00000000" w:rsidDel="00000000" w:rsidP="00000000" w:rsidRDefault="00000000" w:rsidRPr="00000000" w14:paraId="00000031">
      <w:pPr>
        <w:spacing w:line="360" w:lineRule="auto"/>
        <w:jc w:val="both"/>
        <w:rPr>
          <w:highlight w:val="yellow"/>
        </w:rPr>
      </w:pPr>
      <w:r w:rsidDel="00000000" w:rsidR="00000000" w:rsidRPr="00000000">
        <w:rPr>
          <w:rtl w:val="0"/>
        </w:rPr>
      </w:r>
    </w:p>
    <w:p w:rsidR="00000000" w:rsidDel="00000000" w:rsidP="00000000" w:rsidRDefault="00000000" w:rsidRPr="00000000" w14:paraId="00000032">
      <w:pPr>
        <w:spacing w:line="360" w:lineRule="auto"/>
        <w:jc w:val="both"/>
        <w:rPr/>
      </w:pPr>
      <w:r w:rsidDel="00000000" w:rsidR="00000000" w:rsidRPr="00000000">
        <w:rPr>
          <w:rtl w:val="0"/>
        </w:rPr>
        <w:t xml:space="preserve">Memória e memoriação como ferramentas de resistência no campo</w:t>
      </w:r>
    </w:p>
    <w:p w:rsidR="00000000" w:rsidDel="00000000" w:rsidP="00000000" w:rsidRDefault="00000000" w:rsidRPr="00000000" w14:paraId="00000033">
      <w:pPr>
        <w:spacing w:line="360" w:lineRule="auto"/>
        <w:jc w:val="both"/>
        <w:rPr/>
      </w:pPr>
      <w:r w:rsidDel="00000000" w:rsidR="00000000" w:rsidRPr="00000000">
        <w:rPr>
          <w:rtl w:val="0"/>
        </w:rPr>
        <w:t xml:space="preserve">Como destaca Maurice Halbwachs (1990), a memória coletiva é construída a partir da vivência social dos grupos, e é por meio dela que as experiências de luta podem ser atualizadas e ressignificadas no presente. Nesse sentido, a história das Ligas de Sapé não se encerra com a repressão, mas segue sendo reativada, disputada e transmitida, especialmente a partir de espaços como o Memorial das Ligas e Lutas Camponesas.</w:t>
      </w:r>
    </w:p>
    <w:p w:rsidR="00000000" w:rsidDel="00000000" w:rsidP="00000000" w:rsidRDefault="00000000" w:rsidRPr="00000000" w14:paraId="00000034">
      <w:pPr>
        <w:spacing w:line="360" w:lineRule="auto"/>
        <w:jc w:val="both"/>
        <w:rPr/>
      </w:pPr>
      <w:r w:rsidDel="00000000" w:rsidR="00000000" w:rsidRPr="00000000">
        <w:rPr>
          <w:rtl w:val="0"/>
        </w:rPr>
        <w:t xml:space="preserve">As memórias associadas às lutas camponesas não se limitam a relatos sobre o passado, mas atuam como elementos estruturantes das identidades coletivas e como instrumentos de resistência política. A memória coletiva é constituída socialmente e depende do pertencimento dos indivíduos a determinados grupos Halbwachs (1990). É nesse compartilhamento das lembranças e na reconstrução contínua das experiências que os sujeitos reafirmam seus vínculos, valores e formas de agir. No caso das Ligas Camponesas de Sapé, a memória da luta por terra e justiça social ultrapassa o registro histórico e se inscreve na vivência cotidiana das comunidades camponesas.</w:t>
      </w:r>
    </w:p>
    <w:p w:rsidR="00000000" w:rsidDel="00000000" w:rsidP="00000000" w:rsidRDefault="00000000" w:rsidRPr="00000000" w14:paraId="00000035">
      <w:pPr>
        <w:spacing w:line="360" w:lineRule="auto"/>
        <w:jc w:val="both"/>
        <w:rPr/>
      </w:pPr>
      <w:r w:rsidDel="00000000" w:rsidR="00000000" w:rsidRPr="00000000">
        <w:rPr>
          <w:rtl w:val="0"/>
        </w:rPr>
        <w:t xml:space="preserve">Ao contrário de uma concepção de memória como algo fixo e passivo, Ecléa Bosi (2006) defende que lembrar é uma ação, um ato de reconstrução afetiva e crítica que dialoga com o presente. A memória não é um espelho do passado, mas uma elaboração ativa, constantemente atualizada a partir das experiências presentes. Nesse sentido, as narrativas sobre as Ligas Camponesas não são apenas lembradas, mas reconstruídas em função das necessidades e disputas do tempo atual, dando origem a formas simbólicas de continuidade da luta.</w:t>
      </w:r>
    </w:p>
    <w:p w:rsidR="00000000" w:rsidDel="00000000" w:rsidP="00000000" w:rsidRDefault="00000000" w:rsidRPr="00000000" w14:paraId="00000036">
      <w:pPr>
        <w:spacing w:line="360" w:lineRule="auto"/>
        <w:jc w:val="both"/>
        <w:rPr/>
      </w:pPr>
      <w:r w:rsidDel="00000000" w:rsidR="00000000" w:rsidRPr="00000000">
        <w:rPr>
          <w:rtl w:val="0"/>
        </w:rPr>
        <w:t xml:space="preserve">É nesse contexto que se insere o conceito de memoriação, trabalhado por Tolentino (2016; 2023), que diz respeito às práticas intencionais de ativação da memória coletiva com o objetivo de produzir sentidos compartilhados sobre o passado e o presente. Ela se manifesta por meio de rituais, eventos, narrativas, monumentos, exposições e práticas pedagógicas que envolvem o coletivo e reafirmam sua trajetória histórica. Assim, a memória não é apenas uma lembrança nostálgica de um tempo passado, mas considerada um modo de perseverar nos apagamentos e de atualizar lutas históricas no presente. A luta camponesa, quando resgatada por meio da memoriação, torna-se uma prática viva, educativa e política, capaz de mobilizar afetos, saberes e esperanças. No campo, onde a violência estrutural persiste sob novas formas, manter viva a memória das Ligas é considerada um ato de afirmação de dignidade, pertencimento e direito à história.</w:t>
      </w:r>
    </w:p>
    <w:p w:rsidR="00000000" w:rsidDel="00000000" w:rsidP="00000000" w:rsidRDefault="00000000" w:rsidRPr="00000000" w14:paraId="00000037">
      <w:pPr>
        <w:spacing w:line="360" w:lineRule="auto"/>
        <w:jc w:val="both"/>
        <w:rPr/>
      </w:pPr>
      <w:r w:rsidDel="00000000" w:rsidR="00000000" w:rsidRPr="00000000">
        <w:rPr>
          <w:rtl w:val="0"/>
        </w:rPr>
      </w:r>
    </w:p>
    <w:p w:rsidR="00000000" w:rsidDel="00000000" w:rsidP="00000000" w:rsidRDefault="00000000" w:rsidRPr="00000000" w14:paraId="00000038">
      <w:pPr>
        <w:spacing w:line="360" w:lineRule="auto"/>
        <w:jc w:val="both"/>
        <w:rPr/>
      </w:pPr>
      <w:r w:rsidDel="00000000" w:rsidR="00000000" w:rsidRPr="00000000">
        <w:rPr>
          <w:rtl w:val="0"/>
        </w:rPr>
        <w:t xml:space="preserve">O Memorial das Ligas Camponesas: espaço de memoriação e resistência no presente</w:t>
      </w:r>
    </w:p>
    <w:p w:rsidR="00000000" w:rsidDel="00000000" w:rsidP="00000000" w:rsidRDefault="00000000" w:rsidRPr="00000000" w14:paraId="00000039">
      <w:pPr>
        <w:spacing w:line="360" w:lineRule="auto"/>
        <w:jc w:val="both"/>
        <w:rPr/>
      </w:pPr>
      <w:r w:rsidDel="00000000" w:rsidR="00000000" w:rsidRPr="00000000">
        <w:rPr>
          <w:rtl w:val="0"/>
        </w:rPr>
        <w:t xml:space="preserve">Localizado na comunidade de Barra de Antas, em Sapé-PB, o Memorial das Ligas e Lutas Camponesas (</w:t>
      </w:r>
      <w:r w:rsidDel="00000000" w:rsidR="00000000" w:rsidRPr="00000000">
        <w:rPr>
          <w:rtl w:val="0"/>
        </w:rPr>
        <w:t xml:space="preserve">MLLC</w:t>
      </w:r>
      <w:r w:rsidDel="00000000" w:rsidR="00000000" w:rsidRPr="00000000">
        <w:rPr>
          <w:rtl w:val="0"/>
        </w:rPr>
        <w:t xml:space="preserve">) é resultado de um esforço coletivo de ativar, preservar e politizar a memória das Ligas Camponesas. Inaugurado em 2006, o espaço funciona como um centro de memória popular e tem como objetivo não apenas homenagear os(as) que participaram das lutas camponesas, mas também reafirmar a atualidade dessas experiências enquanto é considerado referência de determinação e mobilização. O Memorial é, portanto, um lugar no qual a memória coletiva se transforma em prática social e política, aproximando passado e presente (TOLENTINO, 2023).</w:t>
      </w:r>
    </w:p>
    <w:p w:rsidR="00000000" w:rsidDel="00000000" w:rsidP="00000000" w:rsidRDefault="00000000" w:rsidRPr="00000000" w14:paraId="0000003A">
      <w:pPr>
        <w:spacing w:line="360" w:lineRule="auto"/>
        <w:jc w:val="both"/>
        <w:rPr/>
      </w:pPr>
      <w:r w:rsidDel="00000000" w:rsidR="00000000" w:rsidRPr="00000000">
        <w:rPr>
          <w:rtl w:val="0"/>
        </w:rPr>
        <w:t xml:space="preserve">No interior do Memorial, exposições, fotografias, documentos, vídeos e homenagens a lideranças como João Pedro e Elizabeth Teixeira criam uma narrativa contra-hegemônica sobre a história das Ligas, mas também a outras lideranças da ligas e aos moradores atuais da comunidade Barra de Antas. O espaço promove encontros, rodas de conversa, atividades educativas e eventos culturais, configurando-se como um instrumento pedagógico de formação política e memória viva (TOLENTINO, 2016). </w:t>
      </w:r>
    </w:p>
    <w:p w:rsidR="00000000" w:rsidDel="00000000" w:rsidP="00000000" w:rsidRDefault="00000000" w:rsidRPr="00000000" w14:paraId="0000003B">
      <w:pPr>
        <w:spacing w:line="360" w:lineRule="auto"/>
        <w:jc w:val="both"/>
        <w:rPr/>
      </w:pPr>
      <w:r w:rsidDel="00000000" w:rsidR="00000000" w:rsidRPr="00000000">
        <w:rPr>
          <w:rtl w:val="0"/>
        </w:rPr>
        <w:t xml:space="preserve">Além do acervo histórico, o MLLC é também um lugar de articulação entre gerações. Jovens, militantes, pesquisadores(as) e moradores(as) da região são convidados a revisitar a trajetória das Ligas, dialogando sobre os desafios contemporâneos da luta camponesa e sobre a permanência das desigualdades que motivaram o surgimento do movimento. Nesse processo, o Memorial atua como ferramenta de memoriação, ao propor práticas que não apenas rememoram o passado, mas o colocam em diálogo com as demandas do presente.</w:t>
      </w:r>
    </w:p>
    <w:p w:rsidR="00000000" w:rsidDel="00000000" w:rsidP="00000000" w:rsidRDefault="00000000" w:rsidRPr="00000000" w14:paraId="0000003C">
      <w:pPr>
        <w:spacing w:line="360" w:lineRule="auto"/>
        <w:jc w:val="both"/>
        <w:rPr/>
      </w:pPr>
      <w:r w:rsidDel="00000000" w:rsidR="00000000" w:rsidRPr="00000000">
        <w:rPr>
          <w:rtl w:val="0"/>
        </w:rPr>
        <w:t xml:space="preserve">Por meio dessas ações, o Memorial contribui para o enfrentamento ao esquecimento e ao apagamento histórico. Portanto, o MLLC é mais do que um espaço físico: é considerado um instrumento político de ação, que reafirma a dignidade dos indivíduos do campo e a continuidade de suas lutas. Targino et. al., (2011) destacam que lembrar, nesse contexto, é também resistir, é reativar vínculos identitários e reivindicar o direito à história e à terra.</w:t>
      </w:r>
    </w:p>
    <w:p w:rsidR="00000000" w:rsidDel="00000000" w:rsidP="00000000" w:rsidRDefault="00000000" w:rsidRPr="00000000" w14:paraId="0000003D">
      <w:pPr>
        <w:spacing w:line="360" w:lineRule="auto"/>
        <w:jc w:val="both"/>
        <w:rPr/>
      </w:pPr>
      <w:r w:rsidDel="00000000" w:rsidR="00000000" w:rsidRPr="00000000">
        <w:rPr>
          <w:rtl w:val="0"/>
        </w:rPr>
      </w:r>
    </w:p>
    <w:p w:rsidR="00000000" w:rsidDel="00000000" w:rsidP="00000000" w:rsidRDefault="00000000" w:rsidRPr="00000000" w14:paraId="0000003E">
      <w:pPr>
        <w:spacing w:line="360" w:lineRule="auto"/>
        <w:jc w:val="both"/>
        <w:rPr>
          <w:b w:val="1"/>
        </w:rPr>
      </w:pPr>
      <w:r w:rsidDel="00000000" w:rsidR="00000000" w:rsidRPr="00000000">
        <w:rPr>
          <w:b w:val="1"/>
          <w:rtl w:val="0"/>
        </w:rPr>
        <w:t xml:space="preserve">CONSIDERAÇÕES FINAIS</w:t>
      </w:r>
    </w:p>
    <w:p w:rsidR="00000000" w:rsidDel="00000000" w:rsidP="00000000" w:rsidRDefault="00000000" w:rsidRPr="00000000" w14:paraId="0000003F">
      <w:pPr>
        <w:spacing w:line="360" w:lineRule="auto"/>
        <w:jc w:val="both"/>
        <w:rPr/>
      </w:pPr>
      <w:r w:rsidDel="00000000" w:rsidR="00000000" w:rsidRPr="00000000">
        <w:rPr>
          <w:rtl w:val="0"/>
        </w:rPr>
        <w:t xml:space="preserve">Por meio deste trabalho, foi possível discorrer sobre a centralidade da memória e da memoriação nas lutas camponesas, tomando como ponto de partida a experiência das Ligas Camponesas de Sapé-PB e a atuação do Memorial das Ligas e Lutas Camponesas (</w:t>
      </w:r>
      <w:r w:rsidDel="00000000" w:rsidR="00000000" w:rsidRPr="00000000">
        <w:rPr>
          <w:rtl w:val="0"/>
        </w:rPr>
        <w:t xml:space="preserve">MLLC</w:t>
      </w:r>
      <w:r w:rsidDel="00000000" w:rsidR="00000000" w:rsidRPr="00000000">
        <w:rPr>
          <w:rtl w:val="0"/>
        </w:rPr>
        <w:t xml:space="preserve">). Mais do que recuperar o passado, o trabalho evidenciou como as lembranças das lutas por terra e justiça social são constantemente ativadas por indivíduos e coletivos que resistem ao esquecimento e às múltiplas formas de opressão que ainda persistem no campo brasileiro.</w:t>
      </w:r>
    </w:p>
    <w:p w:rsidR="00000000" w:rsidDel="00000000" w:rsidP="00000000" w:rsidRDefault="00000000" w:rsidRPr="00000000" w14:paraId="00000040">
      <w:pPr>
        <w:spacing w:line="360" w:lineRule="auto"/>
        <w:jc w:val="both"/>
        <w:rPr/>
      </w:pPr>
      <w:r w:rsidDel="00000000" w:rsidR="00000000" w:rsidRPr="00000000">
        <w:rPr>
          <w:rtl w:val="0"/>
        </w:rPr>
        <w:t xml:space="preserve">As disputas por terra, território e dignidade seguem presentes no cotidiano das populações camponesas brasileiras. A violência no campo, a concentração fundiária e os conflitos agrários não são fenômenos superados, mas continuam a marcar a realidade de milhares de famílias que vivem do trabalho com a terra.</w:t>
      </w:r>
    </w:p>
    <w:p w:rsidR="00000000" w:rsidDel="00000000" w:rsidP="00000000" w:rsidRDefault="00000000" w:rsidRPr="00000000" w14:paraId="00000041">
      <w:pPr>
        <w:spacing w:line="360" w:lineRule="auto"/>
        <w:jc w:val="both"/>
        <w:rPr/>
      </w:pPr>
      <w:r w:rsidDel="00000000" w:rsidR="00000000" w:rsidRPr="00000000">
        <w:rPr>
          <w:rtl w:val="0"/>
        </w:rPr>
        <w:t xml:space="preserve">A memória coletiva, compreendida como construção social e partilhada de experiências vividas, e a memoriação, enquanto prática ativa de atualização dessas experiências, se revelaram ferramentas importantes para a permanência e ressignificação da luta camponesa. No caso das Ligas de Sapé, esse processo se manifesta de forma concreta no MLLC, espaço onde o passado é constantemente conectado ao presente por meio de práticas educativas, eventos culturais e ações políticas.</w:t>
      </w:r>
    </w:p>
    <w:p w:rsidR="00000000" w:rsidDel="00000000" w:rsidP="00000000" w:rsidRDefault="00000000" w:rsidRPr="00000000" w14:paraId="00000042">
      <w:pPr>
        <w:spacing w:line="360" w:lineRule="auto"/>
        <w:jc w:val="both"/>
        <w:rPr/>
      </w:pPr>
      <w:r w:rsidDel="00000000" w:rsidR="00000000" w:rsidRPr="00000000">
        <w:rPr>
          <w:rtl w:val="0"/>
        </w:rPr>
        <w:t xml:space="preserve">Ao tensionar o silenciamento histórico imposto às experiências camponesas, o Memorial atua como um território de práticas, onde se constroem narrativas, se compartilham afetos e se forjam alianças entre diferentes gerações. Como apontam os autores mobilizados nesta pesquisa, lembrar é também resistir, e essa resistência se realiza na prática cotidiana dos que se recusam a permitir que as lutas do campo sejam apagadas da história nacional.</w:t>
      </w:r>
    </w:p>
    <w:p w:rsidR="00000000" w:rsidDel="00000000" w:rsidP="00000000" w:rsidRDefault="00000000" w:rsidRPr="00000000" w14:paraId="00000043">
      <w:pPr>
        <w:spacing w:line="360" w:lineRule="auto"/>
        <w:jc w:val="both"/>
        <w:rPr/>
      </w:pPr>
      <w:r w:rsidDel="00000000" w:rsidR="00000000" w:rsidRPr="00000000">
        <w:rPr>
          <w:rtl w:val="0"/>
        </w:rPr>
      </w:r>
    </w:p>
    <w:p w:rsidR="00000000" w:rsidDel="00000000" w:rsidP="00000000" w:rsidRDefault="00000000" w:rsidRPr="00000000" w14:paraId="00000044">
      <w:pPr>
        <w:spacing w:line="360" w:lineRule="auto"/>
        <w:jc w:val="both"/>
        <w:rPr>
          <w:b w:val="1"/>
        </w:rPr>
      </w:pPr>
      <w:r w:rsidDel="00000000" w:rsidR="00000000" w:rsidRPr="00000000">
        <w:rPr>
          <w:b w:val="1"/>
          <w:rtl w:val="0"/>
        </w:rPr>
        <w:t xml:space="preserve">REFERÊNCIAS</w:t>
      </w:r>
    </w:p>
    <w:p w:rsidR="00000000" w:rsidDel="00000000" w:rsidP="00000000" w:rsidRDefault="00000000" w:rsidRPr="00000000" w14:paraId="00000045">
      <w:pPr>
        <w:spacing w:after="200" w:line="276" w:lineRule="auto"/>
        <w:jc w:val="both"/>
        <w:rPr/>
      </w:pPr>
      <w:r w:rsidDel="00000000" w:rsidR="00000000" w:rsidRPr="00000000">
        <w:rPr>
          <w:rtl w:val="0"/>
        </w:rPr>
        <w:t xml:space="preserve">AUED, B. W. A VITÓRIA DOS VENCIDOS (Partido Comunista Brasileiro - PCB - e Ligas Camponesas. 1955-64). Dissertação (Mestrado em Sociologia) - Universidade Federal da Paraíba. Campina Grande-PB, p. 208. 1981.</w:t>
      </w:r>
    </w:p>
    <w:p w:rsidR="00000000" w:rsidDel="00000000" w:rsidP="00000000" w:rsidRDefault="00000000" w:rsidRPr="00000000" w14:paraId="00000046">
      <w:pPr>
        <w:spacing w:after="200" w:line="276" w:lineRule="auto"/>
        <w:jc w:val="both"/>
        <w:rPr/>
      </w:pPr>
      <w:r w:rsidDel="00000000" w:rsidR="00000000" w:rsidRPr="00000000">
        <w:rPr>
          <w:rtl w:val="0"/>
        </w:rPr>
        <w:t xml:space="preserve">BOSI, E. Memória e sociedade : Lembranças dos velhos. ED: 3°. São Paulo, editora: Schwarcz, 2006.</w:t>
      </w:r>
    </w:p>
    <w:p w:rsidR="00000000" w:rsidDel="00000000" w:rsidP="00000000" w:rsidRDefault="00000000" w:rsidRPr="00000000" w14:paraId="00000047">
      <w:pPr>
        <w:spacing w:after="200" w:line="276" w:lineRule="auto"/>
        <w:jc w:val="both"/>
        <w:rPr/>
      </w:pPr>
      <w:r w:rsidDel="00000000" w:rsidR="00000000" w:rsidRPr="00000000">
        <w:rPr>
          <w:rtl w:val="0"/>
        </w:rPr>
        <w:t xml:space="preserve">HALBWACHS, M. A Memória Coletiva. São Paulo: Editora Vértice, 1990.</w:t>
      </w:r>
    </w:p>
    <w:p w:rsidR="00000000" w:rsidDel="00000000" w:rsidP="00000000" w:rsidRDefault="00000000" w:rsidRPr="00000000" w14:paraId="00000048">
      <w:pPr>
        <w:spacing w:after="200" w:line="276" w:lineRule="auto"/>
        <w:jc w:val="both"/>
        <w:rPr/>
      </w:pPr>
      <w:r w:rsidDel="00000000" w:rsidR="00000000" w:rsidRPr="00000000">
        <w:rPr>
          <w:rtl w:val="0"/>
        </w:rPr>
        <w:t xml:space="preserve">LE GOFF, Jacques. História e Memória. São Paulo: Unicamp, 1994.</w:t>
      </w:r>
    </w:p>
    <w:p w:rsidR="00000000" w:rsidDel="00000000" w:rsidP="00000000" w:rsidRDefault="00000000" w:rsidRPr="00000000" w14:paraId="00000049">
      <w:pPr>
        <w:spacing w:after="200" w:line="276" w:lineRule="auto"/>
        <w:jc w:val="both"/>
        <w:rPr/>
      </w:pPr>
      <w:r w:rsidDel="00000000" w:rsidR="00000000" w:rsidRPr="00000000">
        <w:rPr>
          <w:rtl w:val="0"/>
        </w:rPr>
        <w:t xml:space="preserve">MARTINS, J. S. O Poder do Atraso: Ensaios de Sociologia da História Lenta. São Paulo: Editora HUCITEC, 1994. </w:t>
      </w:r>
    </w:p>
    <w:p w:rsidR="00000000" w:rsidDel="00000000" w:rsidP="00000000" w:rsidRDefault="00000000" w:rsidRPr="00000000" w14:paraId="0000004A">
      <w:pPr>
        <w:spacing w:after="200" w:line="276" w:lineRule="auto"/>
        <w:jc w:val="both"/>
        <w:rPr/>
      </w:pPr>
      <w:r w:rsidDel="00000000" w:rsidR="00000000" w:rsidRPr="00000000">
        <w:rPr>
          <w:rtl w:val="0"/>
        </w:rPr>
        <w:t xml:space="preserve">MARTINS, J. S. Os Camponeses e a Política no Brasil: as lutas sociais no campo e seu lugar no processo político. ED: 4°. Petrópolis - RJ: Editora Vozes, 1990. </w:t>
      </w:r>
    </w:p>
    <w:p w:rsidR="00000000" w:rsidDel="00000000" w:rsidP="00000000" w:rsidRDefault="00000000" w:rsidRPr="00000000" w14:paraId="0000004B">
      <w:pPr>
        <w:spacing w:after="200" w:line="276" w:lineRule="auto"/>
        <w:jc w:val="both"/>
        <w:rPr/>
      </w:pPr>
      <w:r w:rsidDel="00000000" w:rsidR="00000000" w:rsidRPr="00000000">
        <w:rPr>
          <w:rtl w:val="0"/>
        </w:rPr>
        <w:t xml:space="preserve">MUNIZ, R.S. A Fabricação de João Pedro Teixeira: Como o Herói Camponês. Dissertação - CH - UFCG. p. 200. 2010.</w:t>
      </w:r>
    </w:p>
    <w:p w:rsidR="00000000" w:rsidDel="00000000" w:rsidP="00000000" w:rsidRDefault="00000000" w:rsidRPr="00000000" w14:paraId="0000004C">
      <w:pPr>
        <w:spacing w:after="200" w:line="276" w:lineRule="auto"/>
        <w:jc w:val="both"/>
        <w:rPr/>
      </w:pPr>
      <w:r w:rsidDel="00000000" w:rsidR="00000000" w:rsidRPr="00000000">
        <w:rPr>
          <w:rtl w:val="0"/>
        </w:rPr>
        <w:t xml:space="preserve">POLLAK, M. Memória e Identidade Social. Estudos Históricos, Rio de Janeiro, vol. 5, n. 10, 1992, p. 200-212. </w:t>
      </w:r>
    </w:p>
    <w:p w:rsidR="00000000" w:rsidDel="00000000" w:rsidP="00000000" w:rsidRDefault="00000000" w:rsidRPr="00000000" w14:paraId="0000004D">
      <w:pPr>
        <w:spacing w:after="200" w:line="276" w:lineRule="auto"/>
        <w:jc w:val="both"/>
        <w:rPr/>
      </w:pPr>
      <w:r w:rsidDel="00000000" w:rsidR="00000000" w:rsidRPr="00000000">
        <w:rPr>
          <w:rtl w:val="0"/>
        </w:rPr>
        <w:t xml:space="preserve">POLLAK, M. Memória, Esquecimento, Silêncio. Estudos Históricos, Rio de Janeiro, vol. 2, n. 3, 1989, p. 3-15</w:t>
      </w:r>
    </w:p>
    <w:p w:rsidR="00000000" w:rsidDel="00000000" w:rsidP="00000000" w:rsidRDefault="00000000" w:rsidRPr="00000000" w14:paraId="0000004E">
      <w:pPr>
        <w:spacing w:after="200" w:line="276" w:lineRule="auto"/>
        <w:jc w:val="both"/>
        <w:rPr/>
      </w:pPr>
      <w:r w:rsidDel="00000000" w:rsidR="00000000" w:rsidRPr="00000000">
        <w:rPr>
          <w:rtl w:val="0"/>
        </w:rPr>
        <w:t xml:space="preserve">RANGEL, M. S. Medo da morte; esperança de vida: a história das ligas camponesas na Paraíba. Dissertação (Mestrado em História) - Faculdade Estadual de Campinas. Campinas-SP, p. 387. 2000.</w:t>
      </w:r>
    </w:p>
    <w:p w:rsidR="00000000" w:rsidDel="00000000" w:rsidP="00000000" w:rsidRDefault="00000000" w:rsidRPr="00000000" w14:paraId="0000004F">
      <w:pPr>
        <w:spacing w:after="200" w:line="276" w:lineRule="auto"/>
        <w:jc w:val="both"/>
        <w:rPr/>
      </w:pPr>
      <w:r w:rsidDel="00000000" w:rsidR="00000000" w:rsidRPr="00000000">
        <w:rPr>
          <w:rtl w:val="0"/>
        </w:rPr>
        <w:t xml:space="preserve">STÉDILE, J. P. Questão agrária no Brasil. ED: 6°. São Paulo: Atual, 1997</w:t>
      </w:r>
    </w:p>
    <w:p w:rsidR="00000000" w:rsidDel="00000000" w:rsidP="00000000" w:rsidRDefault="00000000" w:rsidRPr="00000000" w14:paraId="00000050">
      <w:pPr>
        <w:spacing w:after="200" w:line="276" w:lineRule="auto"/>
        <w:jc w:val="both"/>
        <w:rPr/>
      </w:pPr>
      <w:r w:rsidDel="00000000" w:rsidR="00000000" w:rsidRPr="00000000">
        <w:rPr>
          <w:rtl w:val="0"/>
        </w:rPr>
        <w:t xml:space="preserve">TARGINO, Ivan; MOREIRA, Emília; MENEZES, Marilda. As Ligas Camponesas na Paraíba: Relatos a partir da memória dos seus protagonistas. Revista Ruris, v. 5, número 1, Março de 2011.</w:t>
      </w:r>
    </w:p>
    <w:p w:rsidR="00000000" w:rsidDel="00000000" w:rsidP="00000000" w:rsidRDefault="00000000" w:rsidRPr="00000000" w14:paraId="00000051">
      <w:pPr>
        <w:spacing w:after="200" w:line="276" w:lineRule="auto"/>
        <w:jc w:val="both"/>
        <w:rPr/>
      </w:pPr>
      <w:r w:rsidDel="00000000" w:rsidR="00000000" w:rsidRPr="00000000">
        <w:rPr>
          <w:rtl w:val="0"/>
        </w:rPr>
        <w:t xml:space="preserve">TOLENTINO, A. B. MEMÓRIAS COLETIVAS E NARRATIVAS MUSEOLÓGICAS: LIMITES E CONFLITOS DA REPRESENTAÇÃO DE IDENTIDADES. Rev. Memorare, Tubarão, v.5, n.1, p. 62-77 jan./abr. 2018.</w:t>
      </w:r>
    </w:p>
    <w:p w:rsidR="00000000" w:rsidDel="00000000" w:rsidP="00000000" w:rsidRDefault="00000000" w:rsidRPr="00000000" w14:paraId="00000052">
      <w:pPr>
        <w:spacing w:after="200" w:line="276" w:lineRule="auto"/>
        <w:jc w:val="both"/>
        <w:rPr/>
      </w:pPr>
      <w:r w:rsidDel="00000000" w:rsidR="00000000" w:rsidRPr="00000000">
        <w:rPr>
          <w:rtl w:val="0"/>
        </w:rPr>
        <w:t xml:space="preserve">TOLENTINO, A. B. (2016). Museologia social: apontamentos históricos e conceituais. Cadernos De Sociomuseologia, 52 (8).</w:t>
      </w:r>
    </w:p>
    <w:p w:rsidR="00000000" w:rsidDel="00000000" w:rsidP="00000000" w:rsidRDefault="00000000" w:rsidRPr="00000000" w14:paraId="00000053">
      <w:pPr>
        <w:spacing w:after="200" w:line="276" w:lineRule="auto"/>
        <w:jc w:val="both"/>
        <w:rPr/>
      </w:pPr>
      <w:r w:rsidDel="00000000" w:rsidR="00000000" w:rsidRPr="00000000">
        <w:rPr>
          <w:rtl w:val="0"/>
        </w:rPr>
        <w:t xml:space="preserve">TOLENTINO, A. B. Museologia social e comunitária na Paraíba: memoriação, lutas e resistências. Revista Iberoamericana de Turismo- RITUR, Penedo, v. 13, Dossiê Número 5, p. 126-148, fev. 2023. </w:t>
      </w:r>
    </w:p>
    <w:p w:rsidR="00000000" w:rsidDel="00000000" w:rsidP="00000000" w:rsidRDefault="00000000" w:rsidRPr="00000000" w14:paraId="00000054">
      <w:pPr>
        <w:spacing w:line="360" w:lineRule="auto"/>
        <w:jc w:val="both"/>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sectPr>
      <w:headerReference r:id="rId9" w:type="default"/>
      <w:headerReference r:id="rId10" w:type="first"/>
      <w:pgSz w:h="16838" w:w="11906" w:orient="portrait"/>
      <w:pgMar w:bottom="1417.3228346456694" w:top="1417.3228346456694" w:left="1417.3228346456694" w:right="1417.3228346456694" w:header="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da Paraíba</w:t>
      </w:r>
      <w:r w:rsidDel="00000000" w:rsidR="00000000" w:rsidRPr="00000000">
        <w:rPr>
          <w:i w:val="0"/>
          <w:smallCaps w:val="0"/>
          <w:strike w:val="0"/>
          <w:color w:val="000000"/>
          <w:sz w:val="20"/>
          <w:szCs w:val="20"/>
          <w:u w:val="none"/>
          <w:shd w:fill="auto" w:val="clear"/>
          <w:vertAlign w:val="baseline"/>
          <w:rtl w:val="0"/>
        </w:rPr>
        <w:t xml:space="preserve">, </w:t>
      </w:r>
      <w:r w:rsidDel="00000000" w:rsidR="00000000" w:rsidRPr="00000000">
        <w:rPr>
          <w:color w:val="000000"/>
          <w:sz w:val="20"/>
          <w:szCs w:val="20"/>
          <w:u w:val="none"/>
          <w:rtl w:val="0"/>
        </w:rPr>
        <w:t xml:space="preserve">nayaragleite99@gmail.com</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rebuchet MS" w:cs="Trebuchet MS" w:eastAsia="Trebuchet MS" w:hAnsi="Trebuchet MS"/>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Garamond" w:cs="Garamond" w:eastAsia="Garamond" w:hAnsi="Garamond"/>
      <w:color w:val="0f4761"/>
      <w:sz w:val="40"/>
      <w:szCs w:val="40"/>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Garamond" w:cs="Garamond" w:eastAsia="Garamond" w:hAnsi="Garamond"/>
      <w:sz w:val="56"/>
      <w:szCs w:val="56"/>
    </w:rPr>
  </w:style>
  <w:style w:type="paragraph" w:styleId="Subtitle">
    <w:name w:val="Subtitle"/>
    <w:basedOn w:val="Normal"/>
    <w:next w:val="Normal"/>
    <w:pPr>
      <w:spacing w:after="160" w:lineRule="auto"/>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header" Target="header1.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