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67E2B0A" w14:paraId="1E207724" wp14:noSpellErr="1" wp14:textId="6B1F6C62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467E2B0A" w:rsidR="467E2B0A">
        <w:rPr>
          <w:rFonts w:ascii="Arial" w:hAnsi="Arial" w:eastAsia="Arial" w:cs="Arial"/>
          <w:b w:val="1"/>
          <w:bCs w:val="1"/>
          <w:sz w:val="24"/>
          <w:szCs w:val="24"/>
        </w:rPr>
        <w:t>ANÁLISE</w:t>
      </w:r>
      <w:r w:rsidRPr="467E2B0A" w:rsidR="467E2B0A">
        <w:rPr>
          <w:rFonts w:ascii="Arial" w:hAnsi="Arial" w:eastAsia="Arial" w:cs="Arial"/>
          <w:b w:val="1"/>
          <w:bCs w:val="1"/>
          <w:sz w:val="24"/>
          <w:szCs w:val="24"/>
        </w:rPr>
        <w:t xml:space="preserve"> DA </w:t>
      </w:r>
      <w:r w:rsidRPr="467E2B0A" w:rsidR="467E2B0A">
        <w:rPr>
          <w:rFonts w:ascii="Arial" w:hAnsi="Arial" w:eastAsia="Arial" w:cs="Arial"/>
          <w:b w:val="1"/>
          <w:bCs w:val="1"/>
          <w:sz w:val="24"/>
          <w:szCs w:val="24"/>
        </w:rPr>
        <w:t xml:space="preserve">SELETIVIDADE ALIMENTAR E COMPORTAMENTO ALIMENTAR DE CRIANÇAS COM TEA </w:t>
      </w:r>
      <w:r w:rsidRPr="467E2B0A" w:rsidR="467E2B0A">
        <w:rPr>
          <w:rFonts w:ascii="Arial" w:hAnsi="Arial" w:eastAsia="Arial" w:cs="Arial"/>
          <w:b w:val="1"/>
          <w:bCs w:val="1"/>
          <w:sz w:val="24"/>
          <w:szCs w:val="24"/>
        </w:rPr>
        <w:t>NO MUNICÍPIO DE VITÓRIA DE SANTO ANTÃO-PE</w:t>
      </w:r>
    </w:p>
    <w:p w:rsidR="1198D5DE" w:rsidP="27C55A12" w:rsidRDefault="1198D5DE" w14:paraId="1CD885DD" w14:textId="75A722E8">
      <w:pPr>
        <w:pStyle w:val="Normal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  <w:proofErr w:type="spellStart"/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>Mirelly</w:t>
      </w:r>
      <w:proofErr w:type="spellEnd"/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 xml:space="preserve"> Cunha da Silva¹, Íris Maria Conceição Silva¹, Maria Heloisa Moura de Oliveira¹</w:t>
      </w:r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 xml:space="preserve">, Camilla Peixoto Santos Rodrigues², Michelle </w:t>
      </w:r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>Figueiredo</w:t>
      </w:r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 xml:space="preserve"> Carvalho³. </w:t>
      </w:r>
    </w:p>
    <w:p w:rsidR="1198D5DE" w:rsidP="27C55A12" w:rsidRDefault="1198D5DE" w14:paraId="6825E31F" w14:textId="1D6776E9">
      <w:pPr>
        <w:pStyle w:val="Normal"/>
        <w:jc w:val="center"/>
        <w:rPr>
          <w:rFonts w:ascii="Arial" w:hAnsi="Arial" w:eastAsia="Arial" w:cs="Arial"/>
          <w:b w:val="0"/>
          <w:bCs w:val="0"/>
          <w:sz w:val="22"/>
          <w:szCs w:val="22"/>
        </w:rPr>
      </w:pPr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 xml:space="preserve">¹ Discente em Nutrição pela Universidade Federal de Pernambuco (UFPE) – Centro Acadêmico de Vitória (CAV). </w:t>
      </w:r>
      <w:proofErr w:type="spellStart"/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>Email</w:t>
      </w:r>
      <w:proofErr w:type="spellEnd"/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 xml:space="preserve">: </w:t>
      </w:r>
      <w:r w:rsidRPr="27C55A12" w:rsidR="27C55A12">
        <w:rPr>
          <w:rFonts w:ascii="Arial" w:hAnsi="Arial" w:eastAsia="Arial" w:cs="Arial"/>
          <w:b w:val="0"/>
          <w:bCs w:val="0"/>
          <w:sz w:val="20"/>
          <w:szCs w:val="20"/>
        </w:rPr>
        <w:t>mirellycunha12@gmail.com</w:t>
      </w:r>
    </w:p>
    <w:p w:rsidR="1198D5DE" w:rsidP="08965943" w:rsidRDefault="1198D5DE" w14:noSpellErr="1" w14:paraId="33F282C9" w14:textId="5CF48196">
      <w:pPr>
        <w:pStyle w:val="Normal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>². Nutricionista residente no Programa de Residência Multiprofissional de Interiorização de Atenção à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 xml:space="preserve">Saúde pela 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>Universidade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 xml:space="preserve"> Federal de Pernambuco (UFPE) – Centro Acadêmico de Vitória (CAV)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>.</w:t>
      </w:r>
    </w:p>
    <w:p w:rsidR="1198D5DE" w:rsidP="08965943" w:rsidRDefault="1198D5DE" w14:noSpellErr="1" w14:paraId="557ACD61" w14:textId="64BD5173">
      <w:pPr>
        <w:pStyle w:val="Normal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 xml:space="preserve">³. Docente e Pesquisadora do Núcleo de Nutrição, 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>Universidade Federal de Pernambuco (UFPE) – Centro Acadêmico de Vitória (CAV)</w:t>
      </w:r>
      <w:r w:rsidRPr="08965943" w:rsidR="08965943">
        <w:rPr>
          <w:rFonts w:ascii="Arial" w:hAnsi="Arial" w:eastAsia="Arial" w:cs="Arial"/>
          <w:b w:val="0"/>
          <w:bCs w:val="0"/>
          <w:sz w:val="20"/>
          <w:szCs w:val="20"/>
        </w:rPr>
        <w:t xml:space="preserve">. </w:t>
      </w:r>
    </w:p>
    <w:p w:rsidR="1198D5DE" w:rsidP="08965943" w:rsidRDefault="1198D5DE" w14:paraId="42B6F2DD" w14:textId="64138C8D">
      <w:pPr>
        <w:pStyle w:val="Normal"/>
        <w:jc w:val="center"/>
        <w:rPr>
          <w:rFonts w:ascii="Arial" w:hAnsi="Arial" w:eastAsia="Arial" w:cs="Arial"/>
          <w:b w:val="0"/>
          <w:bCs w:val="0"/>
          <w:sz w:val="20"/>
          <w:szCs w:val="20"/>
        </w:rPr>
      </w:pPr>
    </w:p>
    <w:p w:rsidR="1198D5DE" w:rsidP="467E2B0A" w:rsidRDefault="1198D5DE" w14:paraId="5697AFEE" w14:noSpellErr="1" w14:textId="75EC57D8">
      <w:pPr>
        <w:pStyle w:val="Normal"/>
        <w:spacing w:line="36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467E2B0A" w:rsidR="467E2B0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467E2B0A" w:rsidR="467E2B0A">
        <w:rPr>
          <w:rFonts w:ascii="Arial" w:hAnsi="Arial" w:eastAsia="Arial" w:cs="Arial"/>
          <w:b w:val="1"/>
          <w:bCs w:val="1"/>
          <w:sz w:val="22"/>
          <w:szCs w:val="22"/>
        </w:rPr>
        <w:t xml:space="preserve">INTRODUÇÃO </w:t>
      </w:r>
    </w:p>
    <w:p w:rsidR="1198D5DE" w:rsidP="27C55A12" w:rsidRDefault="1198D5DE" w14:paraId="7B55306F" w14:textId="37CB0FAA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O Transtorno do Espectro Autista (TEA) é marcado por algumas perturbações de comportamento ligadas a problemas no desenvolvimento neurológico, com algumas características singulares como: dificuldade de comunicação, dificuldade de socialização e padrão de comportamento restritivo e repetitivo (VARELLA, 2014). Incluída nos Transtornos Globais do Desenvolvimento (TGD), a etiologia ainda é desconhecida, contudo, acredita-se que se tem sua origem em anormalidades - de origem genética - em alguma parte do cérebro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(TCHACONAS, 2013)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Um estudo feito pelo órgão norte-americano </w:t>
      </w:r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Centers for </w:t>
      </w:r>
      <w:proofErr w:type="spellStart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Disease</w:t>
      </w:r>
      <w:proofErr w:type="spellEnd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Control</w:t>
      </w:r>
      <w:proofErr w:type="spellEnd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and</w:t>
      </w:r>
      <w:proofErr w:type="spellEnd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 </w:t>
      </w:r>
      <w:proofErr w:type="spellStart"/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Prevention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(2014), verificou que o TEA afeta 1 em 68 crianças, e é mais frequente no sexo masculino. </w:t>
      </w:r>
    </w:p>
    <w:p w:rsidR="1198D5DE" w:rsidP="023829C3" w:rsidRDefault="1198D5DE" w14:paraId="44610C86" w14:textId="476531F3" w14:noSpellErr="1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i w:val="0"/>
          <w:iCs w:val="0"/>
          <w:noProof w:val="0"/>
          <w:sz w:val="22"/>
          <w:szCs w:val="22"/>
          <w:lang w:val="pt-BR"/>
        </w:rPr>
      </w:pP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A literatura científica tem mostrado que a seletividade é um aspecto marcante principalmente em crianças portadoras do TEA (PHILIPP, 2000). A seletividade alimentar é caracterizada por uma dieta com baixa variedade de alimentos e que tem sido associada ao consumo inadequado de frutas e verduras, alimentos ricos em proteína e pobres em fibra (DUBOIS et al., 2007; DOVEY et al., 2008).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Segundo Silva (2011), em cerca de 30 a 90% dos casos, existe alguma manifestação imprópria relacionada ao comportamento alimentar, além disso é importante ressaltar que tais crianças por serem muito seletivas se tornam resistentes a experimentar algo novo, criando assim, uma restrição a novas experiências alimentares. </w:t>
      </w:r>
    </w:p>
    <w:p w:rsidR="40A17AC7" w:rsidP="224FC27C" w:rsidRDefault="40A17AC7" w14:paraId="72983113" w14:textId="27680CBF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De acordo com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Gonzaléz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(2010), além de apresentarem peculiaridades em relação ao desenvolvimento da linguagem e interação social, existem desordens gastrointestinais que podem acometer os autistas, como diminuição da produção de enzimas digestivas, inflamações da parede intestinal, e a permeabilidade intestinal alterada. Conjuntamente, alguns portadores da doença também podem apresentar uma hipersensibilidade sensorial, e por essa razão rejeitam alguns alimentos e criam aversão a características de determinados alimentos. </w:t>
      </w:r>
    </w:p>
    <w:p w:rsidR="40A17AC7" w:rsidP="224FC27C" w:rsidRDefault="40A17AC7" w14:paraId="01C76FB2" w14:noSpellErr="1" w14:textId="0D5BE2FA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Um comportamento repetitivo e o interesse restritivo podem ter papel importante na seletividade dietética (SILVA, 2011). Esses fatores associados podem levar a alterações no peso e distúrbio de crescimento, sendo que alguns pesquisadores já observaram obesidade e sobrepeso em crianças com TEA (MUST et al., 2014).</w:t>
      </w:r>
    </w:p>
    <w:p w:rsidR="1198D5DE" w:rsidP="023829C3" w:rsidRDefault="1198D5DE" w14:paraId="74A8DC9B" w14:noSpellErr="1" w14:textId="352C35FA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highlight w:val="magenta"/>
          <w:lang w:val="pt-BR"/>
        </w:rPr>
      </w:pP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Mediante ao que foi exposto, o presente trabalho tem por objetivo analisar dados da seletividade e do comportamento alimentar coletados com crianças portadoras de TEA assistidas pelo Núcleo de Assistência Multidisciplinar ao Neurodesenvolvimento Infantil (NAMNI – APAMI), no município de Vitória de Santo Antão-PE.</w:t>
      </w:r>
    </w:p>
    <w:p w:rsidR="1198D5DE" w:rsidP="5ACBBE5D" w:rsidRDefault="1198D5DE" w14:paraId="2A808C1A" w14:textId="4D985B03" w14:noSpellErr="1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ACBBE5D" w:rsidR="5ACBBE5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MATERIAIS E MÉTODOS </w:t>
      </w:r>
    </w:p>
    <w:p w:rsidR="08965943" w:rsidP="18C95AA9" w:rsidRDefault="08965943" w14:paraId="33C378CF" w14:noSpellErr="1" w14:textId="6B014DE6">
      <w:pPr>
        <w:pStyle w:val="Normal"/>
        <w:bidi w:val="0"/>
        <w:spacing w:before="0" w:beforeAutospacing="off" w:after="160" w:afterAutospacing="off" w:line="360" w:lineRule="auto"/>
        <w:ind w:left="0" w:right="0" w:firstLine="708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pt-BR"/>
        </w:rPr>
      </w:pP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>Para o desenvolvimento desse trabalho, foram selecionadas 15 (quinze) crianças portadoras de TEA que são acompanhadas pelo Núcleo de Assistência Multidisciplinar ao Neurodesenvolvimento Infantil – NAMNI, localizado no Hospital e Maternidade APAMI, no município de Vitória de Santo Antão - PE. O procedimento metodológico incluiu uma coleta de dados obtidos através de um Questionário de Frequência Alimentar para crianças de 6 a 10 anos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o qual 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>contém XI categorias e cerca de 98 produtos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aplicado com as mães permitindo uma anamnese completa com finalidade de analisar o que foi consumido nos últimos 6 (seis) meses e a frequência desse consumo; e a Escala de Avaliação de Alimentação Pediátrica Comportamental, 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>que  contem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25 de frases/afirmativas que descrevem o comportamento alimentar das crianças; ambos foram aprovados pelo comitê de 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>É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tica em 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>H</w:t>
      </w:r>
      <w:r w:rsidRPr="18C95AA9" w:rsidR="18C95AA9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umanos da UFPE (87546818.3.000.5208). </w:t>
      </w:r>
    </w:p>
    <w:p w:rsidR="467E2B0A" w:rsidP="27C55A12" w:rsidRDefault="467E2B0A" w14:paraId="1DF5E2EE" w14:textId="7EEE605C">
      <w:pPr>
        <w:pStyle w:val="Normal"/>
        <w:spacing w:before="0" w:beforeAutospacing="off" w:after="160" w:afterAutospacing="off" w:line="360" w:lineRule="auto"/>
        <w:ind w:left="0" w:right="0"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Além disso, para complemento e discussão do tema, foi realizada uma revisão literária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em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artigos científicos nas bases de dados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SciELO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Pubmed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, com a utilização dos seguintes descritores: TEA; Autismo; Comportamento Alimentar; Seletividade Alimentar.</w:t>
      </w:r>
    </w:p>
    <w:p w:rsidR="1198D5DE" w:rsidP="5ACBBE5D" w:rsidRDefault="1198D5DE" w14:paraId="663B9862" w14:noSpellErr="1" w14:textId="59C14833">
      <w:pPr>
        <w:pStyle w:val="Normal"/>
        <w:spacing w:before="0" w:beforeAutospacing="off" w:after="160" w:afterAutospacing="off" w:line="360" w:lineRule="auto"/>
        <w:ind w:left="0" w:right="0"/>
        <w:jc w:val="both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</w:pPr>
      <w:r w:rsidRPr="5ACBBE5D" w:rsidR="5ACBBE5D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pt-BR"/>
        </w:rPr>
        <w:t>RESULTADOS</w:t>
      </w:r>
    </w:p>
    <w:p w:rsidR="535F8F9D" w:rsidP="224FC27C" w:rsidRDefault="535F8F9D" w14:paraId="7ECD5703" w14:textId="02C5ED6A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Com base nos resultados do Questionário de Frequência Alimentar (QFA), foram selecionadas três categorias, e três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sub-categorias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: I. Doces, salgadinhos e guloseimas – Salgadinho, biscoito e macarrão instantâneo; II. Frutas - Banana, maçã/pera, mamão; III. Verduras - Alface, Tomate, cenoura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. C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om isso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,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foi possível obter que em relação ao consumo da categoria I: 54% não consumiu salgadinho nos últimos 6 (seis) meses, e apenas 6% faz o consumo diário desse produto; 40% não consumiu biscoito e macarrão instantâneo nos últimos 6 (seis) meses, e 27% faz o consumo ao menos uma vez na semana. Na categoria II, cerca de 20% não consumiu banana nos últimos 6 (seis) meses, e outros 20% consome duas ou mais vezes ao dia; 34% não consumiu maçã/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pêra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nos últimos 6 (seis) meses, e somente 6% faz o consumo diário deste produto; </w:t>
      </w:r>
    </w:p>
    <w:p w:rsidR="535F8F9D" w:rsidP="224FC27C" w:rsidRDefault="535F8F9D" w14:paraId="4ACAE48D" w14:noSpellErr="1" w14:textId="30347251">
      <w:pPr>
        <w:pStyle w:val="Normal"/>
        <w:spacing w:line="360" w:lineRule="auto"/>
        <w:ind w:firstLine="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no que se refere ao consumo de mamão, 58% não consumiu nos últimos seis meses, e 7% consome uma vez ao dia. E na última categoria, a das verduras (III), observou-se que cerca de 72% não consumiu alface nos últimos 6 (seis) meses, e somente 7% consome ao menos uma vez por dia; 72% não fez o consumo de tomate, e aproximadamente 14% consome uma vez por dia; sobre o consumo de cenoura, 60% não consumiu nos últimos 6 (seis) meses, e em torno de 14% faz o consumo no dia a dia. </w:t>
      </w:r>
    </w:p>
    <w:p w:rsidR="08965943" w:rsidP="224FC27C" w:rsidRDefault="08965943" w14:paraId="1624C77F" w14:noSpellErr="1" w14:textId="5F9291B2">
      <w:pPr>
        <w:pStyle w:val="Normal"/>
        <w:spacing w:before="0" w:beforeAutospacing="off" w:after="160" w:afterAutospacing="off" w:line="360" w:lineRule="auto"/>
        <w:ind w:left="0" w:right="0"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Em relação à Escala de Avaliação de Alimentação Pediátrica Comportamental, foram selecionadas 5 afirmativas, e de acordo com a afirmativa número 13 – Levanta da mesa durante a refeição, obteve-se que em cerca de 40% das vezes isso não ocorreu, em contrapartida, em 54% das vezes isso acontece. Outra afirmativa selecionada foi a número 17 – Faz birra na hora da refeição- e viu-se que em 67% dos casos isso decorre, e em apenas 13% isso nunca transcorreu. Na afirmativa número 21 – Demora a comer por falar muito durante a refeição - observou-se em 60% das situações isso se sucede e em 20% dos casos isso nunca aconteceu. De acordo com a afirmativa número 22 – Prefere beber a comer – em 48% das vezes isso ocorre, e em 26% dos casos, nunca aconteceu. E na última afirmativa, a número 24 – Tenta negociar o que ele/ela vai ou não vai comer – notou-se que em 40% isso se transcorre, em 21% dos atos isso nunca ocorreu.</w:t>
      </w:r>
    </w:p>
    <w:p w:rsidR="023829C3" w:rsidP="023829C3" w:rsidRDefault="023829C3" w14:noSpellErr="1" w14:paraId="70E1029C" w14:textId="204277AB">
      <w:pPr>
        <w:pStyle w:val="Normal"/>
        <w:spacing w:line="360" w:lineRule="auto"/>
        <w:jc w:val="both"/>
        <w:rPr>
          <w:b w:val="1"/>
          <w:bCs w:val="1"/>
        </w:rPr>
      </w:pPr>
      <w:r w:rsidRPr="023829C3" w:rsidR="023829C3">
        <w:rPr>
          <w:rFonts w:ascii="Arial" w:hAnsi="Arial" w:eastAsia="Arial" w:cs="Arial"/>
          <w:b w:val="1"/>
          <w:bCs w:val="1"/>
        </w:rPr>
        <w:t xml:space="preserve">DISCUSSÃO </w:t>
      </w:r>
    </w:p>
    <w:p w:rsidR="023829C3" w:rsidP="023829C3" w:rsidRDefault="023829C3" w14:noSpellErr="1" w14:paraId="7420BCF9" w14:textId="56B758AB">
      <w:pPr>
        <w:pStyle w:val="Normal"/>
        <w:spacing w:line="360" w:lineRule="auto"/>
        <w:ind w:firstLine="708"/>
        <w:jc w:val="both"/>
      </w:pP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A seletividade alimentar pode estar envolvida com vários fatores, como a sensibilidade sensorial,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que pode estar presente em algumas crianças com falhas de aprendizagem e de comportamento. Alguns autores definem a sensibilidade sensorial como uma reação exagerada a determinadas experiências de toque, que muitas vezes resulta em uma resposta comportamental negativa (BEIGHLEY et al., 2013).</w:t>
      </w:r>
    </w:p>
    <w:p w:rsidR="535F8F9D" w:rsidP="27C55A12" w:rsidRDefault="535F8F9D" w14:paraId="02070B1B" w14:textId="3A253E49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literatura encontra-se escassa quanto à estudos com crianças com seletividade alimentar, contudo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Chistol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7C55A12" w:rsidR="27C55A1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>et al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(2017) fez um estudo recente que </w:t>
      </w:r>
      <w:proofErr w:type="gram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delimitou-se</w:t>
      </w:r>
      <w:proofErr w:type="gram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comparar a seletividade alimentar e a sensibilidade sensorial entre crianças portadoras de TEA e crianças com crescimento típico. A pesquisa foi realizada com crianças de 3 a 11 anos de idade, e teve como resultados a constatação de que crianças com TEA apresentaram um comportamento sensorial atípico mais elevado que crianças não portadoras. Também foi descoberto que, de acordo com a amostragem da pesquisa, as crianças autistas que apresentaram maior sensibilidade oral atípica mostraram-se mais resistentes ao consumo de vegetais; e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ao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equiparar tais resultados do estudo com os resultados da coleta de dados feito através do QFA expostos anteriormente, é possível notar a semelhança em relação a aversão ao consumo dos vegetais. </w:t>
      </w:r>
    </w:p>
    <w:p w:rsidR="023829C3" w:rsidP="27C55A12" w:rsidRDefault="023829C3" w14:paraId="562EA1F2" w14:textId="0DE83EDF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Em consequência disso, o baixo consumo de verduras pode ocasionar numa deficiência de micronutrientes, as mais comuns no TEA são das vitaminas B1, B3, B5, B6, B9, B12, A e dos minerais cálcio (Ca), zinco (Zn), selênio (Se) e magnésio (Mg) (OLIVEIRA, 2012).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Foi observado que mais da metade das crianças não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consumiu nos últimos 6 meses, verduras como o alface, tomate e cenoura, considerando assim, um baixo consumo de verduras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Zveibrücker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Miraglia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(2012) relataram baixo consumo de frutas e verduras na dieta de crianças, corroborando com os achados neste estudo.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 </w:t>
      </w:r>
    </w:p>
    <w:p w:rsidR="023829C3" w:rsidP="27C55A12" w:rsidRDefault="023829C3" w14:paraId="20BF1981" w14:noSpellErr="1" w14:textId="08F45B94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Ademais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, faz-se necessária uma discussão acerca dos hábitos nutricionais de crianças, pois, nesta idade, elas tender a consumir alimentos com alto teor de carboidratos, açúcares, gordura e sal, em contraponto a uma alimentação com frutas e vegetais (RAMOS; STEIN, 2000). O consumo de doces, salgadinhos e guloseimas não foi considerado excessivo, contudo, por tratar-se de uma dieta exclusa de alguns nutrientes, pode levar comprometimento da saúde dos portadores de TEA.</w:t>
      </w:r>
    </w:p>
    <w:p w:rsidR="023829C3" w:rsidP="023829C3" w:rsidRDefault="023829C3" w14:noSpellErr="1" w14:paraId="717ABE33" w14:textId="094BE23A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Uma má alimentação e o desequilíbrio energético são motivos especiais para preocupação em crianças com autismo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,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pois a ingestão de micronutrientes está estreitamente relacionada com a ingestão de energia. É provável que as crianças, cujo consumo de energia seja menor, também sofram de deficiência de ferro e zinco (DOMINGUES, 2007; 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>CARVALHO</w:t>
      </w:r>
      <w:r w:rsidRPr="023829C3" w:rsidR="023829C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pt-BR"/>
        </w:rPr>
        <w:t xml:space="preserve"> et al.</w:t>
      </w:r>
      <w:r w:rsidRPr="023829C3" w:rsidR="023829C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2012). </w:t>
      </w:r>
    </w:p>
    <w:p w:rsidR="535F8F9D" w:rsidP="27C55A12" w:rsidRDefault="535F8F9D" w14:paraId="59926C86" w14:textId="18047C91">
      <w:pPr>
        <w:pStyle w:val="Normal"/>
        <w:spacing w:line="360" w:lineRule="auto"/>
        <w:ind w:firstLine="708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Foi analisado que mais da metade (67%) das crianças fazem birra nas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refeições, o que corrobora com as afirmativas de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Zuchetto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(2011),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a qual, na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maioria dos casos, o momento da refeição é culminado com choro, agitação e agressividade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por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parte das crianças, causando desgaste emocional por parte do cuidador.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Se tais comportamentos não forem observados com cautelas e tratados de forma correta, podem comprometer seu crescimento corporal e estado nutricional.  Além de ser um fator de estresse significativo para as famílias, pode resultar em uma dieta nutricionalmente inadequada, resultando em déficit de crescimento, anemia e o diagnóstico de desnutrição.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E isso é intensificado com comportamentos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evidenciados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no público avaliado, como levantar da mesa durante a refeição (40%) e negociar o que comer e não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comer (40%). 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É</w:t>
      </w: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valido salientar que as últimas pesquisas evidenciam a necessidade de estratégias que levem a diminuição da seletividade, que pode ajudar a diminuir os problemas durante as refeições (CHISTOL, et al., 2017). </w:t>
      </w:r>
    </w:p>
    <w:p w:rsidR="08965943" w:rsidP="224FC27C" w:rsidRDefault="08965943" w14:paraId="08BC9435" w14:textId="745F7F92" w14:noSpellErr="1">
      <w:pPr>
        <w:spacing w:line="360" w:lineRule="auto"/>
        <w:jc w:val="left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224FC27C" w:rsidP="224FC27C" w:rsidRDefault="224FC27C" w14:noSpellErr="1" w14:paraId="7D8D952E" w14:textId="6DA455B8">
      <w:pPr>
        <w:pStyle w:val="Normal"/>
        <w:spacing w:line="360" w:lineRule="auto"/>
        <w:jc w:val="left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224FC27C" w:rsidP="224FC27C" w:rsidRDefault="224FC27C" w14:noSpellErr="1" w14:paraId="78A17CE9" w14:textId="57F57757">
      <w:pPr>
        <w:pStyle w:val="Normal"/>
        <w:spacing w:line="360" w:lineRule="auto"/>
        <w:jc w:val="left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224FC27C" w:rsidP="224FC27C" w:rsidRDefault="224FC27C" w14:noSpellErr="1" w14:paraId="4F86602E" w14:textId="06445928">
      <w:pPr>
        <w:pStyle w:val="Normal"/>
        <w:spacing w:line="360" w:lineRule="auto"/>
        <w:jc w:val="left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535F8F9D" w:rsidP="023829C3" w:rsidRDefault="535F8F9D" w14:paraId="71CAAC73" w14:noSpellErr="1" w14:textId="30636042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  <w:r w:rsidRPr="023829C3" w:rsidR="023829C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CON</w:t>
      </w:r>
      <w:r w:rsidRPr="023829C3" w:rsidR="023829C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CLUSÃO</w:t>
      </w:r>
    </w:p>
    <w:p w:rsidR="023829C3" w:rsidP="023829C3" w:rsidRDefault="023829C3" w14:noSpellErr="1" w14:paraId="48A27318" w14:textId="4521DBCC">
      <w:pPr>
        <w:pStyle w:val="Normal"/>
        <w:bidi w:val="0"/>
        <w:spacing w:before="0" w:beforeAutospacing="off" w:after="160" w:afterAutospacing="off" w:line="36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</w:pPr>
      <w:r w:rsidRPr="023829C3" w:rsidR="023829C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O autismo, exige um tratamento específico e multidisciplinar, portanto, o profissional nutricionista pode e deve estar incluso nesse processo, visando melhoras de sinais e sintomas, através da modulação na dietoterapia atual dos pacientes (WHITHELEY et. al., 2013).  Podendo melhorar a qualidade de vida de um organismo que está exposto a grande desordem a nível gastrointestinal, metabólico, imunológico e neurológico, permitindo que tenha chances de ajustar os ponteiros fisiológicos e minimizar os sinais e sintomas.</w:t>
      </w:r>
      <w:r w:rsidRPr="023829C3" w:rsidR="023829C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 xml:space="preserve"> Além de promover, através da educação nutricional, um melhor contato com os alimentos para as crianças portadoras de TEA. </w:t>
      </w:r>
    </w:p>
    <w:p w:rsidR="023829C3" w:rsidP="023829C3" w:rsidRDefault="023829C3" w14:noSpellErr="1" w14:paraId="23B4B4AD" w14:textId="11C94973">
      <w:pPr>
        <w:pStyle w:val="Normal"/>
        <w:bidi w:val="0"/>
        <w:spacing w:before="0" w:beforeAutospacing="off" w:after="160" w:afterAutospacing="off" w:line="360" w:lineRule="auto"/>
        <w:ind w:left="0" w:right="0" w:firstLine="708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</w:pPr>
    </w:p>
    <w:p w:rsidR="535F8F9D" w:rsidP="535F8F9D" w:rsidRDefault="535F8F9D" w14:noSpellErr="1" w14:paraId="696B97AB" w14:textId="7CC17B2C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535F8F9D" w:rsidP="535F8F9D" w:rsidRDefault="535F8F9D" w14:noSpellErr="1" w14:paraId="65FF7BD6" w14:textId="703C284E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535F8F9D" w:rsidP="535F8F9D" w:rsidRDefault="535F8F9D" w14:noSpellErr="1" w14:paraId="73F58853" w14:textId="248FE7D4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535F8F9D" w:rsidP="535F8F9D" w:rsidRDefault="535F8F9D" w14:noSpellErr="1" w14:paraId="6681833B" w14:textId="5D47259A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535F8F9D" w:rsidP="535F8F9D" w:rsidRDefault="535F8F9D" w14:noSpellErr="1" w14:paraId="459AC56E" w14:textId="717D8F3F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08965943" w:rsidP="023829C3" w:rsidRDefault="08965943" w14:paraId="78847485" w14:textId="42C5038F" w14:noSpellErr="1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08965943" w:rsidP="224FC27C" w:rsidRDefault="08965943" w14:paraId="08F598FF" w14:textId="3A25125B" w14:noSpellErr="1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1C73023F" w14:textId="308AC106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47BB2CCD" w14:textId="0623A4EA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505A8F10" w14:textId="2223D6C0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2C8FA70E" w14:textId="4FD978D8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641B1D84" w14:textId="56400A81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56050A28" w14:textId="26AFBB0A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459FF63A" w14:textId="3E16D3A3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20EA9A7F" w14:textId="2B4BB10D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174AB669" w14:textId="0CC0BBEA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50E9CE02" w14:textId="5D0B53A2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12221592" w14:textId="3D0D40CC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24FC27C" w:rsidP="224FC27C" w:rsidRDefault="224FC27C" w14:noSpellErr="1" w14:paraId="37C55EE2" w14:textId="2C37BF65">
      <w:pPr>
        <w:pStyle w:val="Normal"/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1198D5DE" w:rsidP="023829C3" w:rsidRDefault="1198D5DE" w14:paraId="6536A9C6" w14:textId="54184259" w14:noSpellErr="1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023829C3" w:rsidR="023829C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REFERÊNCIAS</w:t>
      </w:r>
    </w:p>
    <w:p w:rsidR="1198D5DE" w:rsidP="27C55A12" w:rsidRDefault="1198D5DE" w14:paraId="223E23B7" w14:textId="56C2B40E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SILVA, N. I. Relações entre hábito alimentar e síndrome do espectro autista. Resolução </w:t>
      </w:r>
      <w:proofErr w:type="spellStart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>CoPGr</w:t>
      </w:r>
      <w:proofErr w:type="spellEnd"/>
      <w:r w:rsidRPr="27C55A12" w:rsidR="27C55A1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J. A. Carvalho et. al. ISSN 1983-6708 Revista Científica do ITPAC, Araguaína, v.5, n.1, Pub.1, Janeiro 2012 5890 de 2010, 132 p. Piracicaba 2011. </w:t>
      </w:r>
    </w:p>
    <w:p w:rsidR="467E2B0A" w:rsidP="224FC27C" w:rsidRDefault="467E2B0A" w14:paraId="4341E7AC" w14:textId="1F633B78">
      <w:pPr>
        <w:pStyle w:val="Normal"/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highlight w:val="yellow"/>
          <w:lang w:val="pt-BR"/>
        </w:rPr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GONZÁLEZ, L. G.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Manifestaciones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gastrointestinales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trastornos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del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espectro autista.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Colom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Méd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, v. 36, n.02, p. 36-38, 2010.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467E2B0A" w:rsidP="224FC27C" w:rsidRDefault="467E2B0A" w14:paraId="6A33140F" w14:textId="4EE8D960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PHILIPPI, S. T. Pirâmide dos Alimentos: Fundamentos Básicos da Nutrição. São Paulo, Manole, 2008.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Rev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Reflex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Crit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. Curitiba, v.13, n 1, 2000.</w:t>
      </w: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224FC27C" w:rsidP="224FC27C" w:rsidRDefault="224FC27C" w14:paraId="0655384F" w14:textId="22E6D59A">
      <w:pPr>
        <w:pStyle w:val="Heading2"/>
        <w:spacing w:line="360" w:lineRule="auto"/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highlight w:val="magenta"/>
          <w:lang w:val="pt-BR"/>
        </w:rPr>
      </w:pP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VARELLA, D. </w:t>
      </w:r>
      <w:r w:rsidRPr="224FC27C" w:rsidR="224FC27C">
        <w:rPr>
          <w:rFonts w:ascii="Arial" w:hAnsi="Arial" w:eastAsia="Arial" w:cs="Arial"/>
          <w:color w:val="auto"/>
          <w:sz w:val="22"/>
          <w:szCs w:val="22"/>
        </w:rPr>
        <w:t xml:space="preserve">TEA – Transtorno do Espectro Autista </w:t>
      </w: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2014. Disponível 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em:</w:t>
      </w: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https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://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drauziovarella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.uol.com.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br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/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doencas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-e-sintomas/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tea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-transtorno-do-espectro-autista-</w:t>
      </w:r>
      <w:proofErr w:type="spellStart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ii</w:t>
      </w:r>
      <w:proofErr w:type="spellEnd"/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/ </w:t>
      </w: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 Acesso em: </w:t>
      </w: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>20</w:t>
      </w:r>
      <w:r w:rsidRPr="224FC27C" w:rsidR="224FC27C">
        <w:rPr>
          <w:rFonts w:ascii="Arial" w:hAnsi="Arial" w:eastAsia="Arial" w:cs="Arial"/>
          <w:noProof w:val="0"/>
          <w:color w:val="auto"/>
          <w:sz w:val="22"/>
          <w:szCs w:val="22"/>
          <w:lang w:val="pt-BR"/>
        </w:rPr>
        <w:t xml:space="preserve"> set. 2018</w:t>
      </w:r>
      <w:r w:rsidRPr="224FC27C" w:rsidR="224FC27C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pt-BR"/>
        </w:rPr>
        <w:t>.</w:t>
      </w:r>
    </w:p>
    <w:p w:rsidR="5ACBBE5D" w:rsidP="224FC27C" w:rsidRDefault="5ACBBE5D" w14:paraId="6F5F2038" w14:textId="648C6223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MUST, A. et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al.Obesity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prevention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for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children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with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developmental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disabilities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Curr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Obes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Rep. v. 3, n. 2, p. 156-170, 2014.</w:t>
      </w:r>
    </w:p>
    <w:p w:rsidR="40A17AC7" w:rsidP="224FC27C" w:rsidRDefault="40A17AC7" w14:paraId="69D34C1D" w14:textId="76028EF3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DOVEY, T.M. et al.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Food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neophobia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“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picky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/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fussy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”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eating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in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children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: a review.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Appetite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v. 50, n. 2-3, p. 181-93, 2008. </w:t>
      </w:r>
    </w:p>
    <w:p w:rsidR="40A17AC7" w:rsidP="224FC27C" w:rsidRDefault="40A17AC7" w14:paraId="72C2FDC5" w14:textId="0BD54E04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DUBOIS, L. et al. Regular sugar-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sweetened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beverage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consumption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between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meals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increases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risk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of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overweight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among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preschool-aged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children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J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Diet Assoc. v.107, n. 6, p. 924-34, 2007.</w:t>
      </w:r>
    </w:p>
    <w:p w:rsidR="6C9ED112" w:rsidP="224FC27C" w:rsidRDefault="6C9ED112" w14:paraId="6031FC90" w14:textId="24869293">
      <w:pPr>
        <w:pStyle w:val="Normal"/>
        <w:spacing w:line="360" w:lineRule="auto"/>
        <w:jc w:val="both"/>
      </w:pP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Tchaconas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A,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Adesman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Autism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spectrum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disorders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: a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pediatric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overview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update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Curr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Opin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Pediatr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. 2013;25(1):130- 44.</w:t>
      </w:r>
    </w:p>
    <w:p w:rsidR="326219E1" w:rsidP="224FC27C" w:rsidRDefault="326219E1" w14:paraId="5B6F30E3" w14:textId="5102B7D4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CHISTOL, Liem T. et al.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Sensory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Sensitivity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Food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Selectivity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in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Children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with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Autism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Spectrum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Disorder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Journal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of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autism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developmental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disorders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, v.48, p. 583–591, 2018.</w:t>
      </w:r>
    </w:p>
    <w:p w:rsidR="326219E1" w:rsidP="224FC27C" w:rsidRDefault="326219E1" w14:paraId="4FE00FEB" w14:textId="40F93B5F" w14:noSpellErr="1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Oliveira ATD. Intervenção nutricional no Autismo [monografia]. Portugal: Universidade do Porto; 2012.</w:t>
      </w:r>
    </w:p>
    <w:p w:rsidR="224FC27C" w:rsidP="224FC27C" w:rsidRDefault="224FC27C" w14:noSpellErr="1" w14:paraId="27D77C31" w14:textId="2AD9FB0A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ZUCHETTO, A. T., MIRANDA, T. B., Estado nutricional de crianças e adolescentes, EFDeportes.com, Revista digital, Ano 16, n.156, Buenos Aires, May, 2011.</w:t>
      </w:r>
    </w:p>
    <w:p w:rsidR="224FC27C" w:rsidP="224FC27C" w:rsidRDefault="224FC27C" w14:noSpellErr="1" w14:paraId="0017EDB7" w14:textId="77745732">
      <w:pPr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RAMOS, M.; STEIN, L. M. Desenvolvimento do comportamento alimentar infantil. Jornal de Pediatria, Rio de Janeiro, v. 76, supl.3, p.229 – 237, 2000.</w:t>
      </w:r>
    </w:p>
    <w:p w:rsidR="023829C3" w:rsidP="224FC27C" w:rsidRDefault="023829C3" w14:paraId="7542049A" w14:textId="0F0C28FB" w14:noSpellErr="1">
      <w:pPr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CARVALHO, J.; A. et al. Nutrição e Autismo: Considerações Sobre a Alimentação do Autista. Revista Científica do ITPAC, Araguaína, v. 5, n.1, pub. 1, jan. 2012.</w:t>
      </w:r>
    </w:p>
    <w:p w:rsidR="023829C3" w:rsidP="224FC27C" w:rsidRDefault="023829C3" w14:paraId="1156CEA4" w14:textId="13662EDE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WHITELEY, P. et al.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Gluten-and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casein-free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dietary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intervention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for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autism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spectrum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conditions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In: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Frontiers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in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Human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Neuroscience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, v. 6, 2013.</w:t>
      </w:r>
    </w:p>
    <w:p w:rsidR="023829C3" w:rsidP="224FC27C" w:rsidRDefault="023829C3" w14:paraId="000084F0" w14:textId="17A24C24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BEIGHLEY, J.S. et al.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Food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selectivity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in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children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with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without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autism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spectrum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disorder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: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investigation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of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diagnosis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and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age. Res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Dev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Disabil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. 34(10):3, 497-503, 2013. </w:t>
      </w:r>
    </w:p>
    <w:p w:rsidR="023829C3" w:rsidP="224FC27C" w:rsidRDefault="023829C3" w14:paraId="1F12B25D" w14:textId="184C2D9E" w14:noSpellErr="1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DOMINGUES, G. Relação entre medicamentos e ganho de peso em indivíduos portadores de autismo e outras síndromes relacionadas. Campo Grande, 2007. 16f. (Monografia). Curso de Graduação de Nutrição da Universidade Católica Dom Bosco. </w:t>
      </w:r>
    </w:p>
    <w:p w:rsidR="27C55A12" w:rsidP="224FC27C" w:rsidRDefault="27C55A12" w14:paraId="3EC6261D" w14:textId="2F2D6AD7">
      <w:pPr>
        <w:pStyle w:val="Normal"/>
        <w:spacing w:line="360" w:lineRule="auto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ZVEIBRÜCKER, F.P.; MIRAGLIA, F. Avaliação do consumo alimentar de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préescolares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frequentadores de </w:t>
      </w:r>
      <w:proofErr w:type="spellStart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>EMEIs</w:t>
      </w:r>
      <w:proofErr w:type="spellEnd"/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no município de Nova Santa Rita, RS. Revista de Iniciação Científica do UNILASALLE (CIPPUS). v. 1, n. 1, 2012</w:t>
      </w:r>
    </w:p>
    <w:p w:rsidR="467E2B0A" w:rsidP="467E2B0A" w:rsidRDefault="467E2B0A" w14:paraId="4084B5C6" w14:textId="637881A2">
      <w:pPr>
        <w:pStyle w:val="Normal"/>
        <w:jc w:val="both"/>
      </w:pPr>
      <w:r w:rsidRPr="224FC27C" w:rsidR="224FC27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8D366D"/>
  <w15:docId w15:val="{f2b83131-d885-47ae-8cc2-7afa5fb34258}"/>
  <w:rsids>
    <w:rsidRoot w:val="288D366D"/>
    <w:rsid w:val="023829C3"/>
    <w:rsid w:val="08965943"/>
    <w:rsid w:val="1198D5DE"/>
    <w:rsid w:val="17D08A15"/>
    <w:rsid w:val="1831D20B"/>
    <w:rsid w:val="18C95AA9"/>
    <w:rsid w:val="1A557E74"/>
    <w:rsid w:val="224FC27C"/>
    <w:rsid w:val="27C55A12"/>
    <w:rsid w:val="288D366D"/>
    <w:rsid w:val="2F176AD1"/>
    <w:rsid w:val="326219E1"/>
    <w:rsid w:val="3F3AC989"/>
    <w:rsid w:val="40A17AC7"/>
    <w:rsid w:val="467E2B0A"/>
    <w:rsid w:val="535F8F9D"/>
    <w:rsid w:val="5ACBBE5D"/>
    <w:rsid w:val="6C9ED112"/>
    <w:rsid w:val="71C4122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2018-09-20T23:25:55.1937509Z</dcterms:created>
  <dcterms:modified xsi:type="dcterms:W3CDTF">2018-09-30T15:20:23.8691064Z</dcterms:modified>
  <dc:creator>Mirelly Cunha</dc:creator>
  <lastModifiedBy>Mirelly Cunha</lastModifiedBy>
</coreProperties>
</file>