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7E2A90" w14:textId="3FB5DC43" w:rsidR="00D247B8" w:rsidRDefault="00000000" w:rsidP="008A354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MONITORAMENTO DA QUALIDADE DA ÁGUA SUBTERRÂNEA NO ENTORNO DO CEMITÉRIO SÃO JOSÉ DE ARIMATÉIA, MARITUBA- PA</w:t>
      </w:r>
    </w:p>
    <w:p w14:paraId="5333A2D0" w14:textId="77777777" w:rsidR="00D247B8" w:rsidRDefault="00D247B8" w:rsidP="008A354F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7EF9F0DB" w14:textId="77777777" w:rsidR="00D247B8" w:rsidRDefault="00000000" w:rsidP="008A354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>Yasmim Oliveira dos Santos</w:t>
      </w: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; Neuton Trindade Vasconcelos Júnior</w:t>
      </w: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 Luiza de Cássia Santa Brígida Gomes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; Adaelson Campelo Medeiros</w:t>
      </w:r>
      <w:r>
        <w:rPr>
          <w:sz w:val="24"/>
          <w:szCs w:val="24"/>
          <w:vertAlign w:val="superscript"/>
        </w:rPr>
        <w:t xml:space="preserve">4; </w:t>
      </w:r>
      <w:r>
        <w:rPr>
          <w:sz w:val="24"/>
          <w:szCs w:val="24"/>
        </w:rPr>
        <w:t>Elivam Rodrigues Vale</w:t>
      </w: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; Kelson do Carmo Freitas Faial</w:t>
      </w: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 xml:space="preserve">; </w:t>
      </w:r>
      <w:r>
        <w:rPr>
          <w:sz w:val="24"/>
          <w:szCs w:val="24"/>
          <w:u w:val="single"/>
        </w:rPr>
        <w:t>Kleber Raimundo Freitas Faial</w:t>
      </w:r>
      <w:r>
        <w:rPr>
          <w:sz w:val="24"/>
          <w:szCs w:val="24"/>
          <w:u w:val="single"/>
          <w:vertAlign w:val="superscript"/>
        </w:rPr>
        <w:t>7</w:t>
      </w:r>
      <w:r>
        <w:rPr>
          <w:sz w:val="24"/>
          <w:szCs w:val="24"/>
        </w:rPr>
        <w:t>.</w:t>
      </w:r>
    </w:p>
    <w:p w14:paraId="559A05F5" w14:textId="77777777" w:rsidR="00D247B8" w:rsidRDefault="00D247B8" w:rsidP="008A354F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</w:p>
    <w:p w14:paraId="10E36059" w14:textId="77777777" w:rsidR="00D247B8" w:rsidRDefault="00000000" w:rsidP="008A354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>
        <w:rPr>
          <w:sz w:val="24"/>
          <w:szCs w:val="24"/>
        </w:rPr>
        <w:t>Graduação em Engenharia Ambiental e Sanitária. Universidade do Estado do Pará. yasmim.odsantos@aluno.uepa.br</w:t>
      </w:r>
    </w:p>
    <w:p w14:paraId="7DF3EFB9" w14:textId="77777777" w:rsidR="00D247B8" w:rsidRDefault="00000000" w:rsidP="008A354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Mestrado em Recursos Hídricos. Instituto Evandro Chagas. neutonjunior@iec.gob.br</w:t>
      </w:r>
    </w:p>
    <w:p w14:paraId="124091A8" w14:textId="77777777" w:rsidR="00D247B8" w:rsidRDefault="00000000" w:rsidP="008A354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Mestrado em Gestão Riscos e Desastres Ambientais na Amazônia. Instituto Evandro Chagas. luizasbgomes@gmail.com</w:t>
      </w:r>
    </w:p>
    <w:p w14:paraId="5220A0D6" w14:textId="77777777" w:rsidR="00D247B8" w:rsidRDefault="00000000" w:rsidP="008A354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  <w:highlight w:val="white"/>
        </w:rPr>
        <w:t>Mestrado em Doenças Tropicais</w:t>
      </w:r>
      <w:r>
        <w:rPr>
          <w:sz w:val="24"/>
          <w:szCs w:val="24"/>
        </w:rPr>
        <w:t>. Instituto Evandro Chagas. adaelsonmedeiros@iec.gov.br</w:t>
      </w:r>
    </w:p>
    <w:p w14:paraId="48C72488" w14:textId="77777777" w:rsidR="00D247B8" w:rsidRDefault="00000000" w:rsidP="008A354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Doutorado em Saúde Coletiva. Instituto Evandro Chagas.elivamvale@iec.gov.br</w:t>
      </w:r>
    </w:p>
    <w:p w14:paraId="1AD159BD" w14:textId="77777777" w:rsidR="00D247B8" w:rsidRDefault="00000000" w:rsidP="008A354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>Doutorado em Química. Instituto Evandro Chagas. kelsonfaial@iec.gov.br</w:t>
      </w:r>
    </w:p>
    <w:p w14:paraId="6C6C6373" w14:textId="77777777" w:rsidR="00D247B8" w:rsidRDefault="00000000" w:rsidP="008A354F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 7</w:t>
      </w:r>
      <w:r>
        <w:rPr>
          <w:sz w:val="24"/>
          <w:szCs w:val="24"/>
        </w:rPr>
        <w:t>Doutorado em Química. Instituto Evandro Chagas. kleberfaial@iec.gov.br</w:t>
      </w:r>
    </w:p>
    <w:p w14:paraId="15303109" w14:textId="77777777" w:rsidR="00D247B8" w:rsidRDefault="00D247B8" w:rsidP="008A354F">
      <w:pPr>
        <w:tabs>
          <w:tab w:val="left" w:pos="2500"/>
        </w:tabs>
        <w:rPr>
          <w:color w:val="FF0000"/>
          <w:sz w:val="24"/>
          <w:szCs w:val="24"/>
          <w:u w:val="single"/>
        </w:rPr>
      </w:pPr>
    </w:p>
    <w:p w14:paraId="74D5DC4A" w14:textId="77777777" w:rsidR="00D247B8" w:rsidRDefault="00000000" w:rsidP="008A354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RESUMO </w:t>
      </w:r>
    </w:p>
    <w:p w14:paraId="231D8CF8" w14:textId="77777777" w:rsidR="008A354F" w:rsidRDefault="008A354F" w:rsidP="008A354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4B7101A9" w14:textId="44CB8DE2" w:rsidR="00D247B8" w:rsidRDefault="00000000" w:rsidP="008A354F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A Resolução CONAMA n° 335 de 03 de abril de 2003, afirma que a área prevista para instalação de um cemitério deve estar a uma distância segura de corpos d’água, superficiais ou subterrâneos devido ao seu grande potencial de contaminação pelos processos químicos que ocorrem neste local. Entretanto, com a expansão das cidades, os cemitérios que antes estavam em um limite de distância adequado da população, passaram a ser incluídos no centro urbano, tornando-se uma possível fonte de contaminação para a água subterrânea, que é uma fonte essencial para abastecimento de água potável para a população devido à sua boa qualidade e ocorrência generalizada.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highlight w:val="white"/>
        </w:rPr>
        <w:t xml:space="preserve">Desta maneira, este estudo busca </w:t>
      </w:r>
      <w:r>
        <w:rPr>
          <w:color w:val="000000"/>
          <w:sz w:val="24"/>
          <w:szCs w:val="24"/>
        </w:rPr>
        <w:t xml:space="preserve">avaliar os parâmetros químicos, físico-químicos e microbiológicos em águas subterrâneas em diferentes pontos de captação entorno do cemitério </w:t>
      </w:r>
      <w:r>
        <w:rPr>
          <w:color w:val="000000"/>
          <w:sz w:val="24"/>
          <w:szCs w:val="24"/>
          <w:highlight w:val="white"/>
        </w:rPr>
        <w:t>público São José de Arimatéia</w:t>
      </w:r>
      <w:r>
        <w:rPr>
          <w:color w:val="000000"/>
          <w:sz w:val="24"/>
          <w:szCs w:val="24"/>
        </w:rPr>
        <w:t xml:space="preserve">, localizado no município de Marituba- PA, a fim de monitorar </w:t>
      </w:r>
      <w:r w:rsidR="008A354F">
        <w:rPr>
          <w:color w:val="000000"/>
          <w:sz w:val="24"/>
          <w:szCs w:val="24"/>
        </w:rPr>
        <w:t>a qualidade</w:t>
      </w:r>
      <w:r>
        <w:rPr>
          <w:color w:val="000000"/>
          <w:sz w:val="24"/>
          <w:szCs w:val="24"/>
        </w:rPr>
        <w:t xml:space="preserve"> da água de acordo com as diretrizes ambientais para água subterrânea (</w:t>
      </w:r>
      <w:r>
        <w:rPr>
          <w:color w:val="000000"/>
          <w:sz w:val="24"/>
          <w:szCs w:val="24"/>
          <w:highlight w:val="white"/>
        </w:rPr>
        <w:t>Resolução CONAMA n° 396 de 2008)</w:t>
      </w:r>
      <w:r>
        <w:rPr>
          <w:color w:val="000000"/>
          <w:sz w:val="24"/>
          <w:szCs w:val="24"/>
        </w:rPr>
        <w:t xml:space="preserve"> e o padrão de </w:t>
      </w:r>
      <w:r w:rsidR="008A354F">
        <w:rPr>
          <w:color w:val="000000"/>
          <w:sz w:val="24"/>
          <w:szCs w:val="24"/>
        </w:rPr>
        <w:t>potabilidade para</w:t>
      </w:r>
      <w:r>
        <w:rPr>
          <w:color w:val="000000"/>
          <w:sz w:val="24"/>
          <w:szCs w:val="24"/>
        </w:rPr>
        <w:t xml:space="preserve"> consumo humano (</w:t>
      </w:r>
      <w:r>
        <w:rPr>
          <w:color w:val="000000"/>
          <w:sz w:val="24"/>
          <w:szCs w:val="24"/>
          <w:highlight w:val="white"/>
        </w:rPr>
        <w:t>PORTARIA GM/MS n° 888/2021)</w:t>
      </w:r>
      <w:r>
        <w:rPr>
          <w:color w:val="000000"/>
          <w:sz w:val="24"/>
          <w:szCs w:val="24"/>
        </w:rPr>
        <w:t>.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Foram coletadas 16 amostras no período de junho de 2023. A análise físico-química foi realizada </w:t>
      </w:r>
      <w:r>
        <w:rPr>
          <w:i/>
          <w:color w:val="000000"/>
          <w:sz w:val="24"/>
          <w:szCs w:val="24"/>
        </w:rPr>
        <w:t>in loco</w:t>
      </w:r>
      <w:r>
        <w:rPr>
          <w:color w:val="000000"/>
          <w:sz w:val="24"/>
          <w:szCs w:val="24"/>
        </w:rPr>
        <w:t xml:space="preserve"> como auxílio de uma sonda multiparamétrica. Para a análise química, a amostra foi enviada para o Laboratório de Química Ambiental e Saúde (LQAS), na Seção de Meio Ambiente (SEAMB) do Instituto Evandro Chagas (IEC), onde foi realizada a quantificação dos metais utilizando o equipamento de Espectrometria de Massa com Plasma Indutivamente Acoplado (ICP MS). A análise microbiológica foi realizada no Laboratório de Microbiologia Ambiental (LMA/ SEAMB/ IEC), onde foi utilizado o substrato </w:t>
      </w:r>
      <w:r>
        <w:rPr>
          <w:i/>
          <w:color w:val="000000"/>
          <w:sz w:val="24"/>
          <w:szCs w:val="24"/>
        </w:rPr>
        <w:t xml:space="preserve">Colilert </w:t>
      </w:r>
      <w:r>
        <w:rPr>
          <w:color w:val="000000"/>
          <w:sz w:val="24"/>
          <w:szCs w:val="24"/>
        </w:rPr>
        <w:t xml:space="preserve">para a detecção de Coliformes Totais e </w:t>
      </w:r>
      <w:proofErr w:type="spellStart"/>
      <w:r>
        <w:rPr>
          <w:i/>
          <w:color w:val="000000"/>
          <w:sz w:val="24"/>
          <w:szCs w:val="24"/>
        </w:rPr>
        <w:t>E</w:t>
      </w:r>
      <w:proofErr w:type="spellEnd"/>
      <w:r>
        <w:rPr>
          <w:i/>
          <w:color w:val="000000"/>
          <w:sz w:val="24"/>
          <w:szCs w:val="24"/>
        </w:rPr>
        <w:t>. Colli</w:t>
      </w:r>
      <w:r>
        <w:rPr>
          <w:color w:val="000000"/>
          <w:sz w:val="24"/>
          <w:szCs w:val="24"/>
        </w:rPr>
        <w:t xml:space="preserve">. Entre os parâmetros físico-químicos, o pH teve uma variação entre 3,85 e 6,61; sólidos totais dissolvidos entre 29 </w:t>
      </w:r>
      <w:proofErr w:type="spellStart"/>
      <w:r>
        <w:rPr>
          <w:color w:val="000000"/>
          <w:sz w:val="24"/>
          <w:szCs w:val="24"/>
        </w:rPr>
        <w:t>ppm</w:t>
      </w:r>
      <w:proofErr w:type="spellEnd"/>
      <w:r>
        <w:rPr>
          <w:color w:val="000000"/>
          <w:sz w:val="24"/>
          <w:szCs w:val="24"/>
        </w:rPr>
        <w:t xml:space="preserve"> e 198 </w:t>
      </w:r>
      <w:proofErr w:type="spellStart"/>
      <w:r>
        <w:rPr>
          <w:color w:val="000000"/>
          <w:sz w:val="24"/>
          <w:szCs w:val="24"/>
        </w:rPr>
        <w:t>ppm</w:t>
      </w:r>
      <w:proofErr w:type="spellEnd"/>
      <w:r>
        <w:rPr>
          <w:color w:val="000000"/>
          <w:sz w:val="24"/>
          <w:szCs w:val="24"/>
        </w:rPr>
        <w:t>;</w:t>
      </w:r>
      <w:r>
        <w:rPr>
          <w:color w:val="FF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potencial de oxirredução entre 252,5 </w:t>
      </w:r>
      <w:proofErr w:type="spellStart"/>
      <w:r>
        <w:rPr>
          <w:color w:val="000000"/>
          <w:sz w:val="24"/>
          <w:szCs w:val="24"/>
        </w:rPr>
        <w:t>mv</w:t>
      </w:r>
      <w:proofErr w:type="spellEnd"/>
      <w:r>
        <w:rPr>
          <w:color w:val="000000"/>
          <w:sz w:val="24"/>
          <w:szCs w:val="24"/>
        </w:rPr>
        <w:t xml:space="preserve"> e 508,9 </w:t>
      </w:r>
      <w:proofErr w:type="spellStart"/>
      <w:r>
        <w:rPr>
          <w:color w:val="000000"/>
          <w:sz w:val="24"/>
          <w:szCs w:val="24"/>
        </w:rPr>
        <w:t>mv</w:t>
      </w:r>
      <w:proofErr w:type="spellEnd"/>
      <w:r>
        <w:rPr>
          <w:color w:val="000000"/>
          <w:sz w:val="24"/>
          <w:szCs w:val="24"/>
        </w:rPr>
        <w:t xml:space="preserve">; turbidez entre 0,16 NTU e 0,81 NTU; oxigênio dissolvido entre 3,7 </w:t>
      </w:r>
      <w:proofErr w:type="spellStart"/>
      <w:r>
        <w:rPr>
          <w:color w:val="000000"/>
          <w:sz w:val="24"/>
          <w:szCs w:val="24"/>
        </w:rPr>
        <w:t>ppm</w:t>
      </w:r>
      <w:proofErr w:type="spellEnd"/>
      <w:r>
        <w:rPr>
          <w:color w:val="000000"/>
          <w:sz w:val="24"/>
          <w:szCs w:val="24"/>
        </w:rPr>
        <w:t xml:space="preserve"> e 5,30 </w:t>
      </w:r>
      <w:proofErr w:type="spellStart"/>
      <w:r>
        <w:rPr>
          <w:color w:val="000000"/>
          <w:sz w:val="24"/>
          <w:szCs w:val="24"/>
        </w:rPr>
        <w:t>ppm</w:t>
      </w:r>
      <w:proofErr w:type="spellEnd"/>
      <w:r>
        <w:rPr>
          <w:color w:val="000000"/>
          <w:sz w:val="24"/>
          <w:szCs w:val="24"/>
        </w:rPr>
        <w:t xml:space="preserve"> e a condutividade elétrica entre 58 </w:t>
      </w:r>
      <w:r>
        <w:rPr>
          <w:color w:val="000000"/>
          <w:sz w:val="24"/>
          <w:szCs w:val="24"/>
          <w:highlight w:val="white"/>
        </w:rPr>
        <w:t>µs/cm e 408 µs/cm.</w:t>
      </w:r>
      <w:r>
        <w:rPr>
          <w:color w:val="000000"/>
          <w:sz w:val="24"/>
          <w:szCs w:val="24"/>
        </w:rPr>
        <w:t xml:space="preserve"> O metal que foi encontrado em maior concentração foi o alumínio, variando entre 0,0028 mg/L e 0,2439 mg/L; o arsênio entre 0,006 mg/L e 0,013, bário entre 0,0004 mg/L e 0,0050 mg/L, cádmio entre 0,0006 mg/L e 0,0010 mg/L, manganês entre 0,0043 mg/L e 0,0226 mg/L, chumbo entre 0,0010 mg/L e 0,0029 mg/L e selênio entre 0,0004 mg/L 0,0031. Com a análise microbiológica foi detectada a presença de </w:t>
      </w:r>
      <w:r>
        <w:rPr>
          <w:color w:val="000000"/>
          <w:sz w:val="24"/>
          <w:szCs w:val="24"/>
        </w:rPr>
        <w:lastRenderedPageBreak/>
        <w:t xml:space="preserve">coliformes totais em seis pontos de coleta, e apenas em dois a presença da bactéria </w:t>
      </w:r>
      <w:r>
        <w:rPr>
          <w:i/>
          <w:color w:val="000000"/>
          <w:sz w:val="24"/>
          <w:szCs w:val="24"/>
        </w:rPr>
        <w:t>E. Colli</w:t>
      </w:r>
      <w:r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  <w:highlight w:val="white"/>
        </w:rPr>
        <w:t>Após a realização das análises químicas, notou-se que todos os parâmetros estão de acordo com o preconizado em ambas as legislações. Entretanto, foi identificado que alguns parâmetros microbiológicos e físico-químicos estão em desconformidade com a legislação, sendo assim deve ser realizada a manutenção dos poços em questão, passando por tratamento de purificação e monitoramento da água antes de seu consumo direto visando à manutenção e preservação da saúde pública direcionando para a comunidade afetada.</w:t>
      </w:r>
    </w:p>
    <w:p w14:paraId="4959971F" w14:textId="77777777" w:rsidR="00D247B8" w:rsidRDefault="00D247B8" w:rsidP="008A354F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000000"/>
          <w:sz w:val="24"/>
          <w:szCs w:val="24"/>
        </w:rPr>
      </w:pPr>
    </w:p>
    <w:p w14:paraId="0D075B3A" w14:textId="77777777" w:rsidR="00D247B8" w:rsidRDefault="00000000" w:rsidP="008A354F">
      <w:pP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>
        <w:rPr>
          <w:sz w:val="24"/>
          <w:szCs w:val="24"/>
        </w:rPr>
        <w:t>Qualidade da Água;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Água Subterrânea; Química Ambiental.</w:t>
      </w:r>
    </w:p>
    <w:p w14:paraId="698010BC" w14:textId="77777777" w:rsidR="008A354F" w:rsidRDefault="008A354F" w:rsidP="008A354F">
      <w:pPr>
        <w:shd w:val="clear" w:color="auto" w:fill="FFFFFF"/>
        <w:tabs>
          <w:tab w:val="left" w:pos="2500"/>
        </w:tabs>
        <w:rPr>
          <w:color w:val="FF0000"/>
          <w:sz w:val="24"/>
          <w:szCs w:val="24"/>
        </w:rPr>
      </w:pPr>
    </w:p>
    <w:p w14:paraId="6E43872D" w14:textId="77777777" w:rsidR="00D247B8" w:rsidRDefault="00000000" w:rsidP="008A354F">
      <w:pPr>
        <w:shd w:val="clear" w:color="auto" w:fill="FFFFFF"/>
        <w:tabs>
          <w:tab w:val="left" w:pos="2500"/>
        </w:tabs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>Escolha a Área de Interesse do Simpósio</w:t>
      </w:r>
      <w:r>
        <w:rPr>
          <w:sz w:val="24"/>
          <w:szCs w:val="24"/>
        </w:rPr>
        <w:t xml:space="preserve">: Saúde Pública e Meio Ambiente. </w:t>
      </w:r>
    </w:p>
    <w:p w14:paraId="2FA5B1A6" w14:textId="77777777" w:rsidR="00D247B8" w:rsidRDefault="00000000" w:rsidP="008A354F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29D0127" wp14:editId="5C41F275">
            <wp:simplePos x="0" y="0"/>
            <wp:positionH relativeFrom="column">
              <wp:posOffset>3955934</wp:posOffset>
            </wp:positionH>
            <wp:positionV relativeFrom="paragraph">
              <wp:posOffset>4969997</wp:posOffset>
            </wp:positionV>
            <wp:extent cx="869950" cy="889000"/>
            <wp:effectExtent l="0" t="0" r="0" b="0"/>
            <wp:wrapSquare wrapText="bothSides" distT="0" distB="0" distL="114300" distR="114300"/>
            <wp:docPr id="187833828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t="81334" r="81733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88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D247B8">
      <w:headerReference w:type="default" r:id="rId8"/>
      <w:footerReference w:type="default" r:id="rId9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9F6F4B" w14:textId="77777777" w:rsidR="00556FDF" w:rsidRDefault="00556FDF">
      <w:r>
        <w:separator/>
      </w:r>
    </w:p>
  </w:endnote>
  <w:endnote w:type="continuationSeparator" w:id="0">
    <w:p w14:paraId="201BDFFB" w14:textId="77777777" w:rsidR="00556FDF" w:rsidRDefault="00556F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20356D" w14:textId="77777777" w:rsidR="00D247B8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D48B32D" wp14:editId="790E9C69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82" name="image1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ROPIT - Unifesspa é contemplada com 68 cotas de bolsas da Fapespa para ..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0936AE5" wp14:editId="7278ABAE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80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1A5F1FE9" wp14:editId="4E57DE1F">
          <wp:simplePos x="0" y="0"/>
          <wp:positionH relativeFrom="column">
            <wp:posOffset>786765</wp:posOffset>
          </wp:positionH>
          <wp:positionV relativeFrom="paragraph">
            <wp:posOffset>9934575</wp:posOffset>
          </wp:positionV>
          <wp:extent cx="1231900" cy="381000"/>
          <wp:effectExtent l="0" t="0" r="0" b="0"/>
          <wp:wrapSquare wrapText="bothSides" distT="0" distB="0" distL="114300" distR="114300"/>
          <wp:docPr id="1878338285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900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1BF1391C" wp14:editId="1028A597">
          <wp:simplePos x="0" y="0"/>
          <wp:positionH relativeFrom="column">
            <wp:posOffset>3444240</wp:posOffset>
          </wp:positionH>
          <wp:positionV relativeFrom="paragraph">
            <wp:posOffset>9918700</wp:posOffset>
          </wp:positionV>
          <wp:extent cx="542925" cy="387350"/>
          <wp:effectExtent l="0" t="0" r="0" b="0"/>
          <wp:wrapSquare wrapText="bothSides" distT="0" distB="0" distL="114300" distR="114300"/>
          <wp:docPr id="1878338281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387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02655119" wp14:editId="03E4EB40">
          <wp:simplePos x="0" y="0"/>
          <wp:positionH relativeFrom="column">
            <wp:posOffset>4253865</wp:posOffset>
          </wp:positionH>
          <wp:positionV relativeFrom="paragraph">
            <wp:posOffset>9933940</wp:posOffset>
          </wp:positionV>
          <wp:extent cx="914400" cy="353060"/>
          <wp:effectExtent l="0" t="0" r="0" b="0"/>
          <wp:wrapSquare wrapText="bothSides" distT="0" distB="0" distL="114300" distR="114300"/>
          <wp:docPr id="187833827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0021AE74" wp14:editId="272E4517">
          <wp:simplePos x="0" y="0"/>
          <wp:positionH relativeFrom="column">
            <wp:posOffset>5108094</wp:posOffset>
          </wp:positionH>
          <wp:positionV relativeFrom="paragraph">
            <wp:posOffset>-97464</wp:posOffset>
          </wp:positionV>
          <wp:extent cx="752475" cy="326929"/>
          <wp:effectExtent l="0" t="0" r="0" b="0"/>
          <wp:wrapSquare wrapText="bothSides" distT="0" distB="0" distL="114300" distR="114300"/>
          <wp:docPr id="187833828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2475" cy="3269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351D4D57" wp14:editId="402CD690">
              <wp:simplePos x="0" y="0"/>
              <wp:positionH relativeFrom="column">
                <wp:posOffset>-184818</wp:posOffset>
              </wp:positionH>
              <wp:positionV relativeFrom="paragraph">
                <wp:posOffset>-344917</wp:posOffset>
              </wp:positionV>
              <wp:extent cx="923925" cy="409575"/>
              <wp:effectExtent l="0" t="0" r="0" b="0"/>
              <wp:wrapNone/>
              <wp:docPr id="1878338277" name="Retângulo 18783382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88800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6A5491F9" w14:textId="77777777" w:rsidR="00D247B8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ED7D31"/>
                            </w:rPr>
                            <w:t>Realização</w:t>
                          </w:r>
                        </w:p>
                      </w:txbxContent>
                    </wps:txbx>
                    <wps:bodyPr spcFirstLastPara="1" wrap="square" lIns="88900" tIns="38100" rIns="88900" bIns="381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1D4D57" id="Retângulo 1878338277" o:spid="_x0000_s1026" style="position:absolute;margin-left:-14.55pt;margin-top:-27.15pt;width:72.75pt;height:3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" stroked="f">
              <v:textbox inset="7pt,3pt,7pt,3pt">
                <w:txbxContent>
                  <w:p w14:paraId="6A5491F9" w14:textId="77777777" w:rsidR="00D247B8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ED7D31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hidden="0" allowOverlap="1" wp14:anchorId="13302D3E" wp14:editId="3A4453EE">
              <wp:simplePos x="0" y="0"/>
              <wp:positionH relativeFrom="column">
                <wp:posOffset>2396403</wp:posOffset>
              </wp:positionH>
              <wp:positionV relativeFrom="paragraph">
                <wp:posOffset>-344244</wp:posOffset>
              </wp:positionV>
              <wp:extent cx="899087" cy="409575"/>
              <wp:effectExtent l="0" t="0" r="0" b="0"/>
              <wp:wrapNone/>
              <wp:docPr id="1878338278" name="Retângulo 18783382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65958" y="3579975"/>
                        <a:ext cx="91440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B42164A" w14:textId="77777777" w:rsidR="00D247B8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ED7D31"/>
                            </w:rPr>
                            <w:t>Apoio</w:t>
                          </w:r>
                        </w:p>
                      </w:txbxContent>
                    </wps:txbx>
                    <wps:bodyPr spcFirstLastPara="1" wrap="square" lIns="88900" tIns="38100" rIns="88900" bIns="381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3302D3E" id="Retângulo 1878338278" o:spid="_x0000_s1027" style="position:absolute;margin-left:188.7pt;margin-top:-27.1pt;width:70.8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" stroked="f">
              <v:textbox inset="7pt,3pt,7pt,3pt">
                <w:txbxContent>
                  <w:p w14:paraId="0B42164A" w14:textId="77777777" w:rsidR="00D247B8" w:rsidRDefault="00000000">
                    <w:pPr>
                      <w:jc w:val="center"/>
                      <w:textDirection w:val="btLr"/>
                    </w:pPr>
                    <w:r>
                      <w:rPr>
                        <w:b/>
                        <w:color w:val="ED7D31"/>
                      </w:rPr>
                      <w:t>Apoio</w:t>
                    </w:r>
                  </w:p>
                </w:txbxContent>
              </v:textbox>
            </v:rect>
          </w:pict>
        </mc:Fallback>
      </mc:AlternateContent>
    </w:r>
  </w:p>
  <w:p w14:paraId="24AE5DA2" w14:textId="77777777" w:rsidR="00D247B8" w:rsidRDefault="00D247B8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292D58" w14:textId="77777777" w:rsidR="00556FDF" w:rsidRDefault="00556FDF">
      <w:r>
        <w:separator/>
      </w:r>
    </w:p>
  </w:footnote>
  <w:footnote w:type="continuationSeparator" w:id="0">
    <w:p w14:paraId="5E0AB151" w14:textId="77777777" w:rsidR="00556FDF" w:rsidRDefault="00556F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267541" w14:textId="77777777" w:rsidR="00D247B8" w:rsidRDefault="00D247B8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216CF4CA" w14:textId="77777777" w:rsidR="00D247B8" w:rsidRDefault="00000000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05EA4AE6" wp14:editId="08480085">
          <wp:extent cx="1964462" cy="1264573"/>
          <wp:effectExtent l="0" t="0" r="0" b="0"/>
          <wp:docPr id="1878338284" name="image7.png" descr="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Logotipo&#10;&#10;Descrição gerada automaticamente"/>
                  <pic:cNvPicPr preferRelativeResize="0"/>
                </pic:nvPicPr>
                <pic:blipFill>
                  <a:blip r:embed="rId1"/>
                  <a:srcRect l="-446" t="27678" r="446" b="7886"/>
                  <a:stretch>
                    <a:fillRect/>
                  </a:stretch>
                </pic:blipFill>
                <pic:spPr>
                  <a:xfrm>
                    <a:off x="0" y="0"/>
                    <a:ext cx="1964462" cy="12645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BF7A95F" w14:textId="77777777" w:rsidR="00D247B8" w:rsidRDefault="00D247B8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7B8"/>
    <w:rsid w:val="00556FDF"/>
    <w:rsid w:val="008A354F"/>
    <w:rsid w:val="00C01F05"/>
    <w:rsid w:val="00D24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2E1AA10"/>
  <w15:docId w15:val="{D20065D4-7835-4C76-856E-1993783E5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rsid w:val="003B1F3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3B1F3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3B1F3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3B1F3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3B1F33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3B1F3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3B1F33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3B1F3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6442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442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2230DF"/>
    <w:pPr>
      <w:widowControl/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DC054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/ezcqdV0RoZtPukXwo4cKmOvGA==">CgMxLjA4AHIhMS1pYllCTENvQVdGdG5DejRzZFVuSm5XOFdtOGVoWFdw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653</Words>
  <Characters>3528</Characters>
  <Application>Microsoft Office Word</Application>
  <DocSecurity>0</DocSecurity>
  <Lines>29</Lines>
  <Paragraphs>8</Paragraphs>
  <ScaleCrop>false</ScaleCrop>
  <Company/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2</cp:revision>
  <dcterms:created xsi:type="dcterms:W3CDTF">2023-08-30T02:35:00Z</dcterms:created>
  <dcterms:modified xsi:type="dcterms:W3CDTF">2024-11-26T21:47:00Z</dcterms:modified>
</cp:coreProperties>
</file>