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F2F4" w14:textId="77777777" w:rsidR="005B62AA" w:rsidRPr="00C85536" w:rsidRDefault="005B62AA" w:rsidP="005B62AA">
      <w:pPr>
        <w:spacing w:line="360" w:lineRule="auto"/>
        <w:ind w:left="170"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536">
        <w:rPr>
          <w:rFonts w:ascii="Times New Roman" w:hAnsi="Times New Roman" w:cs="Times New Roman"/>
          <w:b/>
          <w:bCs/>
          <w:sz w:val="24"/>
          <w:szCs w:val="24"/>
        </w:rPr>
        <w:t>REVELANDO OS DESAFIOS DA ATENÇÃO PRIMÁRIA NA REALIZAÇÃO DO EXAME CITOLÓGICO</w:t>
      </w:r>
    </w:p>
    <w:p w14:paraId="497926EC" w14:textId="77777777" w:rsidR="00785A23" w:rsidRPr="00A12DC5" w:rsidRDefault="00785A23" w:rsidP="00785A23">
      <w:pPr>
        <w:spacing w:after="0" w:line="240" w:lineRule="auto"/>
        <w:ind w:left="170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D2641" w14:textId="77777777" w:rsidR="000522BF" w:rsidRDefault="000522BF" w:rsidP="00785A23">
      <w:pPr>
        <w:spacing w:after="0" w:line="240" w:lineRule="auto"/>
        <w:ind w:left="170" w:right="113"/>
        <w:jc w:val="right"/>
        <w:rPr>
          <w:rFonts w:ascii="Times New Roman" w:hAnsi="Times New Roman" w:cs="Times New Roman"/>
          <w:sz w:val="24"/>
          <w:szCs w:val="24"/>
        </w:rPr>
      </w:pPr>
    </w:p>
    <w:p w14:paraId="0C0F61AF" w14:textId="77777777" w:rsidR="00C853A1" w:rsidRDefault="000522BF" w:rsidP="00C853A1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Centro Universitário de Patos - UNIFIP - Patos – PB</w:t>
      </w:r>
    </w:p>
    <w:p w14:paraId="6466B486" w14:textId="4130E6B4" w:rsidR="000522BF" w:rsidRDefault="000522BF" w:rsidP="00C853A1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2BF">
        <w:rPr>
          <w:rFonts w:ascii="Times New Roman" w:hAnsi="Times New Roman" w:cs="Times New Roman"/>
          <w:sz w:val="24"/>
          <w:szCs w:val="24"/>
        </w:rPr>
        <w:t>Erika Carmem de Sousa Gomes</w:t>
      </w:r>
    </w:p>
    <w:p w14:paraId="20F0667C" w14:textId="77777777" w:rsidR="000522BF" w:rsidRPr="005B62AA" w:rsidRDefault="000522BF" w:rsidP="000522BF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Centro Universitário de Patos - UNIFIP - Patos – PB</w:t>
      </w:r>
    </w:p>
    <w:p w14:paraId="41985FD0" w14:textId="77777777" w:rsidR="000522BF" w:rsidRPr="005B62AA" w:rsidRDefault="000522BF" w:rsidP="000522BF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5B62AA">
        <w:rPr>
          <w:rFonts w:ascii="Times New Roman" w:hAnsi="Times New Roman" w:cs="Times New Roman"/>
          <w:color w:val="000000" w:themeColor="text1"/>
          <w:sz w:val="24"/>
          <w:szCs w:val="24"/>
        </w:rPr>
        <w:t>Isabelly</w:t>
      </w:r>
      <w:proofErr w:type="spellEnd"/>
      <w:r w:rsidRPr="005B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Cordeiro Galdino </w:t>
      </w:r>
    </w:p>
    <w:p w14:paraId="190E3B71" w14:textId="77777777" w:rsidR="000522BF" w:rsidRPr="005B62AA" w:rsidRDefault="000522BF" w:rsidP="000522BF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Centro Universitário de Patos - UNIFIP - Patos – PB</w:t>
      </w:r>
    </w:p>
    <w:p w14:paraId="210032ED" w14:textId="564FA4AA" w:rsidR="005B62AA" w:rsidRPr="005B62AA" w:rsidRDefault="005B62AA" w:rsidP="005B62AA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Maria do Desterro Gomes Américo</w:t>
      </w:r>
    </w:p>
    <w:p w14:paraId="307497C3" w14:textId="77777777" w:rsidR="005B62AA" w:rsidRPr="005B62AA" w:rsidRDefault="005B62AA" w:rsidP="005B62AA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Centro Universitário de Patos - UNIFIP - Patos – PB</w:t>
      </w:r>
    </w:p>
    <w:p w14:paraId="03EEDA5A" w14:textId="77777777" w:rsidR="005B62AA" w:rsidRPr="005B62AA" w:rsidRDefault="005B62AA" w:rsidP="005B62AA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Talia Pereira De Andrade  </w:t>
      </w:r>
    </w:p>
    <w:p w14:paraId="7D3B5F3F" w14:textId="77777777" w:rsidR="005B62AA" w:rsidRPr="005B62AA" w:rsidRDefault="005B62AA" w:rsidP="005B62AA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Centro Universitário de Patos - UNIFIP - Patos – PB</w:t>
      </w:r>
    </w:p>
    <w:p w14:paraId="69C1E8B3" w14:textId="4A22A558" w:rsidR="005B62AA" w:rsidRPr="005B62AA" w:rsidRDefault="00DA2D42" w:rsidP="005B62AA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Juliane de Oliveira C</w:t>
      </w:r>
      <w:r w:rsidR="005B62AA" w:rsidRPr="005B62AA">
        <w:rPr>
          <w:rFonts w:ascii="Times New Roman" w:hAnsi="Times New Roman" w:cs="Times New Roman"/>
          <w:sz w:val="24"/>
          <w:szCs w:val="24"/>
        </w:rPr>
        <w:t>osta-</w:t>
      </w:r>
    </w:p>
    <w:p w14:paraId="4F08FBC2" w14:textId="77777777" w:rsidR="005B62AA" w:rsidRPr="005B62AA" w:rsidRDefault="005B62AA" w:rsidP="005B62AA">
      <w:pPr>
        <w:spacing w:line="240" w:lineRule="auto"/>
        <w:ind w:left="170" w:right="113" w:firstLine="709"/>
        <w:jc w:val="right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5B62AA">
        <w:rPr>
          <w:rFonts w:ascii="Times New Roman" w:hAnsi="Times New Roman" w:cs="Times New Roman"/>
          <w:sz w:val="24"/>
          <w:szCs w:val="24"/>
        </w:rPr>
        <w:t xml:space="preserve"> Centro Universitário de Patos – UNIFIP, Patos, Paraíba, Brasil.</w:t>
      </w:r>
    </w:p>
    <w:p w14:paraId="26AF2E6D" w14:textId="77777777" w:rsidR="00785A23" w:rsidRPr="00A12DC5" w:rsidRDefault="00785A23" w:rsidP="00785A23">
      <w:pPr>
        <w:spacing w:after="0" w:line="240" w:lineRule="auto"/>
        <w:ind w:left="170" w:right="113"/>
        <w:jc w:val="right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</w:p>
    <w:p w14:paraId="2994C31F" w14:textId="77777777" w:rsidR="00785A23" w:rsidRPr="00A12DC5" w:rsidRDefault="00785A23" w:rsidP="00785A23">
      <w:pPr>
        <w:spacing w:line="360" w:lineRule="auto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B0E4697" w14:textId="77777777" w:rsidR="00785A23" w:rsidRPr="00A12DC5" w:rsidRDefault="00785A23" w:rsidP="00785A23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DB6EFE2" w14:textId="77777777" w:rsidR="00785A23" w:rsidRPr="00A12DC5" w:rsidRDefault="00785A23" w:rsidP="00785A23">
      <w:pPr>
        <w:spacing w:line="360" w:lineRule="auto"/>
        <w:ind w:right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2DC5">
        <w:rPr>
          <w:rFonts w:ascii="Times New Roman" w:hAnsi="Times New Roman" w:cs="Times New Roman"/>
          <w:b/>
          <w:sz w:val="24"/>
          <w:szCs w:val="24"/>
        </w:rPr>
        <w:t xml:space="preserve">Palavras-Chaves: </w:t>
      </w:r>
      <w:r w:rsidR="00674780">
        <w:rPr>
          <w:rFonts w:ascii="Times New Roman" w:hAnsi="Times New Roman" w:cs="Times New Roman"/>
          <w:sz w:val="24"/>
          <w:szCs w:val="24"/>
        </w:rPr>
        <w:t xml:space="preserve">Atenção Primaria, Exame </w:t>
      </w:r>
      <w:r w:rsidR="00356432">
        <w:rPr>
          <w:rFonts w:ascii="Times New Roman" w:hAnsi="Times New Roman" w:cs="Times New Roman"/>
          <w:sz w:val="24"/>
          <w:szCs w:val="24"/>
        </w:rPr>
        <w:t>citológico e Barreiras assistenciais.</w:t>
      </w:r>
      <w:r w:rsidR="00FB3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DB9EB" w14:textId="77777777" w:rsidR="00785A23" w:rsidRPr="0059782B" w:rsidRDefault="00785A23" w:rsidP="00785A23">
      <w:pPr>
        <w:spacing w:line="360" w:lineRule="auto"/>
        <w:ind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DC5">
        <w:rPr>
          <w:rFonts w:ascii="Times New Roman" w:hAnsi="Times New Roman" w:cs="Times New Roman"/>
          <w:b/>
          <w:sz w:val="24"/>
          <w:szCs w:val="24"/>
        </w:rPr>
        <w:t>Área Temática</w:t>
      </w:r>
      <w:r w:rsidR="005978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782B">
        <w:rPr>
          <w:rFonts w:ascii="Times New Roman" w:hAnsi="Times New Roman" w:cs="Times New Roman"/>
          <w:sz w:val="24"/>
          <w:szCs w:val="24"/>
        </w:rPr>
        <w:t>Saúde da Mulher.</w:t>
      </w:r>
    </w:p>
    <w:p w14:paraId="05726024" w14:textId="40A5EA23" w:rsidR="005B62AA" w:rsidRPr="000522BF" w:rsidRDefault="005B62AA" w:rsidP="005B62AA">
      <w:pPr>
        <w:spacing w:line="360" w:lineRule="auto"/>
        <w:ind w:right="11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4A3AB0">
        <w:rPr>
          <w:rFonts w:ascii="Times New Roman" w:eastAsia="Arial" w:hAnsi="Times New Roman" w:cs="Times New Roman"/>
          <w:b/>
          <w:sz w:val="24"/>
          <w:szCs w:val="24"/>
        </w:rPr>
        <w:t>E-mail do autor para correspondência:</w:t>
      </w:r>
      <w:r w:rsidR="000522B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hyperlink r:id="rId7" w:history="1">
        <w:r w:rsidR="000522BF" w:rsidRPr="00203167">
          <w:rPr>
            <w:rStyle w:val="Hyperlink"/>
            <w:rFonts w:ascii="Times New Roman" w:eastAsia="Arial" w:hAnsi="Times New Roman" w:cs="Times New Roman"/>
            <w:bCs/>
            <w:sz w:val="24"/>
            <w:szCs w:val="24"/>
          </w:rPr>
          <w:t>taliaandradi@gmail.com</w:t>
        </w:r>
      </w:hyperlink>
      <w:r w:rsidR="000522B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0FDEEA9F" w14:textId="77777777" w:rsidR="005B62AA" w:rsidRPr="00A12DC5" w:rsidRDefault="005B62AA" w:rsidP="00785A23">
      <w:pPr>
        <w:spacing w:line="360" w:lineRule="auto"/>
        <w:ind w:right="113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75DB894F" w14:textId="77777777" w:rsidR="005B62AA" w:rsidRDefault="00785A23" w:rsidP="005B62AA">
      <w:pPr>
        <w:pStyle w:val="Pr-formataoHTML"/>
        <w:numPr>
          <w:ilvl w:val="0"/>
          <w:numId w:val="5"/>
        </w:numPr>
        <w:spacing w:line="360" w:lineRule="auto"/>
        <w:ind w:left="170"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DC5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022F9AB5" w14:textId="77777777" w:rsidR="005B62AA" w:rsidRDefault="005B62AA" w:rsidP="00B31681">
      <w:pPr>
        <w:pStyle w:val="Pr-formatao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EC0BB" w14:textId="77777777" w:rsidR="005B62AA" w:rsidRDefault="005B62AA" w:rsidP="00B31681">
      <w:pPr>
        <w:pStyle w:val="Pr-formatao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>O Papanicolau, também conhecido como exame citológico, é o exame mais utilizado para diagnosticar o câncer de colo do útero, devido ao seu caráter rápido e não invasivo, criado pelo médico grego George Nicholas Papanicolau em 1928, inicialmente, seu método não foi amplamente aceito pela comunidade médica da época, que aceitava a biópsia de colo do útero como uma forma mais eficaz de diagnóstico (Teles</w:t>
      </w:r>
      <w:r w:rsidR="00356432">
        <w:rPr>
          <w:rFonts w:ascii="Times New Roman" w:hAnsi="Times New Roman" w:cs="Times New Roman"/>
          <w:sz w:val="24"/>
          <w:szCs w:val="24"/>
        </w:rPr>
        <w:t xml:space="preserve"> et al.</w:t>
      </w:r>
      <w:r w:rsidRPr="005B62AA">
        <w:rPr>
          <w:rFonts w:ascii="Times New Roman" w:hAnsi="Times New Roman" w:cs="Times New Roman"/>
          <w:sz w:val="24"/>
          <w:szCs w:val="24"/>
        </w:rPr>
        <w:t>, 2024).</w:t>
      </w:r>
    </w:p>
    <w:p w14:paraId="2344C1DF" w14:textId="77777777" w:rsidR="005B62AA" w:rsidRPr="005B62AA" w:rsidRDefault="005B62AA" w:rsidP="00B31681">
      <w:pPr>
        <w:pStyle w:val="Pr-formatao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lastRenderedPageBreak/>
        <w:t xml:space="preserve"> O exame preventivo para o câncer de colo do útero (PCCU) é crucial para identificar precocemente lesões iniciais e deve ser realizado regularmente por mulheres sexualmente ativas, principalmente aquelas com idades entre 25 e 64 anos.</w:t>
      </w:r>
      <w:r w:rsidR="00674780">
        <w:rPr>
          <w:rFonts w:ascii="Times New Roman" w:hAnsi="Times New Roman" w:cs="Times New Roman"/>
          <w:sz w:val="24"/>
          <w:szCs w:val="24"/>
        </w:rPr>
        <w:t xml:space="preserve"> Á</w:t>
      </w:r>
      <w:r w:rsidRPr="005B62AA">
        <w:rPr>
          <w:rFonts w:ascii="Times New Roman" w:hAnsi="Times New Roman" w:cs="Times New Roman"/>
          <w:sz w:val="24"/>
          <w:szCs w:val="24"/>
        </w:rPr>
        <w:t xml:space="preserve"> equipe de enfermagem enfrentam grandes desafios na realização do exame de PCCU. Dificuldades incluem a escassez de recursos, a baixa adesão das mulheres ao exame cito patológico, a falta de informação sobre a doença e suas complicações, a dificuldade ao acesso e serviço, problemas com o agendamento, longas filas de espera, pouca participação dos profissionais, ausência de materiais para a coleta e sobrecarga de trabalho, dificultam a qua</w:t>
      </w:r>
      <w:r w:rsidR="00356432">
        <w:rPr>
          <w:rFonts w:ascii="Times New Roman" w:hAnsi="Times New Roman" w:cs="Times New Roman"/>
          <w:sz w:val="24"/>
          <w:szCs w:val="24"/>
        </w:rPr>
        <w:t xml:space="preserve">lidade do atendimento prestado </w:t>
      </w:r>
      <w:r w:rsidRPr="005B62AA">
        <w:rPr>
          <w:rFonts w:ascii="Times New Roman" w:hAnsi="Times New Roman" w:cs="Times New Roman"/>
          <w:sz w:val="24"/>
          <w:szCs w:val="24"/>
        </w:rPr>
        <w:t>(</w:t>
      </w:r>
      <w:r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</w:t>
      </w:r>
      <w:proofErr w:type="spellStart"/>
      <w:r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Rosàrio</w:t>
      </w:r>
      <w:proofErr w:type="spellEnd"/>
      <w:r w:rsidR="00356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2023</w:t>
      </w:r>
      <w:r w:rsidRPr="005B62AA">
        <w:rPr>
          <w:rFonts w:ascii="Times New Roman" w:hAnsi="Times New Roman" w:cs="Times New Roman"/>
          <w:sz w:val="24"/>
          <w:szCs w:val="24"/>
        </w:rPr>
        <w:t>).</w:t>
      </w:r>
    </w:p>
    <w:p w14:paraId="1FCE3CB0" w14:textId="77777777" w:rsidR="001857D2" w:rsidRDefault="005B62AA" w:rsidP="00B316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5536">
        <w:rPr>
          <w:rFonts w:ascii="Times New Roman" w:hAnsi="Times New Roman" w:cs="Times New Roman"/>
          <w:sz w:val="24"/>
          <w:szCs w:val="24"/>
        </w:rPr>
        <w:t>As baixas taxas de realização do exame entre as mulheres em todo o Brasil têm se tornado um grande problema de saúde pública, devido ao elevado número de diagnósticos e mortes por doenças que poderiam ter sido precocemente identificadas. A significativa redução na cobertura de rastreamento fortalece a urgência em avaliar e implementar novas medidas</w:t>
      </w:r>
      <w:r w:rsidR="00674780">
        <w:rPr>
          <w:rFonts w:ascii="Times New Roman" w:hAnsi="Times New Roman" w:cs="Times New Roman"/>
          <w:sz w:val="24"/>
          <w:szCs w:val="24"/>
        </w:rPr>
        <w:t>,</w:t>
      </w:r>
      <w:r w:rsidRPr="00C85536">
        <w:rPr>
          <w:rFonts w:ascii="Times New Roman" w:hAnsi="Times New Roman" w:cs="Times New Roman"/>
          <w:sz w:val="24"/>
          <w:szCs w:val="24"/>
        </w:rPr>
        <w:t xml:space="preserve"> mais eficazes de detecção e acompanhamento dessa patologia (</w:t>
      </w:r>
      <w:r w:rsidRPr="00C855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Carvalho, 2023).</w:t>
      </w:r>
      <w:r w:rsidR="001857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5FAFA03" w14:textId="77777777" w:rsidR="00785A23" w:rsidRDefault="001857D2" w:rsidP="00B3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7D2">
        <w:rPr>
          <w:rFonts w:ascii="Times New Roman" w:hAnsi="Times New Roman" w:cs="Times New Roman"/>
          <w:sz w:val="24"/>
          <w:szCs w:val="24"/>
        </w:rPr>
        <w:t>Este trab</w:t>
      </w:r>
      <w:r>
        <w:rPr>
          <w:rFonts w:ascii="Times New Roman" w:hAnsi="Times New Roman" w:cs="Times New Roman"/>
          <w:sz w:val="24"/>
          <w:szCs w:val="24"/>
        </w:rPr>
        <w:t>alho é crucial para a população</w:t>
      </w:r>
      <w:r w:rsidRPr="001857D2">
        <w:rPr>
          <w:rFonts w:ascii="Times New Roman" w:hAnsi="Times New Roman" w:cs="Times New Roman"/>
          <w:sz w:val="24"/>
          <w:szCs w:val="24"/>
        </w:rPr>
        <w:t>, pois revela os desafios enfrentados na atenção primária à saúde, especialmente na realizaçã</w:t>
      </w:r>
      <w:r w:rsidR="00962D6D">
        <w:rPr>
          <w:rFonts w:ascii="Times New Roman" w:hAnsi="Times New Roman" w:cs="Times New Roman"/>
          <w:sz w:val="24"/>
          <w:szCs w:val="24"/>
        </w:rPr>
        <w:t>o do exame citológico, fundamental</w:t>
      </w:r>
      <w:r w:rsidRPr="001857D2">
        <w:rPr>
          <w:rFonts w:ascii="Times New Roman" w:hAnsi="Times New Roman" w:cs="Times New Roman"/>
          <w:sz w:val="24"/>
          <w:szCs w:val="24"/>
        </w:rPr>
        <w:t xml:space="preserve"> para a detecção precoce do câncer de colo do útero.</w:t>
      </w:r>
      <w:r w:rsidR="00962D6D">
        <w:rPr>
          <w:rFonts w:ascii="Times New Roman" w:hAnsi="Times New Roman" w:cs="Times New Roman"/>
          <w:sz w:val="24"/>
          <w:szCs w:val="24"/>
        </w:rPr>
        <w:t xml:space="preserve"> Ao identificar esses problemas, torna-se possível institui</w:t>
      </w:r>
      <w:r w:rsidRPr="001857D2">
        <w:rPr>
          <w:rFonts w:ascii="Times New Roman" w:hAnsi="Times New Roman" w:cs="Times New Roman"/>
          <w:sz w:val="24"/>
          <w:szCs w:val="24"/>
        </w:rPr>
        <w:t>r m</w:t>
      </w:r>
      <w:r w:rsidR="00962D6D">
        <w:rPr>
          <w:rFonts w:ascii="Times New Roman" w:hAnsi="Times New Roman" w:cs="Times New Roman"/>
          <w:sz w:val="24"/>
          <w:szCs w:val="24"/>
        </w:rPr>
        <w:t>elhorias no atendimento, eleva</w:t>
      </w:r>
      <w:r w:rsidRPr="001857D2">
        <w:rPr>
          <w:rFonts w:ascii="Times New Roman" w:hAnsi="Times New Roman" w:cs="Times New Roman"/>
          <w:sz w:val="24"/>
          <w:szCs w:val="24"/>
        </w:rPr>
        <w:t>r a adesão e reduzir mortes evitáveis.</w:t>
      </w:r>
      <w:r w:rsidR="00597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B62AA" w:rsidRPr="00B34807">
        <w:rPr>
          <w:rFonts w:ascii="Times New Roman" w:hAnsi="Times New Roman" w:cs="Times New Roman"/>
          <w:sz w:val="24"/>
          <w:szCs w:val="24"/>
        </w:rPr>
        <w:t>Dessa forma, Objetivou-se avaliar a literatura e revelar os desafios enfrentados pela atenção primária na realização do exame citológico.</w:t>
      </w:r>
    </w:p>
    <w:p w14:paraId="48562945" w14:textId="77777777" w:rsidR="001857D2" w:rsidRPr="005B62AA" w:rsidRDefault="001857D2" w:rsidP="00674780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C7A104A" w14:textId="77777777" w:rsidR="00785A23" w:rsidRPr="00A12DC5" w:rsidRDefault="00785A23" w:rsidP="00785A23">
      <w:pPr>
        <w:pStyle w:val="Pr-formataoHTML"/>
        <w:spacing w:after="160" w:line="360" w:lineRule="auto"/>
        <w:ind w:left="170"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FA0A7" w14:textId="77777777" w:rsidR="00785A23" w:rsidRDefault="00785A23" w:rsidP="00785A23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170"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MÉTODOS</w:t>
      </w:r>
    </w:p>
    <w:p w14:paraId="7553023A" w14:textId="08DB0A46" w:rsidR="005B62AA" w:rsidRPr="004E1739" w:rsidRDefault="005B62AA" w:rsidP="00B31681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E1739">
        <w:t xml:space="preserve">Trata-se de uma revisão bibliográfica com levantamento de dados, realizado através da pesquisa de artigos científicos nas bases de </w:t>
      </w:r>
      <w:r>
        <w:t xml:space="preserve">dados </w:t>
      </w:r>
      <w:proofErr w:type="spellStart"/>
      <w:r>
        <w:t>Scielo</w:t>
      </w:r>
      <w:proofErr w:type="spellEnd"/>
      <w:r>
        <w:t xml:space="preserve"> e Capes Periódicos</w:t>
      </w:r>
      <w:r w:rsidRPr="004E1739">
        <w:t>, utilizando o tema “</w:t>
      </w:r>
      <w:r w:rsidRPr="004E1739">
        <w:rPr>
          <w:bCs/>
        </w:rPr>
        <w:t>Revelando os Desafios da Atenção Primária na Realização do Exame Citológico</w:t>
      </w:r>
      <w:r w:rsidRPr="004E1739">
        <w:t>”. A análise foi realizada com base na interpretação crítica da literatura revisada, discutindo as principais barreiras e propondo melhorias, com embasamento teórico e científico</w:t>
      </w:r>
      <w:r>
        <w:t>.</w:t>
      </w:r>
      <w:r w:rsidR="008059B4">
        <w:t xml:space="preserve"> Nesse levantamento remeteu-se 4</w:t>
      </w:r>
      <w:r>
        <w:t xml:space="preserve"> artigos que f</w:t>
      </w:r>
      <w:r w:rsidRPr="004E1739">
        <w:t xml:space="preserve">oram incluídos no estudo científicos que atenderam aos seguintes critérios: </w:t>
      </w:r>
      <w:r w:rsidRPr="002C4269">
        <w:t>Publicação entre os anos de</w:t>
      </w:r>
      <w:r w:rsidR="00962D6D">
        <w:t xml:space="preserve"> </w:t>
      </w:r>
      <w:r>
        <w:rPr>
          <w:bCs/>
        </w:rPr>
        <w:t>2019</w:t>
      </w:r>
      <w:r w:rsidR="00962D6D">
        <w:rPr>
          <w:bCs/>
        </w:rPr>
        <w:t xml:space="preserve"> </w:t>
      </w:r>
      <w:r>
        <w:rPr>
          <w:bCs/>
        </w:rPr>
        <w:t>a</w:t>
      </w:r>
      <w:r w:rsidRPr="004E1739">
        <w:rPr>
          <w:bCs/>
        </w:rPr>
        <w:t xml:space="preserve"> 2024</w:t>
      </w:r>
      <w:r w:rsidRPr="004E1739">
        <w:t xml:space="preserve">, </w:t>
      </w:r>
      <w:r>
        <w:t>e</w:t>
      </w:r>
      <w:r w:rsidRPr="002C4269">
        <w:t xml:space="preserve">studos publicados em </w:t>
      </w:r>
      <w:r w:rsidRPr="004E1739">
        <w:rPr>
          <w:bCs/>
        </w:rPr>
        <w:t>português</w:t>
      </w:r>
      <w:r w:rsidRPr="004E1739">
        <w:t>, a</w:t>
      </w:r>
      <w:r w:rsidRPr="002C4269">
        <w:t xml:space="preserve">rtigos que abordam especificamente </w:t>
      </w:r>
      <w:r w:rsidRPr="004E1739">
        <w:rPr>
          <w:bCs/>
        </w:rPr>
        <w:t>o papel da atenção</w:t>
      </w:r>
      <w:r w:rsidR="00962D6D">
        <w:rPr>
          <w:bCs/>
        </w:rPr>
        <w:t xml:space="preserve"> </w:t>
      </w:r>
      <w:r w:rsidRPr="004E1739">
        <w:rPr>
          <w:bCs/>
        </w:rPr>
        <w:t>primária</w:t>
      </w:r>
      <w:r w:rsidRPr="004E1739">
        <w:t>,</w:t>
      </w:r>
      <w:r w:rsidR="00962D6D">
        <w:t xml:space="preserve"> </w:t>
      </w:r>
      <w:r w:rsidRPr="004E1739">
        <w:rPr>
          <w:bCs/>
        </w:rPr>
        <w:t>desafios</w:t>
      </w:r>
      <w:r w:rsidRPr="002C4269">
        <w:t>,</w:t>
      </w:r>
      <w:r w:rsidR="00962D6D">
        <w:t xml:space="preserve"> </w:t>
      </w:r>
      <w:r w:rsidRPr="004E1739">
        <w:rPr>
          <w:bCs/>
        </w:rPr>
        <w:t>estratégias de melhoria</w:t>
      </w:r>
      <w:r w:rsidRPr="004E1739">
        <w:t xml:space="preserve">, </w:t>
      </w:r>
      <w:r w:rsidRPr="004E1739">
        <w:rPr>
          <w:bCs/>
        </w:rPr>
        <w:t>acessibilidade</w:t>
      </w:r>
      <w:r w:rsidRPr="004E1739">
        <w:t xml:space="preserve"> e </w:t>
      </w:r>
      <w:r w:rsidRPr="004E1739">
        <w:rPr>
          <w:bCs/>
        </w:rPr>
        <w:t>qualidade do atendimento</w:t>
      </w:r>
      <w:r w:rsidRPr="004E1739">
        <w:t>, e foram excluídos artigos que não trataram</w:t>
      </w:r>
      <w:r w:rsidRPr="006662DB">
        <w:t xml:space="preserve"> especificamente da </w:t>
      </w:r>
      <w:r w:rsidRPr="004E1739">
        <w:rPr>
          <w:bCs/>
        </w:rPr>
        <w:t>atenção primária</w:t>
      </w:r>
      <w:r w:rsidR="00962D6D">
        <w:rPr>
          <w:bCs/>
        </w:rPr>
        <w:t xml:space="preserve"> </w:t>
      </w:r>
      <w:r w:rsidRPr="004E1739">
        <w:t xml:space="preserve">que apresentassem </w:t>
      </w:r>
      <w:r w:rsidRPr="004E1739">
        <w:lastRenderedPageBreak/>
        <w:t>baixa relevância para o tema, como estudos com metodologia não convincente ou resultados pouco consistentes</w:t>
      </w:r>
      <w:r w:rsidR="000522BF">
        <w:t xml:space="preserve"> relacionados ao estudo</w:t>
      </w:r>
      <w:r w:rsidRPr="004E1739">
        <w:t>.</w:t>
      </w:r>
    </w:p>
    <w:p w14:paraId="0EB17082" w14:textId="667713AE" w:rsidR="00962D6D" w:rsidRPr="00B31681" w:rsidRDefault="00962D6D" w:rsidP="00B316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0522BF">
        <w:rPr>
          <w:rFonts w:ascii="Times New Roman" w:hAnsi="Times New Roman" w:cs="Times New Roman"/>
          <w:bCs/>
          <w:sz w:val="24"/>
          <w:szCs w:val="24"/>
        </w:rPr>
        <w:t>descritores</w:t>
      </w:r>
      <w:r w:rsidRPr="00570338">
        <w:rPr>
          <w:rFonts w:ascii="Times New Roman" w:hAnsi="Times New Roman" w:cs="Times New Roman"/>
          <w:bCs/>
          <w:sz w:val="24"/>
          <w:szCs w:val="24"/>
        </w:rPr>
        <w:t xml:space="preserve"> em Ciências da Saúde (</w:t>
      </w:r>
      <w:proofErr w:type="spellStart"/>
      <w:r w:rsidRPr="00570338">
        <w:rPr>
          <w:rFonts w:ascii="Times New Roman" w:hAnsi="Times New Roman" w:cs="Times New Roman"/>
          <w:bCs/>
          <w:sz w:val="24"/>
          <w:szCs w:val="24"/>
        </w:rPr>
        <w:t>DECs</w:t>
      </w:r>
      <w:proofErr w:type="spellEnd"/>
      <w:r w:rsidRPr="00570338">
        <w:rPr>
          <w:rFonts w:ascii="Times New Roman" w:hAnsi="Times New Roman" w:cs="Times New Roman"/>
          <w:bCs/>
          <w:sz w:val="24"/>
          <w:szCs w:val="24"/>
        </w:rPr>
        <w:t>) foram</w:t>
      </w:r>
      <w:r w:rsidRPr="00962D6D">
        <w:rPr>
          <w:rFonts w:ascii="Times New Roman" w:hAnsi="Times New Roman" w:cs="Times New Roman"/>
          <w:sz w:val="24"/>
          <w:szCs w:val="24"/>
        </w:rPr>
        <w:t xml:space="preserve"> </w:t>
      </w:r>
      <w:r w:rsidR="00A01A2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Atenção Primaria</w:t>
      </w:r>
      <w:r w:rsidR="00A01A22">
        <w:rPr>
          <w:rFonts w:ascii="Times New Roman" w:hAnsi="Times New Roman" w:cs="Times New Roman"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1A2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Exame citológico</w:t>
      </w:r>
      <w:r w:rsidR="00A01A2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A01A22">
        <w:rPr>
          <w:rFonts w:ascii="Times New Roman" w:hAnsi="Times New Roman" w:cs="Times New Roman"/>
          <w:sz w:val="24"/>
          <w:szCs w:val="24"/>
        </w:rPr>
        <w:t>“Barreiras Assistenciais”.</w:t>
      </w:r>
      <w:r w:rsidR="00A01A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A22">
        <w:rPr>
          <w:rFonts w:ascii="Times New Roman" w:hAnsi="Times New Roman" w:cs="Times New Roman"/>
          <w:bCs/>
          <w:sz w:val="24"/>
          <w:szCs w:val="24"/>
        </w:rPr>
        <w:t>Foram encontrados um total de 0</w:t>
      </w:r>
      <w:r w:rsidR="000522BF">
        <w:rPr>
          <w:rFonts w:ascii="Times New Roman" w:hAnsi="Times New Roman" w:cs="Times New Roman"/>
          <w:bCs/>
          <w:sz w:val="24"/>
          <w:szCs w:val="24"/>
        </w:rPr>
        <w:t>4</w:t>
      </w:r>
      <w:r w:rsidRPr="00A01A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A22" w:rsidRPr="00A01A22">
        <w:rPr>
          <w:rFonts w:ascii="Times New Roman" w:hAnsi="Times New Roman" w:cs="Times New Roman"/>
          <w:bCs/>
          <w:sz w:val="24"/>
          <w:szCs w:val="24"/>
        </w:rPr>
        <w:t xml:space="preserve">artigos no </w:t>
      </w:r>
      <w:proofErr w:type="spellStart"/>
      <w:r w:rsidR="00B31681">
        <w:rPr>
          <w:rFonts w:ascii="Times New Roman" w:hAnsi="Times New Roman" w:cs="Times New Roman"/>
          <w:bCs/>
          <w:sz w:val="24"/>
          <w:szCs w:val="24"/>
        </w:rPr>
        <w:t>S</w:t>
      </w:r>
      <w:r w:rsidR="00A01A22" w:rsidRPr="00A01A22">
        <w:rPr>
          <w:rFonts w:ascii="Times New Roman" w:hAnsi="Times New Roman" w:cs="Times New Roman"/>
          <w:bCs/>
          <w:sz w:val="24"/>
          <w:szCs w:val="24"/>
        </w:rPr>
        <w:t>cielo</w:t>
      </w:r>
      <w:proofErr w:type="spellEnd"/>
      <w:r w:rsidR="00A01A22" w:rsidRPr="00A01A22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A01A22" w:rsidRPr="00A01A22">
        <w:rPr>
          <w:rFonts w:ascii="Times New Roman" w:hAnsi="Times New Roman" w:cs="Times New Roman"/>
          <w:sz w:val="24"/>
          <w:szCs w:val="24"/>
        </w:rPr>
        <w:t>Capes Periódicos</w:t>
      </w:r>
      <w:r w:rsidR="00A01A22" w:rsidRPr="00A01A22">
        <w:rPr>
          <w:rFonts w:ascii="Times New Roman" w:hAnsi="Times New Roman" w:cs="Times New Roman"/>
          <w:bCs/>
          <w:sz w:val="24"/>
          <w:szCs w:val="24"/>
        </w:rPr>
        <w:t xml:space="preserve">. Após a análise de </w:t>
      </w:r>
      <w:r w:rsidRPr="00A01A22">
        <w:rPr>
          <w:rFonts w:ascii="Times New Roman" w:hAnsi="Times New Roman" w:cs="Times New Roman"/>
          <w:bCs/>
          <w:sz w:val="24"/>
          <w:szCs w:val="24"/>
        </w:rPr>
        <w:t>resumos</w:t>
      </w:r>
      <w:r w:rsidR="00A01A22" w:rsidRPr="00A01A22">
        <w:rPr>
          <w:rFonts w:ascii="Times New Roman" w:hAnsi="Times New Roman" w:cs="Times New Roman"/>
          <w:bCs/>
          <w:sz w:val="24"/>
          <w:szCs w:val="24"/>
        </w:rPr>
        <w:t xml:space="preserve"> e títulos</w:t>
      </w:r>
      <w:r w:rsidRPr="00A01A22">
        <w:rPr>
          <w:rFonts w:ascii="Times New Roman" w:hAnsi="Times New Roman" w:cs="Times New Roman"/>
          <w:bCs/>
          <w:sz w:val="24"/>
          <w:szCs w:val="24"/>
        </w:rPr>
        <w:t>, como também a adoção dos critérios de</w:t>
      </w:r>
      <w:r w:rsidR="00A01A22" w:rsidRPr="00A01A22">
        <w:rPr>
          <w:rFonts w:ascii="Times New Roman" w:hAnsi="Times New Roman" w:cs="Times New Roman"/>
          <w:bCs/>
          <w:sz w:val="24"/>
          <w:szCs w:val="24"/>
        </w:rPr>
        <w:t xml:space="preserve"> inclusão e exclusão já declara</w:t>
      </w:r>
      <w:r w:rsidRPr="00A01A22">
        <w:rPr>
          <w:rFonts w:ascii="Times New Roman" w:hAnsi="Times New Roman" w:cs="Times New Roman"/>
          <w:bCs/>
          <w:sz w:val="24"/>
          <w:szCs w:val="24"/>
        </w:rPr>
        <w:t xml:space="preserve">dos, selecionou-se um total de </w:t>
      </w:r>
      <w:r w:rsidR="000522BF">
        <w:rPr>
          <w:rFonts w:ascii="Times New Roman" w:hAnsi="Times New Roman" w:cs="Times New Roman"/>
          <w:bCs/>
          <w:sz w:val="24"/>
          <w:szCs w:val="24"/>
        </w:rPr>
        <w:t>4</w:t>
      </w:r>
      <w:r w:rsidRPr="00A01A22">
        <w:rPr>
          <w:rFonts w:ascii="Times New Roman" w:hAnsi="Times New Roman" w:cs="Times New Roman"/>
          <w:bCs/>
          <w:sz w:val="24"/>
          <w:szCs w:val="24"/>
        </w:rPr>
        <w:t xml:space="preserve"> artigos.</w:t>
      </w:r>
    </w:p>
    <w:p w14:paraId="4835E2AC" w14:textId="77777777" w:rsidR="005B62AA" w:rsidRPr="005B62AA" w:rsidRDefault="005B62AA" w:rsidP="005B62AA">
      <w:pPr>
        <w:widowControl w:val="0"/>
        <w:autoSpaceDE w:val="0"/>
        <w:autoSpaceDN w:val="0"/>
        <w:spacing w:line="360" w:lineRule="auto"/>
        <w:ind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5CA35" w14:textId="77777777" w:rsidR="00785A23" w:rsidRDefault="00785A23" w:rsidP="005B62AA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line="360" w:lineRule="auto"/>
        <w:ind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2AA">
        <w:rPr>
          <w:rFonts w:ascii="Times New Roman" w:hAnsi="Times New Roman" w:cs="Times New Roman"/>
          <w:b/>
          <w:bCs/>
          <w:sz w:val="24"/>
          <w:szCs w:val="24"/>
        </w:rPr>
        <w:t xml:space="preserve">RESULTADOS E DISCUSSÕES </w:t>
      </w:r>
    </w:p>
    <w:p w14:paraId="4E6B3868" w14:textId="77777777" w:rsidR="005B62AA" w:rsidRDefault="005B62AA" w:rsidP="00B31681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62AA">
        <w:rPr>
          <w:rFonts w:ascii="Times New Roman" w:hAnsi="Times New Roman" w:cs="Times New Roman"/>
          <w:sz w:val="24"/>
          <w:szCs w:val="24"/>
        </w:rPr>
        <w:t>As condições das infraestruturas das instituições, combinadas com a atitude dos profissionais de saúde e a falta de uma política de saúde eficiente, influenciam diretamente a adesão ao exame de Papanicolau, prejudicando a cobertura do exame preventivo e resultando em baixa procura. É fundamental ressaltar que apenas disponibilizar o exame não garante que as mulheres estejam realmente protegidas contra doenças</w:t>
      </w:r>
      <w:r w:rsidR="0059782B">
        <w:rPr>
          <w:rFonts w:ascii="Times New Roman" w:hAnsi="Times New Roman" w:cs="Times New Roman"/>
          <w:sz w:val="24"/>
          <w:szCs w:val="24"/>
        </w:rPr>
        <w:t xml:space="preserve"> </w:t>
      </w:r>
      <w:r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(Junior</w:t>
      </w:r>
      <w:r w:rsidR="00C47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2023)</w:t>
      </w:r>
      <w:r w:rsidR="005978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25FCFDE" w14:textId="280BFD22" w:rsidR="00006BC7" w:rsidRPr="00006BC7" w:rsidRDefault="00006BC7" w:rsidP="00B3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BC7">
        <w:rPr>
          <w:rFonts w:ascii="Times New Roman" w:hAnsi="Times New Roman" w:cs="Times New Roman"/>
          <w:sz w:val="24"/>
          <w:szCs w:val="24"/>
        </w:rPr>
        <w:t>As mulheres enfrentam diversos problemas ao realizar o exame citol</w:t>
      </w:r>
      <w:r w:rsidR="00DA61DB">
        <w:rPr>
          <w:rFonts w:ascii="Times New Roman" w:hAnsi="Times New Roman" w:cs="Times New Roman"/>
          <w:sz w:val="24"/>
          <w:szCs w:val="24"/>
        </w:rPr>
        <w:t xml:space="preserve">ógico, comprometendo, assim, a </w:t>
      </w:r>
      <w:r w:rsidRPr="00006BC7">
        <w:rPr>
          <w:rFonts w:ascii="Times New Roman" w:hAnsi="Times New Roman" w:cs="Times New Roman"/>
          <w:sz w:val="24"/>
          <w:szCs w:val="24"/>
        </w:rPr>
        <w:t xml:space="preserve">cobertura preventiva e deixando muitas mulheres desprotegidas contra doenças graves, como o câncer de colo do </w:t>
      </w:r>
      <w:r w:rsidR="00B31681" w:rsidRPr="00006BC7">
        <w:rPr>
          <w:rFonts w:ascii="Times New Roman" w:hAnsi="Times New Roman" w:cs="Times New Roman"/>
          <w:sz w:val="24"/>
          <w:szCs w:val="24"/>
        </w:rPr>
        <w:t>útero, As</w:t>
      </w:r>
      <w:r w:rsidRPr="00006BC7">
        <w:rPr>
          <w:rFonts w:ascii="Times New Roman" w:hAnsi="Times New Roman" w:cs="Times New Roman"/>
          <w:sz w:val="24"/>
          <w:szCs w:val="24"/>
        </w:rPr>
        <w:t xml:space="preserve"> mulheres enfrentam barreiras significativas ao realizar o exame citológico, </w:t>
      </w:r>
      <w:r w:rsidR="00B31681" w:rsidRPr="00006BC7">
        <w:rPr>
          <w:rFonts w:ascii="Times New Roman" w:hAnsi="Times New Roman" w:cs="Times New Roman"/>
          <w:sz w:val="24"/>
          <w:szCs w:val="24"/>
        </w:rPr>
        <w:t>e esses</w:t>
      </w:r>
      <w:r w:rsidRPr="00006BC7">
        <w:rPr>
          <w:rFonts w:ascii="Times New Roman" w:hAnsi="Times New Roman" w:cs="Times New Roman"/>
          <w:sz w:val="24"/>
          <w:szCs w:val="24"/>
        </w:rPr>
        <w:t xml:space="preserve"> obstáculos reduzem a adesão ao Papanicolau, comprometendo a detecção precoce de </w:t>
      </w:r>
      <w:r w:rsidR="00B31681" w:rsidRPr="00006BC7">
        <w:rPr>
          <w:rFonts w:ascii="Times New Roman" w:hAnsi="Times New Roman" w:cs="Times New Roman"/>
          <w:sz w:val="24"/>
          <w:szCs w:val="24"/>
        </w:rPr>
        <w:t>doenças</w:t>
      </w:r>
      <w:r w:rsidRPr="00006BC7">
        <w:rPr>
          <w:rFonts w:ascii="Times New Roman" w:hAnsi="Times New Roman" w:cs="Times New Roman"/>
          <w:sz w:val="24"/>
          <w:szCs w:val="24"/>
        </w:rPr>
        <w:t>. Assim, disponibilizar o exame sem resolver essas questões não garante a proteção necessária para a saúde feminina.</w:t>
      </w:r>
      <w:r w:rsidR="000522BF">
        <w:rPr>
          <w:rFonts w:ascii="Times New Roman" w:hAnsi="Times New Roman" w:cs="Times New Roman"/>
          <w:sz w:val="24"/>
          <w:szCs w:val="24"/>
        </w:rPr>
        <w:t xml:space="preserve"> </w:t>
      </w:r>
      <w:r w:rsidR="000522BF" w:rsidRPr="000522BF">
        <w:rPr>
          <w:rFonts w:ascii="Times New Roman" w:hAnsi="Times New Roman" w:cs="Times New Roman"/>
          <w:sz w:val="24"/>
          <w:szCs w:val="24"/>
        </w:rPr>
        <w:t>A infraestrutura do local onde vai ser realizado o exame Papanicolau deve estar preparado para oferecer um ambiente estéril, com instrumentos devidamente higienizados e bem conservados. Isso evita contaminações que possam comprometer a coleta de células do colo do útero e garantir que os resultados sejam precisos. Os materiais utilizados durante o exame, como espátulas, escovas cervicais e lâminas de vidro, são de fundamental importância. A escolha adequada desses instrumentos influencia diretamente a qualidade da amostra celular coletada.</w:t>
      </w:r>
    </w:p>
    <w:p w14:paraId="564B2BB0" w14:textId="23BF1799" w:rsidR="00006BC7" w:rsidRDefault="00B31681" w:rsidP="00B31681">
      <w:pPr>
        <w:pStyle w:val="PargrafodaLista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 real</w:t>
      </w:r>
      <w:r w:rsidR="005B62AA" w:rsidRPr="005B62AA">
        <w:rPr>
          <w:rFonts w:ascii="Times New Roman" w:hAnsi="Times New Roman" w:cs="Times New Roman"/>
          <w:sz w:val="24"/>
          <w:szCs w:val="24"/>
        </w:rPr>
        <w:t xml:space="preserve">idade da maioria das unidades de saúde é marcada pela falta de insumos. No entanto, é fundamental que o enfermeiro esteja sempre em busca de capacitação e especialização, aspectos que ajudam a aprimorar e garantir a qualidade dos atendimentos oferecidos a esse público, essencial na prevenção do câncer de colo do útero (CCU) e de outras alterações que podem ser identificadas por meio do exame preventivo </w:t>
      </w:r>
      <w:r w:rsidR="005B62AA" w:rsidRPr="005B62A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B62AA"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Rosário</w:t>
      </w:r>
      <w:r w:rsidR="006747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5B62AA" w:rsidRPr="005B62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</w:t>
      </w:r>
      <w:r w:rsidR="005B62AA" w:rsidRPr="005B62A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006B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CD7E704" w14:textId="77777777" w:rsidR="00356432" w:rsidRPr="00356432" w:rsidRDefault="00E97F66" w:rsidP="00B31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4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Constatou –se que o problema enfrentado na atenção básica </w:t>
      </w:r>
      <w:r w:rsidR="00356432" w:rsidRPr="00356432">
        <w:rPr>
          <w:rFonts w:ascii="Times New Roman" w:hAnsi="Times New Roman" w:cs="Times New Roman"/>
          <w:sz w:val="24"/>
          <w:szCs w:val="24"/>
        </w:rPr>
        <w:t>é a falta de insumos,</w:t>
      </w:r>
      <w:r w:rsidR="00356432" w:rsidRPr="003564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medo e constrangimento das mulheres, que podem estar relacionados ao desconforto e dor do procedimento ou à exposição do corpo</w:t>
      </w:r>
      <w:r w:rsidR="00356432" w:rsidRPr="00356432">
        <w:rPr>
          <w:rFonts w:ascii="Times New Roman" w:hAnsi="Times New Roman" w:cs="Times New Roman"/>
          <w:sz w:val="24"/>
          <w:szCs w:val="24"/>
        </w:rPr>
        <w:t xml:space="preserve">, dificultando a realização de exames preventivos. Esses </w:t>
      </w:r>
      <w:r w:rsidR="00356432">
        <w:rPr>
          <w:rFonts w:ascii="Times New Roman" w:hAnsi="Times New Roman" w:cs="Times New Roman"/>
          <w:sz w:val="24"/>
          <w:szCs w:val="24"/>
        </w:rPr>
        <w:t>obstáculos</w:t>
      </w:r>
      <w:r w:rsidR="00356432" w:rsidRPr="00356432">
        <w:rPr>
          <w:rFonts w:ascii="Times New Roman" w:hAnsi="Times New Roman" w:cs="Times New Roman"/>
          <w:sz w:val="24"/>
          <w:szCs w:val="24"/>
        </w:rPr>
        <w:t>,</w:t>
      </w:r>
      <w:r w:rsidR="00356432">
        <w:rPr>
          <w:rFonts w:ascii="Times New Roman" w:hAnsi="Times New Roman" w:cs="Times New Roman"/>
          <w:sz w:val="24"/>
          <w:szCs w:val="24"/>
        </w:rPr>
        <w:t xml:space="preserve"> </w:t>
      </w:r>
      <w:r w:rsidR="00356432" w:rsidRPr="00356432">
        <w:rPr>
          <w:rFonts w:ascii="Times New Roman" w:hAnsi="Times New Roman" w:cs="Times New Roman"/>
          <w:sz w:val="24"/>
          <w:szCs w:val="24"/>
        </w:rPr>
        <w:lastRenderedPageBreak/>
        <w:t>comprometem a detecção precoce do câncer de colo do útero, impactando negativamente na qualidade do atendimento e prejudicando a prevenção eficaz de doenças graves. Além disso, limita a capacidade dos profissionais de saúde em oferecer um cuidado adequado.</w:t>
      </w:r>
    </w:p>
    <w:p w14:paraId="21C64365" w14:textId="77777777" w:rsidR="005B62AA" w:rsidRPr="00356432" w:rsidRDefault="005B62AA" w:rsidP="00356432">
      <w:pPr>
        <w:pStyle w:val="PargrafodaLista"/>
        <w:widowControl w:val="0"/>
        <w:autoSpaceDE w:val="0"/>
        <w:autoSpaceDN w:val="0"/>
        <w:spacing w:line="360" w:lineRule="auto"/>
        <w:ind w:left="170"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44358" w14:textId="77777777" w:rsidR="00785A23" w:rsidRPr="00A12DC5" w:rsidRDefault="00785A23" w:rsidP="005B62AA">
      <w:pPr>
        <w:pStyle w:val="PargrafodaLista"/>
        <w:widowControl w:val="0"/>
        <w:numPr>
          <w:ilvl w:val="0"/>
          <w:numId w:val="6"/>
        </w:numPr>
        <w:autoSpaceDE w:val="0"/>
        <w:autoSpaceDN w:val="0"/>
        <w:spacing w:line="360" w:lineRule="auto"/>
        <w:ind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DC5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7A687602" w14:textId="24EA6F6C" w:rsidR="005B62AA" w:rsidRPr="005B62AA" w:rsidRDefault="005B62AA" w:rsidP="00B31681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AA">
        <w:rPr>
          <w:rFonts w:ascii="Times New Roman" w:hAnsi="Times New Roman" w:cs="Times New Roman"/>
          <w:sz w:val="24"/>
          <w:szCs w:val="24"/>
        </w:rPr>
        <w:t xml:space="preserve">Diante dos desafios identificados, apesar das barreiras que dificultam a adesão das mulheres ao exame de citologia oncótica, cabe aos profissionais de saúde considerar as principais preocupações da comunidade sobre o exame e buscar soluções efetivas. Isso pode ser alcançado através do uso de tecnologias leves e, quando necessário, de tecnologias mais avançadas, com um compromisso voltado para a saúde da mulher. Junto às políticas públicas e ações individuais e coletivas, esses profissionais devem se empenhar para diminuir as dificuldades enfrentadas pelas mulheres que buscam cuidados de saúde, contribuindo para a redução da incidência do câncer de colo de útero e da mortalidade, ao promover maior adesão ao exame de </w:t>
      </w:r>
      <w:r w:rsidR="00B31681" w:rsidRPr="005B62AA">
        <w:rPr>
          <w:rFonts w:ascii="Times New Roman" w:hAnsi="Times New Roman" w:cs="Times New Roman"/>
          <w:sz w:val="24"/>
          <w:szCs w:val="24"/>
        </w:rPr>
        <w:t>Papanicolau</w:t>
      </w:r>
      <w:r w:rsidRPr="005B62AA">
        <w:rPr>
          <w:rFonts w:ascii="Times New Roman" w:hAnsi="Times New Roman" w:cs="Times New Roman"/>
          <w:sz w:val="24"/>
          <w:szCs w:val="24"/>
        </w:rPr>
        <w:t xml:space="preserve"> por meio de ações de saúde.</w:t>
      </w:r>
    </w:p>
    <w:p w14:paraId="14843246" w14:textId="77777777" w:rsidR="00785A23" w:rsidRPr="00A12DC5" w:rsidRDefault="00785A23" w:rsidP="00785A23">
      <w:pPr>
        <w:pStyle w:val="PargrafodaLista"/>
        <w:tabs>
          <w:tab w:val="left" w:pos="7604"/>
        </w:tabs>
        <w:spacing w:line="360" w:lineRule="auto"/>
        <w:ind w:left="170" w:righ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DC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897189" w14:textId="77777777" w:rsidR="00785A23" w:rsidRDefault="00785A23" w:rsidP="00785A23">
      <w:pPr>
        <w:spacing w:line="36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DC5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9D560E5" w14:textId="77777777" w:rsidR="002E77AD" w:rsidRPr="00B31681" w:rsidRDefault="002E77AD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81">
        <w:rPr>
          <w:rFonts w:ascii="Times New Roman" w:hAnsi="Times New Roman" w:cs="Times New Roman"/>
          <w:sz w:val="24"/>
          <w:szCs w:val="24"/>
        </w:rPr>
        <w:t xml:space="preserve">CARVALHO, Gabriela Marcelle </w:t>
      </w:r>
      <w:proofErr w:type="spellStart"/>
      <w:r w:rsidRPr="00B31681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B31681">
        <w:rPr>
          <w:rFonts w:ascii="Times New Roman" w:hAnsi="Times New Roman" w:cs="Times New Roman"/>
          <w:sz w:val="24"/>
          <w:szCs w:val="24"/>
        </w:rPr>
        <w:t xml:space="preserve"> et al. EXAME CITOPATOLÓGICO: OS DESAFIOS PARA SUA REALIZAÇÃO PELO ENFERMEIRO NA ATENÇÃO PRIMÁRIA CYTOPHATOLOGICAL EXAMINATION: THE CHALLENGES FOR ITS REALIZATION BY NURSES IN PRIMARY ATTENTION.7</w:t>
      </w:r>
    </w:p>
    <w:p w14:paraId="39F32003" w14:textId="6F21882E" w:rsidR="005B62AA" w:rsidRDefault="00B31681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31681">
          <w:rPr>
            <w:rStyle w:val="Hyperlink"/>
            <w:rFonts w:ascii="Times New Roman" w:hAnsi="Times New Roman" w:cs="Times New Roman"/>
            <w:sz w:val="24"/>
            <w:szCs w:val="24"/>
          </w:rPr>
          <w:t>https://ri.unipac.br/repositorio/wp-content/uploads/tainacan-items/282/258796/CARVALHO-GABRIELA-MARCELLE-DE-EXAME-CITOPATOLOGICO-OS-DESAFIOS-PARA-SUA-REALIZACAO-PELO-ENFERMAGEM-2023.pdf</w:t>
        </w:r>
      </w:hyperlink>
    </w:p>
    <w:p w14:paraId="685BA55E" w14:textId="77777777" w:rsidR="00B31681" w:rsidRPr="00B31681" w:rsidRDefault="00B31681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FDF5E" w14:textId="77777777" w:rsidR="005B62AA" w:rsidRPr="00B31681" w:rsidRDefault="005B62AA" w:rsidP="00B3168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ROSÁRIO, </w:t>
      </w:r>
      <w:proofErr w:type="spellStart"/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Tanira</w:t>
      </w:r>
      <w:proofErr w:type="spellEnd"/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Maria Barbosa et al. Desafios da enfermagem diante da prevenção do câncer de colo uterino. </w:t>
      </w:r>
      <w:r w:rsidRPr="00B3168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Research, Society and Development</w:t>
      </w:r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v. 12, n. 3, p. e2112340405-e2112340405, 2023.</w:t>
      </w:r>
    </w:p>
    <w:p w14:paraId="44C8EF8A" w14:textId="77777777" w:rsidR="005B62AA" w:rsidRPr="00B31681" w:rsidRDefault="005B62AA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B3168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file:///C:/Users/clari/Downloads/40405-Article-432484-1-10-20230217%20(1).pdf</w:t>
        </w:r>
      </w:hyperlink>
    </w:p>
    <w:p w14:paraId="6B9A6B87" w14:textId="77777777" w:rsidR="008059B4" w:rsidRPr="00B31681" w:rsidRDefault="008059B4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75C3EE" w14:textId="77777777" w:rsidR="00C853A1" w:rsidRPr="00C853A1" w:rsidRDefault="00C853A1" w:rsidP="00C853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JUNIOR, Cícero Ricarte Beserra et al.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Barreiras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cumprimento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metas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rastreio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Câncer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de Colo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Uterino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C853A1">
        <w:rPr>
          <w:rFonts w:ascii="Times New Roman" w:hAnsi="Times New Roman" w:cs="Times New Roman"/>
          <w:sz w:val="24"/>
          <w:szCs w:val="24"/>
          <w:lang w:val="en-US"/>
        </w:rPr>
        <w:t>Brasil</w:t>
      </w:r>
      <w:proofErr w:type="spellEnd"/>
      <w:r w:rsidRPr="00C853A1">
        <w:rPr>
          <w:rFonts w:ascii="Times New Roman" w:hAnsi="Times New Roman" w:cs="Times New Roman"/>
          <w:sz w:val="24"/>
          <w:szCs w:val="24"/>
          <w:lang w:val="en-US"/>
        </w:rPr>
        <w:t>. Brazilian Journal of Implantology and Health Sciences, v. 6, n. 6, p. 1662-1676, 2024.</w:t>
      </w:r>
    </w:p>
    <w:p w14:paraId="0762A726" w14:textId="14EA7C92" w:rsidR="005B62AA" w:rsidRPr="00B31681" w:rsidRDefault="00C853A1" w:rsidP="00C853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53A1">
        <w:rPr>
          <w:rFonts w:ascii="Times New Roman" w:hAnsi="Times New Roman" w:cs="Times New Roman"/>
          <w:sz w:val="24"/>
          <w:szCs w:val="24"/>
          <w:lang w:val="en-US"/>
        </w:rPr>
        <w:t>https://bjihs.emnuvens.com.br/bjihs/article/view/2403/2607</w:t>
      </w:r>
    </w:p>
    <w:p w14:paraId="6EB3196B" w14:textId="446330EE" w:rsidR="005B62AA" w:rsidRPr="00B31681" w:rsidRDefault="00B31681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681">
        <w:rPr>
          <w:rFonts w:ascii="Times New Roman" w:hAnsi="Times New Roman" w:cs="Times New Roman"/>
          <w:sz w:val="24"/>
          <w:szCs w:val="24"/>
        </w:rPr>
        <w:t>Associados</w:t>
      </w:r>
      <w:r w:rsidR="005B62AA" w:rsidRPr="00B31681">
        <w:rPr>
          <w:rFonts w:ascii="Times New Roman" w:hAnsi="Times New Roman" w:cs="Times New Roman"/>
          <w:sz w:val="24"/>
          <w:szCs w:val="24"/>
        </w:rPr>
        <w:t xml:space="preserve"> à baixa adesão ao exame de </w:t>
      </w:r>
      <w:proofErr w:type="spellStart"/>
      <w:r w:rsidR="005B62AA" w:rsidRPr="00B31681">
        <w:rPr>
          <w:rFonts w:ascii="Times New Roman" w:hAnsi="Times New Roman" w:cs="Times New Roman"/>
          <w:sz w:val="24"/>
          <w:szCs w:val="24"/>
        </w:rPr>
        <w:t>papanicolaou</w:t>
      </w:r>
      <w:proofErr w:type="spellEnd"/>
      <w:r w:rsidR="005B62AA" w:rsidRPr="00B31681">
        <w:rPr>
          <w:rFonts w:ascii="Times New Roman" w:hAnsi="Times New Roman" w:cs="Times New Roman"/>
          <w:sz w:val="24"/>
          <w:szCs w:val="24"/>
        </w:rPr>
        <w:t xml:space="preserve"> entre mulheres: revisão integrativa de literatura. Revista JRG de Estudos Acadêmicos, v. 7, n. 14, p. e141020-e141020, 2024.</w:t>
      </w:r>
    </w:p>
    <w:p w14:paraId="67E31C0C" w14:textId="77777777" w:rsidR="005B62AA" w:rsidRPr="00B31681" w:rsidRDefault="005B62AA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31681">
          <w:rPr>
            <w:rStyle w:val="Hyperlink"/>
            <w:rFonts w:ascii="Times New Roman" w:hAnsi="Times New Roman" w:cs="Times New Roman"/>
            <w:sz w:val="24"/>
            <w:szCs w:val="24"/>
          </w:rPr>
          <w:t>https://revistajrg.com/index.php/jrg/article/view/1020/894</w:t>
        </w:r>
      </w:hyperlink>
    </w:p>
    <w:p w14:paraId="0EB7F412" w14:textId="77777777" w:rsidR="005B62AA" w:rsidRPr="00B31681" w:rsidRDefault="005B62AA" w:rsidP="00B3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B05BE" w14:textId="77777777" w:rsidR="005B62AA" w:rsidRPr="00B31681" w:rsidRDefault="005B62AA" w:rsidP="00B3168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1681">
        <w:rPr>
          <w:rFonts w:ascii="Times New Roman" w:hAnsi="Times New Roman" w:cs="Times New Roman"/>
          <w:sz w:val="24"/>
          <w:szCs w:val="24"/>
        </w:rPr>
        <w:t xml:space="preserve">TELES, Ítalo Cauê Ferreira et al. Fatores </w:t>
      </w:r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CARVALHO, Gabriela Marcelle </w:t>
      </w:r>
      <w:proofErr w:type="spellStart"/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deI</w:t>
      </w:r>
      <w:proofErr w:type="spellEnd"/>
      <w:r w:rsidRPr="00B31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EXAME CITOPATOLÓGICO: OS DESAFIOS PARA SUA REALIZAÇÃO PELO ENFERMEIRO NA ATENÇÃO PRIMÁRIA CYTOPHATOLOGICAL EXAMINATION: THE CHALLENGES FOR ITS REALIZATION BY NURSES IN PRIMARY ATTENTION.</w:t>
      </w:r>
    </w:p>
    <w:p w14:paraId="21B83480" w14:textId="77777777" w:rsidR="005B62AA" w:rsidRDefault="005B62AA" w:rsidP="00B3168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B3168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https://ri.unipac.br/repositorio/wp-content/uploads/tainacan-items/282/258796/CARVALHO-GABRIELA-MARCELLE-DE-EXAME-CITOPATOLOGICO-OS-DESAFIOS-PARA-SUA-REALIZACAO-PELO-ENFERMAGEM-2023.pdf</w:t>
        </w:r>
      </w:hyperlink>
    </w:p>
    <w:p w14:paraId="32C2CA3F" w14:textId="77777777" w:rsidR="00785A23" w:rsidRPr="00A12DC5" w:rsidRDefault="00785A23" w:rsidP="00B3168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5A23" w:rsidRPr="00A12DC5" w:rsidSect="003A54B3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916B3" w14:textId="77777777" w:rsidR="00C04C5D" w:rsidRDefault="00C04C5D" w:rsidP="003C5788">
      <w:pPr>
        <w:spacing w:after="0" w:line="240" w:lineRule="auto"/>
      </w:pPr>
      <w:r>
        <w:separator/>
      </w:r>
    </w:p>
  </w:endnote>
  <w:endnote w:type="continuationSeparator" w:id="0">
    <w:p w14:paraId="68409B2A" w14:textId="77777777" w:rsidR="00C04C5D" w:rsidRDefault="00C04C5D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4D659" w14:textId="77777777" w:rsidR="00C04C5D" w:rsidRDefault="00C04C5D" w:rsidP="003C5788">
      <w:pPr>
        <w:spacing w:after="0" w:line="240" w:lineRule="auto"/>
      </w:pPr>
      <w:r>
        <w:separator/>
      </w:r>
    </w:p>
  </w:footnote>
  <w:footnote w:type="continuationSeparator" w:id="0">
    <w:p w14:paraId="180A2729" w14:textId="77777777" w:rsidR="00C04C5D" w:rsidRDefault="00C04C5D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CB992" w14:textId="77777777" w:rsidR="003A649F" w:rsidRDefault="003A64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FD17BA" wp14:editId="5483FFE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D2CC3"/>
    <w:multiLevelType w:val="hybridMultilevel"/>
    <w:tmpl w:val="9C7E204C"/>
    <w:lvl w:ilvl="0" w:tplc="01F8C9B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0" w:hanging="360"/>
      </w:pPr>
    </w:lvl>
    <w:lvl w:ilvl="2" w:tplc="0416001B" w:tentative="1">
      <w:start w:val="1"/>
      <w:numFmt w:val="lowerRoman"/>
      <w:lvlText w:val="%3."/>
      <w:lvlJc w:val="right"/>
      <w:pPr>
        <w:ind w:left="1970" w:hanging="180"/>
      </w:pPr>
    </w:lvl>
    <w:lvl w:ilvl="3" w:tplc="0416000F" w:tentative="1">
      <w:start w:val="1"/>
      <w:numFmt w:val="decimal"/>
      <w:lvlText w:val="%4."/>
      <w:lvlJc w:val="left"/>
      <w:pPr>
        <w:ind w:left="2690" w:hanging="360"/>
      </w:pPr>
    </w:lvl>
    <w:lvl w:ilvl="4" w:tplc="04160019" w:tentative="1">
      <w:start w:val="1"/>
      <w:numFmt w:val="lowerLetter"/>
      <w:lvlText w:val="%5."/>
      <w:lvlJc w:val="left"/>
      <w:pPr>
        <w:ind w:left="3410" w:hanging="360"/>
      </w:pPr>
    </w:lvl>
    <w:lvl w:ilvl="5" w:tplc="0416001B" w:tentative="1">
      <w:start w:val="1"/>
      <w:numFmt w:val="lowerRoman"/>
      <w:lvlText w:val="%6."/>
      <w:lvlJc w:val="right"/>
      <w:pPr>
        <w:ind w:left="4130" w:hanging="180"/>
      </w:pPr>
    </w:lvl>
    <w:lvl w:ilvl="6" w:tplc="0416000F" w:tentative="1">
      <w:start w:val="1"/>
      <w:numFmt w:val="decimal"/>
      <w:lvlText w:val="%7."/>
      <w:lvlJc w:val="left"/>
      <w:pPr>
        <w:ind w:left="4850" w:hanging="360"/>
      </w:pPr>
    </w:lvl>
    <w:lvl w:ilvl="7" w:tplc="04160019" w:tentative="1">
      <w:start w:val="1"/>
      <w:numFmt w:val="lowerLetter"/>
      <w:lvlText w:val="%8."/>
      <w:lvlJc w:val="left"/>
      <w:pPr>
        <w:ind w:left="5570" w:hanging="360"/>
      </w:pPr>
    </w:lvl>
    <w:lvl w:ilvl="8" w:tplc="0416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2A8277EF"/>
    <w:multiLevelType w:val="hybridMultilevel"/>
    <w:tmpl w:val="458EED2E"/>
    <w:lvl w:ilvl="0" w:tplc="4B42A2B4">
      <w:start w:val="3"/>
      <w:numFmt w:val="decimal"/>
      <w:lvlText w:val="%1."/>
      <w:lvlJc w:val="left"/>
      <w:pPr>
        <w:ind w:left="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90" w:hanging="360"/>
      </w:pPr>
    </w:lvl>
    <w:lvl w:ilvl="2" w:tplc="0416001B" w:tentative="1">
      <w:start w:val="1"/>
      <w:numFmt w:val="lowerRoman"/>
      <w:lvlText w:val="%3."/>
      <w:lvlJc w:val="right"/>
      <w:pPr>
        <w:ind w:left="1610" w:hanging="180"/>
      </w:pPr>
    </w:lvl>
    <w:lvl w:ilvl="3" w:tplc="0416000F" w:tentative="1">
      <w:start w:val="1"/>
      <w:numFmt w:val="decimal"/>
      <w:lvlText w:val="%4."/>
      <w:lvlJc w:val="left"/>
      <w:pPr>
        <w:ind w:left="2330" w:hanging="360"/>
      </w:pPr>
    </w:lvl>
    <w:lvl w:ilvl="4" w:tplc="04160019" w:tentative="1">
      <w:start w:val="1"/>
      <w:numFmt w:val="lowerLetter"/>
      <w:lvlText w:val="%5."/>
      <w:lvlJc w:val="left"/>
      <w:pPr>
        <w:ind w:left="3050" w:hanging="360"/>
      </w:pPr>
    </w:lvl>
    <w:lvl w:ilvl="5" w:tplc="0416001B" w:tentative="1">
      <w:start w:val="1"/>
      <w:numFmt w:val="lowerRoman"/>
      <w:lvlText w:val="%6."/>
      <w:lvlJc w:val="right"/>
      <w:pPr>
        <w:ind w:left="3770" w:hanging="180"/>
      </w:pPr>
    </w:lvl>
    <w:lvl w:ilvl="6" w:tplc="0416000F" w:tentative="1">
      <w:start w:val="1"/>
      <w:numFmt w:val="decimal"/>
      <w:lvlText w:val="%7."/>
      <w:lvlJc w:val="left"/>
      <w:pPr>
        <w:ind w:left="4490" w:hanging="360"/>
      </w:pPr>
    </w:lvl>
    <w:lvl w:ilvl="7" w:tplc="04160019" w:tentative="1">
      <w:start w:val="1"/>
      <w:numFmt w:val="lowerLetter"/>
      <w:lvlText w:val="%8."/>
      <w:lvlJc w:val="left"/>
      <w:pPr>
        <w:ind w:left="5210" w:hanging="360"/>
      </w:pPr>
    </w:lvl>
    <w:lvl w:ilvl="8" w:tplc="0416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BD7418"/>
    <w:multiLevelType w:val="hybridMultilevel"/>
    <w:tmpl w:val="33582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ED8"/>
    <w:multiLevelType w:val="hybridMultilevel"/>
    <w:tmpl w:val="A8BCD6A6"/>
    <w:lvl w:ilvl="0" w:tplc="55120E7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62887">
    <w:abstractNumId w:val="3"/>
  </w:num>
  <w:num w:numId="2" w16cid:durableId="2035036862">
    <w:abstractNumId w:val="5"/>
  </w:num>
  <w:num w:numId="3" w16cid:durableId="241717570">
    <w:abstractNumId w:val="2"/>
  </w:num>
  <w:num w:numId="4" w16cid:durableId="970402998">
    <w:abstractNumId w:val="4"/>
  </w:num>
  <w:num w:numId="5" w16cid:durableId="740758430">
    <w:abstractNumId w:val="0"/>
  </w:num>
  <w:num w:numId="6" w16cid:durableId="99398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E5E"/>
    <w:rsid w:val="00006BC7"/>
    <w:rsid w:val="000103A4"/>
    <w:rsid w:val="00031785"/>
    <w:rsid w:val="000410DA"/>
    <w:rsid w:val="00047BB6"/>
    <w:rsid w:val="000522BF"/>
    <w:rsid w:val="000726B4"/>
    <w:rsid w:val="000A6679"/>
    <w:rsid w:val="000C6FB0"/>
    <w:rsid w:val="00116546"/>
    <w:rsid w:val="001365DA"/>
    <w:rsid w:val="00137DB2"/>
    <w:rsid w:val="001857D2"/>
    <w:rsid w:val="001907C7"/>
    <w:rsid w:val="001C7DD9"/>
    <w:rsid w:val="00291C70"/>
    <w:rsid w:val="002950AF"/>
    <w:rsid w:val="002E77AD"/>
    <w:rsid w:val="002F2656"/>
    <w:rsid w:val="00300189"/>
    <w:rsid w:val="003539E4"/>
    <w:rsid w:val="00354D4A"/>
    <w:rsid w:val="00356432"/>
    <w:rsid w:val="00366FEB"/>
    <w:rsid w:val="00397188"/>
    <w:rsid w:val="003A1198"/>
    <w:rsid w:val="003A2EBF"/>
    <w:rsid w:val="003A54B3"/>
    <w:rsid w:val="003A649F"/>
    <w:rsid w:val="003C5788"/>
    <w:rsid w:val="003D60E2"/>
    <w:rsid w:val="00410DF4"/>
    <w:rsid w:val="004310BC"/>
    <w:rsid w:val="00450656"/>
    <w:rsid w:val="00460C6B"/>
    <w:rsid w:val="004B694F"/>
    <w:rsid w:val="004C4A61"/>
    <w:rsid w:val="004C6A2B"/>
    <w:rsid w:val="004D2C4D"/>
    <w:rsid w:val="004D566A"/>
    <w:rsid w:val="004F5D6F"/>
    <w:rsid w:val="005858F2"/>
    <w:rsid w:val="0059782B"/>
    <w:rsid w:val="005B06DC"/>
    <w:rsid w:val="005B62AA"/>
    <w:rsid w:val="00615A15"/>
    <w:rsid w:val="00616E9C"/>
    <w:rsid w:val="00674780"/>
    <w:rsid w:val="00693BCE"/>
    <w:rsid w:val="006D2EA5"/>
    <w:rsid w:val="006D5626"/>
    <w:rsid w:val="007033F1"/>
    <w:rsid w:val="007108F7"/>
    <w:rsid w:val="00712F20"/>
    <w:rsid w:val="007641DE"/>
    <w:rsid w:val="00772815"/>
    <w:rsid w:val="0077566B"/>
    <w:rsid w:val="00785A23"/>
    <w:rsid w:val="007B234B"/>
    <w:rsid w:val="007C5E1F"/>
    <w:rsid w:val="007E0923"/>
    <w:rsid w:val="00803DDD"/>
    <w:rsid w:val="008041F9"/>
    <w:rsid w:val="008059B4"/>
    <w:rsid w:val="008472D7"/>
    <w:rsid w:val="00855E8B"/>
    <w:rsid w:val="008F11A2"/>
    <w:rsid w:val="009054F5"/>
    <w:rsid w:val="00962D6D"/>
    <w:rsid w:val="0098456A"/>
    <w:rsid w:val="009A00CC"/>
    <w:rsid w:val="009C2271"/>
    <w:rsid w:val="009E6670"/>
    <w:rsid w:val="009E7BD8"/>
    <w:rsid w:val="009F6565"/>
    <w:rsid w:val="00A01A22"/>
    <w:rsid w:val="00AB0C71"/>
    <w:rsid w:val="00B14E5E"/>
    <w:rsid w:val="00B22DF6"/>
    <w:rsid w:val="00B267B2"/>
    <w:rsid w:val="00B31681"/>
    <w:rsid w:val="00B56900"/>
    <w:rsid w:val="00B709B2"/>
    <w:rsid w:val="00BB72AD"/>
    <w:rsid w:val="00BC2170"/>
    <w:rsid w:val="00BC269B"/>
    <w:rsid w:val="00C04C5D"/>
    <w:rsid w:val="00C4760C"/>
    <w:rsid w:val="00C853A1"/>
    <w:rsid w:val="00CF4AC1"/>
    <w:rsid w:val="00D11B8D"/>
    <w:rsid w:val="00D7339C"/>
    <w:rsid w:val="00DA19A4"/>
    <w:rsid w:val="00DA2D42"/>
    <w:rsid w:val="00DA5FFD"/>
    <w:rsid w:val="00DA61DB"/>
    <w:rsid w:val="00DB0C52"/>
    <w:rsid w:val="00DE7505"/>
    <w:rsid w:val="00E06B77"/>
    <w:rsid w:val="00E14998"/>
    <w:rsid w:val="00E31976"/>
    <w:rsid w:val="00E47789"/>
    <w:rsid w:val="00E73E42"/>
    <w:rsid w:val="00E97F66"/>
    <w:rsid w:val="00F10A71"/>
    <w:rsid w:val="00FA5495"/>
    <w:rsid w:val="00FB38DE"/>
    <w:rsid w:val="00FC780A"/>
    <w:rsid w:val="00FE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0D217"/>
  <w15:docId w15:val="{B75B5DB3-9AE8-D24B-8D31-ADB635D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paragraph" w:styleId="Pr-formataoHTML">
    <w:name w:val="HTML Preformatted"/>
    <w:basedOn w:val="Normal"/>
    <w:link w:val="Pr-formataoHTMLChar"/>
    <w:uiPriority w:val="99"/>
    <w:unhideWhenUsed/>
    <w:rsid w:val="00785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85A23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785A23"/>
    <w:rPr>
      <w:i/>
      <w:iCs/>
    </w:rPr>
  </w:style>
  <w:style w:type="paragraph" w:styleId="NormalWeb">
    <w:name w:val="Normal (Web)"/>
    <w:basedOn w:val="Normal"/>
    <w:uiPriority w:val="99"/>
    <w:unhideWhenUsed/>
    <w:rsid w:val="005B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2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.unipac.br/repositorio/wp-content/uploads/tainacan-items/282/258796/CARVALHO-GABRIELA-MARCELLE-DE-EXAME-CITOPATOLOGICO-OS-DESAFIOS-PARA-SUA-REALIZACAO-PELO-ENFERMAGEM-202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iaandradi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.unipac.br/repositorio/wp-content/uploads/tainacan-items/282/258796/CARVALHO-GABRIELA-MARCELLE-DE-EXAME-CITOPATOLOGICO-OS-DESAFIOS-PARA-SUA-REALIZACAO-PELO-ENFERMAGEM-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vistajrg.com/index.php/jrg/article/view/1020/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lari\Downloads\40405-Article-432484-1-10-20230217%20(1)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1517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talia pereira</cp:lastModifiedBy>
  <cp:revision>3</cp:revision>
  <dcterms:created xsi:type="dcterms:W3CDTF">2024-10-01T16:28:00Z</dcterms:created>
  <dcterms:modified xsi:type="dcterms:W3CDTF">2024-10-02T16:41:00Z</dcterms:modified>
</cp:coreProperties>
</file>