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587D1" w14:textId="5FF218B5" w:rsidR="0405C746" w:rsidRDefault="0405C746" w:rsidP="7A433B6F">
      <w:pPr>
        <w:widowControl w:val="0"/>
        <w:spacing w:line="360" w:lineRule="auto"/>
        <w:jc w:val="center"/>
        <w:rPr>
          <w:sz w:val="24"/>
          <w:szCs w:val="24"/>
        </w:rPr>
      </w:pPr>
      <w:r w:rsidRPr="7A433B6F">
        <w:rPr>
          <w:b/>
          <w:bCs/>
          <w:color w:val="000000" w:themeColor="text1"/>
          <w:sz w:val="24"/>
          <w:szCs w:val="24"/>
        </w:rPr>
        <w:t xml:space="preserve"> DIVERSIDADE LGBTQIA+</w:t>
      </w:r>
      <w:r w:rsidRPr="7A433B6F">
        <w:rPr>
          <w:color w:val="000000" w:themeColor="text1"/>
          <w:sz w:val="24"/>
          <w:szCs w:val="24"/>
        </w:rPr>
        <w:t xml:space="preserve">: </w:t>
      </w:r>
      <w:r w:rsidR="00597577" w:rsidRPr="7A433B6F">
        <w:rPr>
          <w:color w:val="000000" w:themeColor="text1"/>
          <w:sz w:val="24"/>
          <w:szCs w:val="24"/>
        </w:rPr>
        <w:t>discurso de ódio e limites constitucionais no ambiente digital</w:t>
      </w:r>
    </w:p>
    <w:p w14:paraId="13D010DC" w14:textId="77777777" w:rsidR="009C2E72" w:rsidRDefault="009C2E72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14:paraId="64C4F3B1" w14:textId="55318A12" w:rsidR="009C2E72" w:rsidRDefault="7B0DD9D1" w:rsidP="7A433B6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color w:val="000000" w:themeColor="text1"/>
          <w:sz w:val="24"/>
          <w:szCs w:val="24"/>
          <w:vertAlign w:val="superscript"/>
        </w:rPr>
      </w:pPr>
      <w:r w:rsidRPr="7A433B6F">
        <w:rPr>
          <w:color w:val="000000" w:themeColor="text1"/>
          <w:sz w:val="24"/>
          <w:szCs w:val="24"/>
        </w:rPr>
        <w:t>Sheila da Conceição Alves</w:t>
      </w:r>
      <w:r w:rsidR="00941C9B" w:rsidRPr="7A433B6F">
        <w:rPr>
          <w:color w:val="000000" w:themeColor="text1"/>
          <w:sz w:val="24"/>
          <w:szCs w:val="24"/>
          <w:vertAlign w:val="superscript"/>
        </w:rPr>
        <w:footnoteReference w:id="1"/>
      </w:r>
    </w:p>
    <w:p w14:paraId="761616B2" w14:textId="3841E64E" w:rsidR="009C2E72" w:rsidRDefault="7B0DD9D1" w:rsidP="7A433B6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color w:val="000000" w:themeColor="text1"/>
          <w:sz w:val="24"/>
          <w:szCs w:val="24"/>
        </w:rPr>
      </w:pPr>
      <w:proofErr w:type="spellStart"/>
      <w:r w:rsidRPr="7A433B6F">
        <w:rPr>
          <w:color w:val="000000" w:themeColor="text1"/>
          <w:sz w:val="24"/>
          <w:szCs w:val="24"/>
        </w:rPr>
        <w:t>Iracilda</w:t>
      </w:r>
      <w:proofErr w:type="spellEnd"/>
      <w:r w:rsidRPr="7A433B6F">
        <w:rPr>
          <w:color w:val="000000" w:themeColor="text1"/>
          <w:sz w:val="24"/>
          <w:szCs w:val="24"/>
        </w:rPr>
        <w:t xml:space="preserve"> Ribeiro Magalhães Neta</w:t>
      </w:r>
      <w:r w:rsidR="5473447D" w:rsidRPr="7A433B6F">
        <w:rPr>
          <w:color w:val="000000" w:themeColor="text1"/>
          <w:sz w:val="24"/>
          <w:szCs w:val="24"/>
          <w:vertAlign w:val="superscript"/>
        </w:rPr>
        <w:t>1</w:t>
      </w:r>
    </w:p>
    <w:p w14:paraId="34D4C015" w14:textId="2106DE8E" w:rsidR="009C2E72" w:rsidRDefault="7B0DD9D1" w:rsidP="7A433B6F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color w:val="000000" w:themeColor="text1"/>
          <w:sz w:val="24"/>
          <w:szCs w:val="24"/>
        </w:rPr>
      </w:pPr>
      <w:proofErr w:type="spellStart"/>
      <w:r w:rsidRPr="7A433B6F">
        <w:rPr>
          <w:color w:val="000000" w:themeColor="text1"/>
          <w:sz w:val="24"/>
          <w:szCs w:val="24"/>
        </w:rPr>
        <w:t>Samya</w:t>
      </w:r>
      <w:proofErr w:type="spellEnd"/>
      <w:r w:rsidRPr="7A433B6F">
        <w:rPr>
          <w:color w:val="000000" w:themeColor="text1"/>
          <w:sz w:val="24"/>
          <w:szCs w:val="24"/>
        </w:rPr>
        <w:t xml:space="preserve"> Beatriz De Brito Melo</w:t>
      </w:r>
      <w:r w:rsidR="51FBDA77" w:rsidRPr="7A433B6F">
        <w:rPr>
          <w:color w:val="000000" w:themeColor="text1"/>
          <w:sz w:val="24"/>
          <w:szCs w:val="24"/>
          <w:vertAlign w:val="superscript"/>
        </w:rPr>
        <w:t>1</w:t>
      </w:r>
    </w:p>
    <w:p w14:paraId="41A98E49" w14:textId="286D1F6B" w:rsidR="7B0DD9D1" w:rsidRDefault="78F772ED" w:rsidP="7A433B6F">
      <w:pPr>
        <w:tabs>
          <w:tab w:val="left" w:pos="2060"/>
          <w:tab w:val="left" w:pos="7240"/>
        </w:tabs>
        <w:spacing w:line="360" w:lineRule="auto"/>
        <w:ind w:left="-360"/>
        <w:jc w:val="right"/>
      </w:pPr>
      <w:r w:rsidRPr="3C737E47">
        <w:rPr>
          <w:sz w:val="24"/>
          <w:szCs w:val="24"/>
        </w:rPr>
        <w:t>Francisco Anderson Jacó de Araújo</w:t>
      </w:r>
      <w:r w:rsidRPr="3C737E47">
        <w:rPr>
          <w:sz w:val="24"/>
          <w:szCs w:val="24"/>
          <w:vertAlign w:val="superscript"/>
        </w:rPr>
        <w:t>1</w:t>
      </w:r>
    </w:p>
    <w:p w14:paraId="54C70A3B" w14:textId="339DBBC8" w:rsidR="7B0DD9D1" w:rsidRDefault="49F85600" w:rsidP="3C737E4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 w:rsidRPr="3C737E47">
        <w:rPr>
          <w:sz w:val="24"/>
          <w:szCs w:val="24"/>
        </w:rPr>
        <w:t>Guilherme Antônio Lopes de Oliveria</w:t>
      </w:r>
      <w:r w:rsidR="7B0DD9D1" w:rsidRPr="3C737E47">
        <w:rPr>
          <w:sz w:val="24"/>
          <w:szCs w:val="24"/>
          <w:vertAlign w:val="superscript"/>
        </w:rPr>
        <w:footnoteReference w:id="2"/>
      </w:r>
    </w:p>
    <w:p w14:paraId="445DF0B0" w14:textId="3B885C80" w:rsidR="7A433B6F" w:rsidRDefault="7A433B6F" w:rsidP="7A433B6F">
      <w:pPr>
        <w:spacing w:line="360" w:lineRule="auto"/>
        <w:jc w:val="center"/>
        <w:rPr>
          <w:rStyle w:val="Refdenotaderodap"/>
          <w:b/>
          <w:bCs/>
          <w:sz w:val="24"/>
          <w:szCs w:val="24"/>
        </w:rPr>
      </w:pPr>
    </w:p>
    <w:p w14:paraId="5C7C2E3E" w14:textId="5D282298" w:rsidR="009C2E72" w:rsidRDefault="3B80DE58" w:rsidP="7A433B6F">
      <w:pPr>
        <w:spacing w:line="360" w:lineRule="auto"/>
        <w:jc w:val="center"/>
      </w:pPr>
      <w:r w:rsidRPr="7A433B6F">
        <w:rPr>
          <w:b/>
          <w:bCs/>
          <w:sz w:val="24"/>
          <w:szCs w:val="24"/>
        </w:rPr>
        <w:t>RESUMO</w:t>
      </w:r>
    </w:p>
    <w:p w14:paraId="5F03D185" w14:textId="7A9059F7" w:rsidR="009C2E72" w:rsidRDefault="3F504FD0" w:rsidP="7A433B6F">
      <w:pPr>
        <w:spacing w:line="360" w:lineRule="auto"/>
        <w:jc w:val="both"/>
        <w:rPr>
          <w:sz w:val="24"/>
          <w:szCs w:val="24"/>
        </w:rPr>
      </w:pPr>
      <w:r w:rsidRPr="7A433B6F">
        <w:rPr>
          <w:sz w:val="24"/>
          <w:szCs w:val="24"/>
        </w:rPr>
        <w:t>O presente estudo teve como objetivo analisar, a partir da literatura científica, aspectos relacionados à diversidade LGBTQIA+, ao discurso de ódio e aos limites constitucionais no ambiente digital, considerando a relação entre liberdade de expressão e proteção dos direitos dessa população. Trata-se de uma revisão narrativa da literatura, realizada em agosto de 2026, por meio do Google Acadêmico, considerando estudos disponíveis em português, inglês e espanhol. Foram utilizados os descritores “Diversidade LGBTQIA+”, “Discurso de Ódio”, “Limites Constitucionais”, “Ambiente Digital” e “Liberdade de Expressão”. A busca identificou inicialmente 109 estudos e, após a aplicação do recorte temporal, permaneceram 105 para análise dos títulos e resumos. Os estudos analisados evidenciaram que o discurso de ódio contra a população LGBTQIA+ constitui uma problemática relacionada à discriminação, à violação de direitos fundamentais e aos impactos sobre a saúde mental. Também foram identificadas discussões acerca da propagação de conteúdos discriminatórios nas redes sociais, das limitações dos mecanismos de fiscalização das plataformas e da relação entre manifestações de ódio no ambiente virtual e consequências fora dele. Os achados reforçam a necessidade de discutir os limites da liberdade de expressão diante de práticas discriminatórias e a proteção da dignidade e dos direitos da população LGBTQIA+.</w:t>
      </w:r>
    </w:p>
    <w:p w14:paraId="2DC5E280" w14:textId="0F4AEEBD" w:rsidR="009C2E72" w:rsidRDefault="3F504FD0" w:rsidP="7A433B6F">
      <w:pPr>
        <w:widowControl w:val="0"/>
        <w:spacing w:line="360" w:lineRule="auto"/>
        <w:jc w:val="both"/>
        <w:rPr>
          <w:sz w:val="24"/>
          <w:szCs w:val="24"/>
        </w:rPr>
      </w:pPr>
      <w:r w:rsidRPr="7A433B6F">
        <w:rPr>
          <w:b/>
          <w:bCs/>
          <w:sz w:val="24"/>
          <w:szCs w:val="24"/>
        </w:rPr>
        <w:t>Palavras-chave:</w:t>
      </w:r>
      <w:r w:rsidRPr="7A433B6F">
        <w:rPr>
          <w:sz w:val="24"/>
          <w:szCs w:val="24"/>
        </w:rPr>
        <w:t xml:space="preserve"> </w:t>
      </w:r>
      <w:r w:rsidR="7E9DBA15" w:rsidRPr="7A433B6F">
        <w:rPr>
          <w:sz w:val="24"/>
          <w:szCs w:val="24"/>
        </w:rPr>
        <w:t>di</w:t>
      </w:r>
      <w:r w:rsidRPr="7A433B6F">
        <w:rPr>
          <w:sz w:val="24"/>
          <w:szCs w:val="24"/>
        </w:rPr>
        <w:t xml:space="preserve">versidade LGBTQIA+; </w:t>
      </w:r>
      <w:r w:rsidR="1C42A898" w:rsidRPr="7A433B6F">
        <w:rPr>
          <w:sz w:val="24"/>
          <w:szCs w:val="24"/>
        </w:rPr>
        <w:t>d</w:t>
      </w:r>
      <w:r w:rsidRPr="7A433B6F">
        <w:rPr>
          <w:sz w:val="24"/>
          <w:szCs w:val="24"/>
        </w:rPr>
        <w:t>iscurso de ódio;</w:t>
      </w:r>
      <w:r w:rsidR="0CE36063" w:rsidRPr="7A433B6F">
        <w:rPr>
          <w:sz w:val="24"/>
          <w:szCs w:val="24"/>
        </w:rPr>
        <w:t xml:space="preserve"> </w:t>
      </w:r>
      <w:r w:rsidR="14E6127F" w:rsidRPr="7A433B6F">
        <w:rPr>
          <w:sz w:val="24"/>
          <w:szCs w:val="24"/>
        </w:rPr>
        <w:t>a</w:t>
      </w:r>
      <w:r w:rsidRPr="7A433B6F">
        <w:rPr>
          <w:sz w:val="24"/>
          <w:szCs w:val="24"/>
        </w:rPr>
        <w:t>mbiente digital</w:t>
      </w:r>
      <w:r w:rsidR="0BB6D30D" w:rsidRPr="7A433B6F">
        <w:rPr>
          <w:sz w:val="24"/>
          <w:szCs w:val="24"/>
        </w:rPr>
        <w:t>;</w:t>
      </w:r>
      <w:r w:rsidR="5CBEF9AD" w:rsidRPr="7A433B6F">
        <w:rPr>
          <w:sz w:val="24"/>
          <w:szCs w:val="24"/>
        </w:rPr>
        <w:t xml:space="preserve"> l</w:t>
      </w:r>
      <w:r w:rsidRPr="7A433B6F">
        <w:rPr>
          <w:sz w:val="24"/>
          <w:szCs w:val="24"/>
        </w:rPr>
        <w:t>iberdade de expressão</w:t>
      </w:r>
      <w:r w:rsidR="1A12671D" w:rsidRPr="7A433B6F">
        <w:rPr>
          <w:sz w:val="24"/>
          <w:szCs w:val="24"/>
        </w:rPr>
        <w:t>;</w:t>
      </w:r>
      <w:r w:rsidRPr="7A433B6F">
        <w:rPr>
          <w:sz w:val="24"/>
          <w:szCs w:val="24"/>
        </w:rPr>
        <w:t xml:space="preserve"> </w:t>
      </w:r>
      <w:r w:rsidR="76E057FF" w:rsidRPr="7A433B6F">
        <w:rPr>
          <w:sz w:val="24"/>
          <w:szCs w:val="24"/>
        </w:rPr>
        <w:t>d</w:t>
      </w:r>
      <w:r w:rsidRPr="7A433B6F">
        <w:rPr>
          <w:sz w:val="24"/>
          <w:szCs w:val="24"/>
        </w:rPr>
        <w:t>ireitos fundamentais.</w:t>
      </w:r>
    </w:p>
    <w:p w14:paraId="5DC62E09" w14:textId="77777777" w:rsidR="009C2E72" w:rsidRDefault="009C2E72">
      <w:pPr>
        <w:spacing w:line="360" w:lineRule="auto"/>
        <w:rPr>
          <w:sz w:val="24"/>
          <w:szCs w:val="24"/>
        </w:rPr>
      </w:pPr>
    </w:p>
    <w:p w14:paraId="16E0E810" w14:textId="459F17BA" w:rsidR="009C2E72" w:rsidRDefault="3B80DE58">
      <w:pPr>
        <w:spacing w:line="360" w:lineRule="auto"/>
        <w:rPr>
          <w:sz w:val="24"/>
          <w:szCs w:val="24"/>
        </w:rPr>
      </w:pPr>
      <w:r w:rsidRPr="7A433B6F">
        <w:rPr>
          <w:b/>
          <w:bCs/>
          <w:sz w:val="24"/>
          <w:szCs w:val="24"/>
        </w:rPr>
        <w:lastRenderedPageBreak/>
        <w:t>1 INTRODUÇÃO</w:t>
      </w:r>
    </w:p>
    <w:p w14:paraId="279D160A" w14:textId="5A581515" w:rsidR="009C2E72" w:rsidRDefault="13685E44" w:rsidP="7A433B6F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 xml:space="preserve">O presente estudo busca compreender o impacto de discursos intolerantes no ambiente digital contra a diversidade LGBTQIA+, que reúne diferentes identidades de gênero, sexos biológicos e orientações sexuais que fogem à </w:t>
      </w:r>
      <w:proofErr w:type="spellStart"/>
      <w:r w:rsidRPr="7A433B6F">
        <w:rPr>
          <w:sz w:val="24"/>
          <w:szCs w:val="24"/>
        </w:rPr>
        <w:t>cis-heteronormatividade</w:t>
      </w:r>
      <w:proofErr w:type="spellEnd"/>
      <w:r w:rsidRPr="7A433B6F">
        <w:rPr>
          <w:sz w:val="24"/>
          <w:szCs w:val="24"/>
        </w:rPr>
        <w:t xml:space="preserve">. O discurso de ódio diferencia-se da liberdade de expressão por incentivar preconceito, hostilidade, discriminação ou violência contra pessoas LGBTQIA+, desumanizando vítimas e causando danos emocionais e psicológicos. Embora frequentemente apresentado como liberdade de expressão, não é por ela protegido </w:t>
      </w:r>
      <w:r w:rsidR="1EA57B32" w:rsidRPr="7A433B6F">
        <w:rPr>
          <w:sz w:val="24"/>
          <w:szCs w:val="24"/>
        </w:rPr>
        <w:t>(</w:t>
      </w:r>
      <w:r w:rsidRPr="7A433B6F">
        <w:rPr>
          <w:sz w:val="24"/>
          <w:szCs w:val="24"/>
        </w:rPr>
        <w:t>Zandoná</w:t>
      </w:r>
      <w:r w:rsidR="6AD7C90E" w:rsidRPr="7A433B6F">
        <w:rPr>
          <w:sz w:val="24"/>
          <w:szCs w:val="24"/>
        </w:rPr>
        <w:t>,</w:t>
      </w:r>
      <w:r w:rsidR="17204094" w:rsidRPr="7A433B6F">
        <w:rPr>
          <w:sz w:val="24"/>
          <w:szCs w:val="24"/>
        </w:rPr>
        <w:t xml:space="preserve"> </w:t>
      </w:r>
      <w:r w:rsidRPr="7A433B6F">
        <w:rPr>
          <w:sz w:val="24"/>
          <w:szCs w:val="24"/>
        </w:rPr>
        <w:t>202</w:t>
      </w:r>
      <w:r w:rsidR="5A16A754" w:rsidRPr="7A433B6F">
        <w:rPr>
          <w:sz w:val="24"/>
          <w:szCs w:val="24"/>
        </w:rPr>
        <w:t>6</w:t>
      </w:r>
      <w:r w:rsidRPr="7A433B6F">
        <w:rPr>
          <w:sz w:val="24"/>
          <w:szCs w:val="24"/>
        </w:rPr>
        <w:t xml:space="preserve">). </w:t>
      </w:r>
    </w:p>
    <w:p w14:paraId="7D6B1020" w14:textId="65AACDC4" w:rsidR="009C2E72" w:rsidRDefault="13685E44" w:rsidP="7A433B6F">
      <w:pPr>
        <w:widowControl w:val="0"/>
        <w:spacing w:line="360" w:lineRule="auto"/>
        <w:ind w:firstLine="720"/>
        <w:jc w:val="both"/>
      </w:pPr>
      <w:r w:rsidRPr="7A433B6F">
        <w:rPr>
          <w:sz w:val="24"/>
          <w:szCs w:val="24"/>
        </w:rPr>
        <w:t xml:space="preserve">Embora favoreça a circulação de ideias e a participação democrática, o ambiente digital também dissemina discursos de ódio, destacando-se a homofobia e a transfobia contra a comunidade LGBTQIA+. Segundo Figueiredo (2025), o anonimato e a rapidez da comunicação digital ampliam esses ataques, causando graves violações aos direitos fundamentais, como a dignidade, a honra e a imagem das vítimas. </w:t>
      </w:r>
      <w:r w:rsidR="00597577">
        <w:rPr>
          <w:sz w:val="24"/>
          <w:szCs w:val="24"/>
        </w:rPr>
        <w:tab/>
      </w:r>
      <w:r w:rsidR="00941C9B">
        <w:br/>
      </w:r>
      <w:r w:rsidR="00941C9B">
        <w:tab/>
      </w:r>
      <w:r w:rsidRPr="7A433B6F">
        <w:rPr>
          <w:sz w:val="24"/>
          <w:szCs w:val="24"/>
        </w:rPr>
        <w:t>A discriminação contra a população LGBTQIA+ possui origem histórica e permanece presente na sociedade brasileira, violando direitos fundamentais, especialmente a saúde e a dignidade</w:t>
      </w:r>
      <w:r w:rsidR="780D58C8" w:rsidRPr="7A433B6F">
        <w:rPr>
          <w:sz w:val="24"/>
          <w:szCs w:val="24"/>
        </w:rPr>
        <w:t xml:space="preserve"> conforme</w:t>
      </w:r>
      <w:r w:rsidRPr="7A433B6F">
        <w:rPr>
          <w:sz w:val="24"/>
          <w:szCs w:val="24"/>
        </w:rPr>
        <w:t xml:space="preserve"> </w:t>
      </w:r>
      <w:proofErr w:type="spellStart"/>
      <w:r w:rsidRPr="7A433B6F">
        <w:rPr>
          <w:sz w:val="24"/>
          <w:szCs w:val="24"/>
        </w:rPr>
        <w:t>Pipino</w:t>
      </w:r>
      <w:proofErr w:type="spellEnd"/>
      <w:r w:rsidR="0B470874" w:rsidRPr="7A433B6F">
        <w:rPr>
          <w:sz w:val="24"/>
          <w:szCs w:val="24"/>
        </w:rPr>
        <w:t xml:space="preserve"> e </w:t>
      </w:r>
      <w:proofErr w:type="spellStart"/>
      <w:r w:rsidRPr="7A433B6F">
        <w:rPr>
          <w:sz w:val="24"/>
          <w:szCs w:val="24"/>
        </w:rPr>
        <w:t>Pipino</w:t>
      </w:r>
      <w:proofErr w:type="spellEnd"/>
      <w:r w:rsidRPr="7A433B6F">
        <w:rPr>
          <w:sz w:val="24"/>
          <w:szCs w:val="24"/>
        </w:rPr>
        <w:t xml:space="preserve"> </w:t>
      </w:r>
      <w:r w:rsidR="43167D6F" w:rsidRPr="7A433B6F">
        <w:rPr>
          <w:sz w:val="24"/>
          <w:szCs w:val="24"/>
        </w:rPr>
        <w:t>(</w:t>
      </w:r>
      <w:r w:rsidRPr="7A433B6F">
        <w:rPr>
          <w:sz w:val="24"/>
          <w:szCs w:val="24"/>
        </w:rPr>
        <w:t xml:space="preserve">2019). Na elaboração da Constituição de 1988, movimentos sociais buscaram incluir a “orientação sexual” entre as formas de discriminação proibidas, mas não obtiveram êxito. Ainda assim, a Constituição assegura a dignidade da pessoa humana (art. 1º, III) e proíbe outras formas de discriminação (art. 3º, IV). </w:t>
      </w:r>
    </w:p>
    <w:p w14:paraId="2B93A778" w14:textId="5876D71A" w:rsidR="009C2E72" w:rsidRDefault="13685E44" w:rsidP="7A433B6F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 xml:space="preserve">As garantias constitucionais seguem relevantes diante da discriminação digital contra a população LGBTQIA+, exigindo adaptação na interpretação dos direitos fundamentais. Entre 2011 e 2023, o STF ampliou essa proteção, reconhecendo a união estável homoafetiva (STF, ADI 4277/ADPF 132), criminalizando a homotransfobia (STF, ADO 26/MI 4733) e, posteriormente, equiparando-a ao crime de injúria racial (STF, MI 4733, Rel. Min. Edson Fachin, julgado em 2023). </w:t>
      </w:r>
    </w:p>
    <w:p w14:paraId="3E2565E6" w14:textId="64A4B543" w:rsidR="009C2E72" w:rsidRDefault="13685E44" w:rsidP="7A433B6F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>O uso das redes sociais tem se tornado cada vez mais presente no nosso cotidiano, tornando-se uma extensão de quem o ser humano é e como se porta no meio social. Nesse contexto, a agilidade de partilhar informações e opiniões, as redes sociais estão sendo utilizadas como</w:t>
      </w:r>
      <w:r w:rsidR="0B9B5602" w:rsidRPr="7A433B6F">
        <w:rPr>
          <w:sz w:val="24"/>
          <w:szCs w:val="24"/>
        </w:rPr>
        <w:t xml:space="preserve"> um espaço de propagação</w:t>
      </w:r>
      <w:r w:rsidRPr="7A433B6F">
        <w:rPr>
          <w:sz w:val="24"/>
          <w:szCs w:val="24"/>
        </w:rPr>
        <w:t xml:space="preserve"> </w:t>
      </w:r>
      <w:r w:rsidR="59E361DE" w:rsidRPr="7A433B6F">
        <w:rPr>
          <w:sz w:val="24"/>
          <w:szCs w:val="24"/>
        </w:rPr>
        <w:t xml:space="preserve">de </w:t>
      </w:r>
      <w:r w:rsidRPr="7A433B6F">
        <w:rPr>
          <w:sz w:val="24"/>
          <w:szCs w:val="24"/>
        </w:rPr>
        <w:t xml:space="preserve">discursos preconceituosos, principalmente, contra pessoas LGBTQIA+. Segundo Cardoso e Garcia (2026), os discursos contra minorias, nos últimos anos, têm motivado crimes fora do contexto virtual. </w:t>
      </w:r>
      <w:r w:rsidR="00597577">
        <w:rPr>
          <w:sz w:val="24"/>
          <w:szCs w:val="24"/>
        </w:rPr>
        <w:tab/>
      </w:r>
      <w:r w:rsidRPr="7A433B6F">
        <w:rPr>
          <w:sz w:val="24"/>
          <w:szCs w:val="24"/>
        </w:rPr>
        <w:t xml:space="preserve">  </w:t>
      </w:r>
      <w:r w:rsidR="00941C9B">
        <w:br/>
      </w:r>
      <w:r w:rsidR="00941C9B">
        <w:lastRenderedPageBreak/>
        <w:tab/>
      </w:r>
      <w:r w:rsidRPr="7A433B6F">
        <w:rPr>
          <w:sz w:val="24"/>
          <w:szCs w:val="24"/>
        </w:rPr>
        <w:t>Além disso, a falta de mecanismo de fiscalização eficaz contribui para a propagação de discurso discriminatório. Isso ocorre quando essas ferramentas estão programadas só para captar palavras ofensivas de forma expl</w:t>
      </w:r>
      <w:r w:rsidR="37BE4CB3" w:rsidRPr="7A433B6F">
        <w:rPr>
          <w:sz w:val="24"/>
          <w:szCs w:val="24"/>
        </w:rPr>
        <w:t>í</w:t>
      </w:r>
      <w:r w:rsidRPr="7A433B6F">
        <w:rPr>
          <w:sz w:val="24"/>
          <w:szCs w:val="24"/>
        </w:rPr>
        <w:t>cita. Porém, os comentários são camuflados por narrativas político-conservadoras</w:t>
      </w:r>
      <w:r w:rsidR="541115CD" w:rsidRPr="7A433B6F">
        <w:rPr>
          <w:sz w:val="24"/>
          <w:szCs w:val="24"/>
        </w:rPr>
        <w:t xml:space="preserve">, </w:t>
      </w:r>
      <w:r w:rsidRPr="7A433B6F">
        <w:rPr>
          <w:sz w:val="24"/>
          <w:szCs w:val="24"/>
        </w:rPr>
        <w:t xml:space="preserve">o que permite burlar os filtros algorítmicos </w:t>
      </w:r>
      <w:r w:rsidR="2B4DEA6B" w:rsidRPr="7A433B6F">
        <w:rPr>
          <w:sz w:val="24"/>
          <w:szCs w:val="24"/>
        </w:rPr>
        <w:t>tradicionais (</w:t>
      </w:r>
      <w:r w:rsidRPr="7A433B6F">
        <w:rPr>
          <w:sz w:val="24"/>
          <w:szCs w:val="24"/>
        </w:rPr>
        <w:t>Nascimento</w:t>
      </w:r>
      <w:r w:rsidR="1A32E1C9" w:rsidRPr="7A433B6F">
        <w:rPr>
          <w:sz w:val="24"/>
          <w:szCs w:val="24"/>
        </w:rPr>
        <w:t xml:space="preserve">; </w:t>
      </w:r>
      <w:r w:rsidRPr="7A433B6F">
        <w:rPr>
          <w:sz w:val="24"/>
          <w:szCs w:val="24"/>
        </w:rPr>
        <w:t>Monteiro</w:t>
      </w:r>
      <w:r w:rsidR="7978BC94" w:rsidRPr="7A433B6F">
        <w:rPr>
          <w:sz w:val="24"/>
          <w:szCs w:val="24"/>
        </w:rPr>
        <w:t>;</w:t>
      </w:r>
      <w:r w:rsidRPr="7A433B6F">
        <w:rPr>
          <w:sz w:val="24"/>
          <w:szCs w:val="24"/>
        </w:rPr>
        <w:t xml:space="preserve"> Machado</w:t>
      </w:r>
      <w:r w:rsidR="563689BE" w:rsidRPr="7A433B6F">
        <w:rPr>
          <w:sz w:val="24"/>
          <w:szCs w:val="24"/>
        </w:rPr>
        <w:t xml:space="preserve">, </w:t>
      </w:r>
      <w:r w:rsidRPr="7A433B6F">
        <w:rPr>
          <w:sz w:val="24"/>
          <w:szCs w:val="24"/>
        </w:rPr>
        <w:t xml:space="preserve">2026). </w:t>
      </w:r>
    </w:p>
    <w:p w14:paraId="0E526F63" w14:textId="1B2A6744" w:rsidR="009C2E72" w:rsidRDefault="13685E44" w:rsidP="7A433B6F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 xml:space="preserve">As redes sociais não </w:t>
      </w:r>
      <w:r w:rsidR="3D4DB6E0" w:rsidRPr="7A433B6F">
        <w:rPr>
          <w:sz w:val="24"/>
          <w:szCs w:val="24"/>
        </w:rPr>
        <w:t>são um espaço</w:t>
      </w:r>
      <w:r w:rsidRPr="7A433B6F">
        <w:rPr>
          <w:sz w:val="24"/>
          <w:szCs w:val="24"/>
        </w:rPr>
        <w:t xml:space="preserve"> isolado, elas são o reflexo da sociedade e os discursos ofensivos transfere</w:t>
      </w:r>
      <w:r w:rsidR="4B2AD29B" w:rsidRPr="7A433B6F">
        <w:rPr>
          <w:sz w:val="24"/>
          <w:szCs w:val="24"/>
        </w:rPr>
        <w:t>m</w:t>
      </w:r>
      <w:r w:rsidRPr="7A433B6F">
        <w:rPr>
          <w:sz w:val="24"/>
          <w:szCs w:val="24"/>
        </w:rPr>
        <w:t xml:space="preserve">-se para a vida real. Nesse contexto, é urgente levar esse debate adiante pois o preconceito virtual tornou-se incontrolável com altos números de mensagens discriminatórias como </w:t>
      </w:r>
      <w:r w:rsidR="2E67827C" w:rsidRPr="7A433B6F">
        <w:rPr>
          <w:sz w:val="24"/>
          <w:szCs w:val="24"/>
        </w:rPr>
        <w:t>a</w:t>
      </w:r>
      <w:r w:rsidRPr="7A433B6F">
        <w:rPr>
          <w:sz w:val="24"/>
          <w:szCs w:val="24"/>
        </w:rPr>
        <w:t xml:space="preserve">pontam Nascimento, Monteiro e Machado (2026), que identificaram um universo de mais de 1,4 milhão de mensagens válidas. </w:t>
      </w:r>
    </w:p>
    <w:p w14:paraId="13123CB2" w14:textId="7A50438B" w:rsidR="009C2E72" w:rsidRDefault="13685E44" w:rsidP="00597577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>A discussão sobre a violência contra a população LGBTQIA+ causa profundos</w:t>
      </w:r>
      <w:r w:rsidR="00597577">
        <w:rPr>
          <w:sz w:val="24"/>
          <w:szCs w:val="24"/>
        </w:rPr>
        <w:t xml:space="preserve"> </w:t>
      </w:r>
      <w:r w:rsidRPr="7A433B6F">
        <w:rPr>
          <w:sz w:val="24"/>
          <w:szCs w:val="24"/>
        </w:rPr>
        <w:t xml:space="preserve">impactos </w:t>
      </w:r>
      <w:r w:rsidR="76001B37" w:rsidRPr="7A433B6F">
        <w:rPr>
          <w:sz w:val="24"/>
          <w:szCs w:val="24"/>
        </w:rPr>
        <w:t>à</w:t>
      </w:r>
      <w:r w:rsidRPr="7A433B6F">
        <w:rPr>
          <w:sz w:val="24"/>
          <w:szCs w:val="24"/>
        </w:rPr>
        <w:t xml:space="preserve"> integridade dessas pessoas. Conforme apontado no estudo de Moura et al. (2022), as agressões agem como um desencadeador de episódios ansiosos, depressão severa e ideação suicida. Isso mostra que a LGBTfobia ultrapassa o preconceito individual e se consolida como uma grave problemática de saúde pública.  </w:t>
      </w:r>
    </w:p>
    <w:p w14:paraId="4D336AA7" w14:textId="25048790" w:rsidR="009C2E72" w:rsidRDefault="13685E44" w:rsidP="7A433B6F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>Por isso, debater o tema permite evidenciar como a hostilidade virtual causa sofrimento real, exigindo debates e posicionamento do poder público. Compreender que o ambiente digital atua como um amplificador de vulnerabilidades, já existentes, no cotidiano da população e propor soluções para proteger essas pessoas de forma eficaz é o único caminho para cuidar da saúde mental e da vida da população LGBTQIA+.</w:t>
      </w:r>
    </w:p>
    <w:p w14:paraId="488F7564" w14:textId="77777777" w:rsidR="009C2E72" w:rsidRDefault="009C2E72" w:rsidP="7A433B6F">
      <w:pPr>
        <w:spacing w:line="360" w:lineRule="auto"/>
        <w:jc w:val="both"/>
        <w:rPr>
          <w:b/>
          <w:bCs/>
          <w:sz w:val="24"/>
          <w:szCs w:val="24"/>
        </w:rPr>
      </w:pPr>
    </w:p>
    <w:p w14:paraId="4297464F" w14:textId="77777777" w:rsidR="009C2E72" w:rsidRDefault="3B80DE58" w:rsidP="7A433B6F">
      <w:pPr>
        <w:spacing w:line="360" w:lineRule="auto"/>
        <w:jc w:val="both"/>
        <w:rPr>
          <w:sz w:val="24"/>
          <w:szCs w:val="24"/>
        </w:rPr>
      </w:pPr>
      <w:r w:rsidRPr="7A433B6F">
        <w:rPr>
          <w:b/>
          <w:bCs/>
          <w:sz w:val="24"/>
          <w:szCs w:val="24"/>
        </w:rPr>
        <w:t>2 OBJETIVOS</w:t>
      </w:r>
    </w:p>
    <w:p w14:paraId="40711B64" w14:textId="51B5EE7E" w:rsidR="009C2E72" w:rsidRDefault="04454A67" w:rsidP="00597577">
      <w:pPr>
        <w:spacing w:line="360" w:lineRule="auto"/>
        <w:ind w:firstLine="720"/>
        <w:jc w:val="both"/>
      </w:pPr>
      <w:proofErr w:type="spellStart"/>
      <w:r w:rsidRPr="7A433B6F">
        <w:rPr>
          <w:sz w:val="24"/>
          <w:szCs w:val="24"/>
          <w:lang w:val="en-US"/>
        </w:rPr>
        <w:t>Realizar</w:t>
      </w:r>
      <w:proofErr w:type="spellEnd"/>
      <w:r w:rsidRPr="7A433B6F">
        <w:rPr>
          <w:sz w:val="24"/>
          <w:szCs w:val="24"/>
          <w:lang w:val="en-US"/>
        </w:rPr>
        <w:t xml:space="preserve"> um </w:t>
      </w:r>
      <w:proofErr w:type="spellStart"/>
      <w:r w:rsidRPr="7A433B6F">
        <w:rPr>
          <w:sz w:val="24"/>
          <w:szCs w:val="24"/>
          <w:lang w:val="en-US"/>
        </w:rPr>
        <w:t>levantamento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bibliográfico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sobre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diversidade</w:t>
      </w:r>
      <w:proofErr w:type="spellEnd"/>
      <w:r w:rsidRPr="7A433B6F">
        <w:rPr>
          <w:sz w:val="24"/>
          <w:szCs w:val="24"/>
          <w:lang w:val="en-US"/>
        </w:rPr>
        <w:t xml:space="preserve"> LGBTQIA+: </w:t>
      </w:r>
      <w:proofErr w:type="spellStart"/>
      <w:r w:rsidRPr="7A433B6F">
        <w:rPr>
          <w:sz w:val="24"/>
          <w:szCs w:val="24"/>
          <w:lang w:val="en-US"/>
        </w:rPr>
        <w:t>Discurso</w:t>
      </w:r>
      <w:proofErr w:type="spellEnd"/>
      <w:r w:rsidRPr="7A433B6F">
        <w:rPr>
          <w:sz w:val="24"/>
          <w:szCs w:val="24"/>
          <w:lang w:val="en-US"/>
        </w:rPr>
        <w:t xml:space="preserve"> de </w:t>
      </w:r>
      <w:proofErr w:type="spellStart"/>
      <w:r w:rsidRPr="7A433B6F">
        <w:rPr>
          <w:sz w:val="24"/>
          <w:szCs w:val="24"/>
          <w:lang w:val="en-US"/>
        </w:rPr>
        <w:t>Ódio</w:t>
      </w:r>
      <w:proofErr w:type="spellEnd"/>
      <w:r w:rsidRPr="7A433B6F">
        <w:rPr>
          <w:sz w:val="24"/>
          <w:szCs w:val="24"/>
          <w:lang w:val="en-US"/>
        </w:rPr>
        <w:t xml:space="preserve"> e </w:t>
      </w:r>
      <w:proofErr w:type="spellStart"/>
      <w:r w:rsidR="57799744" w:rsidRPr="7A433B6F">
        <w:rPr>
          <w:sz w:val="24"/>
          <w:szCs w:val="24"/>
          <w:lang w:val="en-US"/>
        </w:rPr>
        <w:t>li</w:t>
      </w:r>
      <w:r w:rsidRPr="7A433B6F">
        <w:rPr>
          <w:sz w:val="24"/>
          <w:szCs w:val="24"/>
          <w:lang w:val="en-US"/>
        </w:rPr>
        <w:t>mites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Constitucionais</w:t>
      </w:r>
      <w:proofErr w:type="spellEnd"/>
      <w:r w:rsidRPr="7A433B6F">
        <w:rPr>
          <w:sz w:val="24"/>
          <w:szCs w:val="24"/>
          <w:lang w:val="en-US"/>
        </w:rPr>
        <w:t xml:space="preserve"> no </w:t>
      </w:r>
      <w:proofErr w:type="spellStart"/>
      <w:r w:rsidRPr="7A433B6F">
        <w:rPr>
          <w:sz w:val="24"/>
          <w:szCs w:val="24"/>
          <w:lang w:val="en-US"/>
        </w:rPr>
        <w:t>Ambiente</w:t>
      </w:r>
      <w:proofErr w:type="spellEnd"/>
      <w:r w:rsidRPr="7A433B6F">
        <w:rPr>
          <w:sz w:val="24"/>
          <w:szCs w:val="24"/>
          <w:lang w:val="en-US"/>
        </w:rPr>
        <w:t xml:space="preserve"> Digital, </w:t>
      </w:r>
      <w:proofErr w:type="spellStart"/>
      <w:r w:rsidRPr="7A433B6F">
        <w:rPr>
          <w:sz w:val="24"/>
          <w:szCs w:val="24"/>
          <w:lang w:val="en-US"/>
        </w:rPr>
        <w:t>visando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analisar</w:t>
      </w:r>
      <w:proofErr w:type="spellEnd"/>
      <w:r w:rsidRPr="7A433B6F">
        <w:rPr>
          <w:sz w:val="24"/>
          <w:szCs w:val="24"/>
          <w:lang w:val="en-US"/>
        </w:rPr>
        <w:t xml:space="preserve"> e </w:t>
      </w:r>
      <w:proofErr w:type="spellStart"/>
      <w:r w:rsidRPr="7A433B6F">
        <w:rPr>
          <w:sz w:val="24"/>
          <w:szCs w:val="24"/>
          <w:lang w:val="en-US"/>
        </w:rPr>
        <w:t>compreender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os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principais</w:t>
      </w:r>
      <w:proofErr w:type="spellEnd"/>
      <w:r w:rsidRPr="7A433B6F">
        <w:rPr>
          <w:sz w:val="24"/>
          <w:szCs w:val="24"/>
          <w:lang w:val="en-US"/>
        </w:rPr>
        <w:t xml:space="preserve"> aspectos </w:t>
      </w:r>
      <w:proofErr w:type="spellStart"/>
      <w:r w:rsidRPr="7A433B6F">
        <w:rPr>
          <w:sz w:val="24"/>
          <w:szCs w:val="24"/>
          <w:lang w:val="en-US"/>
        </w:rPr>
        <w:t>relacionados</w:t>
      </w:r>
      <w:proofErr w:type="spellEnd"/>
      <w:r w:rsidRPr="7A433B6F">
        <w:rPr>
          <w:sz w:val="24"/>
          <w:szCs w:val="24"/>
          <w:lang w:val="en-US"/>
        </w:rPr>
        <w:t xml:space="preserve"> à </w:t>
      </w:r>
      <w:proofErr w:type="spellStart"/>
      <w:r w:rsidRPr="7A433B6F">
        <w:rPr>
          <w:sz w:val="24"/>
          <w:szCs w:val="24"/>
          <w:lang w:val="en-US"/>
        </w:rPr>
        <w:t>temática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na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literatura</w:t>
      </w:r>
      <w:proofErr w:type="spellEnd"/>
      <w:r w:rsidRPr="7A433B6F">
        <w:rPr>
          <w:sz w:val="24"/>
          <w:szCs w:val="24"/>
          <w:lang w:val="en-US"/>
        </w:rPr>
        <w:t xml:space="preserve"> </w:t>
      </w:r>
      <w:proofErr w:type="spellStart"/>
      <w:r w:rsidRPr="7A433B6F">
        <w:rPr>
          <w:sz w:val="24"/>
          <w:szCs w:val="24"/>
          <w:lang w:val="en-US"/>
        </w:rPr>
        <w:t>científica</w:t>
      </w:r>
      <w:proofErr w:type="spellEnd"/>
      <w:r w:rsidRPr="7A433B6F">
        <w:rPr>
          <w:sz w:val="24"/>
          <w:szCs w:val="24"/>
          <w:lang w:val="en-US"/>
        </w:rPr>
        <w:t xml:space="preserve">.  </w:t>
      </w:r>
    </w:p>
    <w:p w14:paraId="76BCE176" w14:textId="43472D48" w:rsidR="7A433B6F" w:rsidRDefault="7A433B6F" w:rsidP="7A433B6F">
      <w:pPr>
        <w:spacing w:line="360" w:lineRule="auto"/>
        <w:rPr>
          <w:sz w:val="24"/>
          <w:szCs w:val="24"/>
          <w:lang w:val="en-US"/>
        </w:rPr>
      </w:pPr>
    </w:p>
    <w:p w14:paraId="4E34AB3C" w14:textId="77777777" w:rsidR="009C2E72" w:rsidRDefault="3B80DE58">
      <w:pPr>
        <w:spacing w:line="360" w:lineRule="auto"/>
        <w:rPr>
          <w:sz w:val="24"/>
          <w:szCs w:val="24"/>
        </w:rPr>
      </w:pPr>
      <w:r w:rsidRPr="7A433B6F">
        <w:rPr>
          <w:b/>
          <w:bCs/>
          <w:sz w:val="24"/>
          <w:szCs w:val="24"/>
        </w:rPr>
        <w:t>3 MÉTODO</w:t>
      </w:r>
    </w:p>
    <w:p w14:paraId="517196D0" w14:textId="5D792F8D" w:rsidR="23B24E2A" w:rsidRDefault="23B24E2A" w:rsidP="00597577">
      <w:pPr>
        <w:widowControl w:val="0"/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 xml:space="preserve">Trata-se de uma revisão narrativa da literatura, método que permite reunir e </w:t>
      </w:r>
      <w:r w:rsidR="71931472" w:rsidRPr="7A433B6F">
        <w:rPr>
          <w:sz w:val="24"/>
          <w:szCs w:val="24"/>
        </w:rPr>
        <w:t>a</w:t>
      </w:r>
      <w:r w:rsidRPr="7A433B6F">
        <w:rPr>
          <w:sz w:val="24"/>
          <w:szCs w:val="24"/>
        </w:rPr>
        <w:t>nalisar produções acadêmicas já existentes sobre determinado tema,</w:t>
      </w:r>
      <w:r w:rsidR="27272CDD" w:rsidRPr="7A433B6F">
        <w:rPr>
          <w:sz w:val="24"/>
          <w:szCs w:val="24"/>
        </w:rPr>
        <w:t xml:space="preserve"> c</w:t>
      </w:r>
      <w:r w:rsidRPr="7A433B6F">
        <w:rPr>
          <w:sz w:val="24"/>
          <w:szCs w:val="24"/>
        </w:rPr>
        <w:t xml:space="preserve">ontribuindo para a compreensão das diferentes perspectivas presentes na literatura. Segundo Lima </w:t>
      </w:r>
      <w:r w:rsidR="558CCAFC" w:rsidRPr="7A433B6F">
        <w:rPr>
          <w:sz w:val="24"/>
          <w:szCs w:val="24"/>
        </w:rPr>
        <w:t xml:space="preserve">e </w:t>
      </w:r>
      <w:r w:rsidRPr="7A433B6F">
        <w:rPr>
          <w:sz w:val="24"/>
          <w:szCs w:val="24"/>
        </w:rPr>
        <w:t xml:space="preserve">Mioto (2007), a pesquisa bibliográfica envolve um processo organizado de busca, seleção e análise de materiais </w:t>
      </w:r>
      <w:r w:rsidRPr="7A433B6F">
        <w:rPr>
          <w:sz w:val="24"/>
          <w:szCs w:val="24"/>
        </w:rPr>
        <w:lastRenderedPageBreak/>
        <w:t>científicos relacionados ao objeto de estudo. A pesquisa foi realizada no mês de agosto de 2026, por meio do google acadêmico, considerando trabalhos disponíveis nos idiomas português, inglês e espanhol. Para o levantamento, foram utilizados os descritores diversidade LGBTQIA+ AND discurso de ódio AND limites constitucionais AND ambiente digital AND liberdade de expressão. A seleção inicial dos estudos foi realizada mediante a aplicação do filtro de recorte temporal nas bases de dados consultadas. Consequentemente, foram selecionados para análise, a partir da leitura dos títulos e resumos, os artigos científicos que abordavam aspectos relacionados à diversidade LGBTQIA+, ao discurso de ódio e aos limites constitucionais no ambiente digital, considerando, sobretudo, a relação entre a liberdade de expressão e a proteção dos direitos dessa população.</w:t>
      </w:r>
    </w:p>
    <w:p w14:paraId="53B3C5A0" w14:textId="3C9D03AE" w:rsidR="7A433B6F" w:rsidRDefault="7A433B6F" w:rsidP="7A433B6F">
      <w:pPr>
        <w:spacing w:line="360" w:lineRule="auto"/>
        <w:jc w:val="both"/>
        <w:rPr>
          <w:b/>
          <w:bCs/>
          <w:sz w:val="24"/>
          <w:szCs w:val="24"/>
        </w:rPr>
      </w:pPr>
    </w:p>
    <w:p w14:paraId="11777BC8" w14:textId="77777777" w:rsidR="009C2E72" w:rsidRDefault="3B80DE58">
      <w:pPr>
        <w:spacing w:line="360" w:lineRule="auto"/>
        <w:rPr>
          <w:b/>
          <w:bCs/>
          <w:sz w:val="24"/>
          <w:szCs w:val="24"/>
        </w:rPr>
      </w:pPr>
      <w:r w:rsidRPr="7A433B6F">
        <w:rPr>
          <w:b/>
          <w:bCs/>
          <w:sz w:val="24"/>
          <w:szCs w:val="24"/>
        </w:rPr>
        <w:t>4 RESULTADOS E DISCUSSÃO</w:t>
      </w:r>
    </w:p>
    <w:p w14:paraId="708EE868" w14:textId="0041C7C7" w:rsidR="00597577" w:rsidRDefault="2A9D9EE4" w:rsidP="00597577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  <w:r w:rsidRPr="7A433B6F">
        <w:rPr>
          <w:color w:val="000000" w:themeColor="text1"/>
          <w:sz w:val="24"/>
          <w:szCs w:val="24"/>
        </w:rPr>
        <w:t xml:space="preserve">A busca realizada no Google Acadêmico, a partir dos descritores definidos na metodologia, identificou inicialmente 109 estudos. Após a aplicação do recorte temporal, permaneceram 105 estudos para a etapa de análise. Posteriormente, foram examinados os títulos e resumos, considerando a pertinência dos trabalhos em relação à diversidade LGBTQIA+, ao discurso de ódio, aos limites constitucionais no ambiente digital e à relação entre liberdade de expressão e proteção dos direitos dessa população. Assim, </w:t>
      </w:r>
      <w:r w:rsidR="68E8E9FB" w:rsidRPr="7A433B6F">
        <w:rPr>
          <w:color w:val="000000" w:themeColor="text1"/>
          <w:sz w:val="24"/>
          <w:szCs w:val="24"/>
        </w:rPr>
        <w:t>7</w:t>
      </w:r>
      <w:r w:rsidRPr="7A433B6F">
        <w:rPr>
          <w:color w:val="000000" w:themeColor="text1"/>
          <w:sz w:val="24"/>
          <w:szCs w:val="24"/>
        </w:rPr>
        <w:t xml:space="preserve"> estudos compuseram a versão final desta revisão</w:t>
      </w:r>
      <w:r w:rsidR="00597577">
        <w:rPr>
          <w:color w:val="000000" w:themeColor="text1"/>
          <w:sz w:val="24"/>
          <w:szCs w:val="24"/>
        </w:rPr>
        <w:t>.</w:t>
      </w:r>
    </w:p>
    <w:p w14:paraId="7C049080" w14:textId="77777777" w:rsidR="00597577" w:rsidRDefault="00597577" w:rsidP="00597577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  <w:r w:rsidRPr="7A433B6F">
        <w:rPr>
          <w:color w:val="000000" w:themeColor="text1"/>
          <w:sz w:val="24"/>
          <w:szCs w:val="24"/>
        </w:rPr>
        <w:t xml:space="preserve">A análise dos estudos selecionados evidenciou que o discurso de ódio direcionado à população LGBTQIA+ constitui uma problemática relacionada à violação de direitos fundamentais e que assume características específicas no ambiente digital. Zandoná (2026) aborda a necessidade de estabelecer limites à liberdade de expressão diante de manifestações de ódio, destacando a proteção da dignidade humana e o enfrentamento da discriminação. Figueiredo (2025), por sua vez, discute a ocorrência de discursos homofóbicos e transfóbicos nas redes sociais, relacionando a problemática aos limites da liberdade de expressão e à responsabilização por práticas discriminatórias. </w:t>
      </w:r>
      <w:r w:rsidRPr="7A433B6F">
        <w:rPr>
          <w:sz w:val="24"/>
          <w:szCs w:val="24"/>
        </w:rPr>
        <w:t xml:space="preserve">Os objetivos e desenhos dos estudos selecionados estão sistematizados </w:t>
      </w:r>
      <w:r w:rsidRPr="00597577">
        <w:rPr>
          <w:sz w:val="24"/>
          <w:szCs w:val="24"/>
        </w:rPr>
        <w:t>no</w:t>
      </w:r>
      <w:r w:rsidRPr="7A433B6F">
        <w:rPr>
          <w:sz w:val="24"/>
          <w:szCs w:val="24"/>
        </w:rPr>
        <w:t xml:space="preserve"> Quadro 1.</w:t>
      </w:r>
    </w:p>
    <w:p w14:paraId="0766562C" w14:textId="77777777" w:rsidR="00597577" w:rsidRDefault="00597577" w:rsidP="00597577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</w:p>
    <w:p w14:paraId="47060880" w14:textId="77777777" w:rsidR="00597577" w:rsidRDefault="00597577" w:rsidP="00597577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</w:p>
    <w:p w14:paraId="78172D8B" w14:textId="4D8101DF" w:rsidR="2A9D9EE4" w:rsidRDefault="00597577" w:rsidP="7A433B6F">
      <w:pPr>
        <w:spacing w:line="360" w:lineRule="auto"/>
        <w:jc w:val="both"/>
      </w:pPr>
      <w:r w:rsidRPr="00597577">
        <w:rPr>
          <w:b/>
          <w:bCs/>
          <w:color w:val="000000" w:themeColor="text1"/>
          <w:sz w:val="24"/>
          <w:szCs w:val="24"/>
        </w:rPr>
        <w:lastRenderedPageBreak/>
        <w:t>Quadro 1</w:t>
      </w:r>
      <w:r>
        <w:rPr>
          <w:color w:val="000000" w:themeColor="text1"/>
          <w:sz w:val="24"/>
          <w:szCs w:val="24"/>
        </w:rPr>
        <w:t xml:space="preserve"> - </w:t>
      </w:r>
      <w:r w:rsidR="2A9D9EE4" w:rsidRPr="7A433B6F">
        <w:rPr>
          <w:color w:val="000000" w:themeColor="text1"/>
          <w:sz w:val="24"/>
          <w:szCs w:val="24"/>
        </w:rPr>
        <w:t>Resumo descritivo dos artigos selecionados de acordo com o título, autores, ano, objetivos e desenho do estudo</w:t>
      </w:r>
      <w:r>
        <w:rPr>
          <w:color w:val="000000" w:themeColor="text1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2A0" w:firstRow="1" w:lastRow="0" w:firstColumn="1" w:lastColumn="0" w:noHBand="1" w:noVBand="0"/>
      </w:tblPr>
      <w:tblGrid>
        <w:gridCol w:w="1863"/>
        <w:gridCol w:w="1578"/>
        <w:gridCol w:w="700"/>
        <w:gridCol w:w="2693"/>
        <w:gridCol w:w="2227"/>
      </w:tblGrid>
      <w:tr w:rsidR="7A433B6F" w14:paraId="6051C384" w14:textId="77777777" w:rsidTr="7A433B6F">
        <w:trPr>
          <w:trHeight w:val="300"/>
          <w:jc w:val="center"/>
        </w:trPr>
        <w:tc>
          <w:tcPr>
            <w:tcW w:w="1950" w:type="dxa"/>
            <w:vAlign w:val="center"/>
          </w:tcPr>
          <w:p w14:paraId="4D2D821F" w14:textId="2BBB122E" w:rsidR="248593B6" w:rsidRDefault="248593B6" w:rsidP="7A433B6F">
            <w:pPr>
              <w:keepLines/>
              <w:widowControl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7A433B6F">
              <w:rPr>
                <w:b/>
                <w:bCs/>
                <w:color w:val="000000" w:themeColor="text1"/>
                <w:sz w:val="20"/>
                <w:szCs w:val="20"/>
              </w:rPr>
              <w:t>TÌTULOS</w:t>
            </w:r>
          </w:p>
        </w:tc>
        <w:tc>
          <w:tcPr>
            <w:tcW w:w="1425" w:type="dxa"/>
            <w:vAlign w:val="center"/>
          </w:tcPr>
          <w:p w14:paraId="38A074ED" w14:textId="67672ABD" w:rsidR="248593B6" w:rsidRDefault="248593B6" w:rsidP="7A433B6F">
            <w:pPr>
              <w:keepLines/>
              <w:widowControl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7A433B6F">
              <w:rPr>
                <w:b/>
                <w:bCs/>
                <w:color w:val="000000" w:themeColor="text1"/>
                <w:sz w:val="20"/>
                <w:szCs w:val="20"/>
              </w:rPr>
              <w:t>AUTORES</w:t>
            </w:r>
          </w:p>
        </w:tc>
        <w:tc>
          <w:tcPr>
            <w:tcW w:w="717" w:type="dxa"/>
            <w:vAlign w:val="center"/>
          </w:tcPr>
          <w:p w14:paraId="2320D884" w14:textId="0A16D4E4" w:rsidR="248593B6" w:rsidRDefault="248593B6" w:rsidP="7A433B6F">
            <w:pPr>
              <w:keepLines/>
              <w:widowControl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7A433B6F">
              <w:rPr>
                <w:b/>
                <w:bCs/>
                <w:color w:val="000000" w:themeColor="text1"/>
                <w:sz w:val="20"/>
                <w:szCs w:val="20"/>
              </w:rPr>
              <w:t>ANO</w:t>
            </w:r>
          </w:p>
        </w:tc>
        <w:tc>
          <w:tcPr>
            <w:tcW w:w="3156" w:type="dxa"/>
            <w:vAlign w:val="center"/>
          </w:tcPr>
          <w:p w14:paraId="3A1C07C3" w14:textId="7913B491" w:rsidR="248593B6" w:rsidRDefault="248593B6" w:rsidP="7A433B6F">
            <w:pPr>
              <w:keepLines/>
              <w:widowControl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7A433B6F">
              <w:rPr>
                <w:b/>
                <w:bCs/>
                <w:color w:val="000000" w:themeColor="text1"/>
                <w:sz w:val="20"/>
                <w:szCs w:val="20"/>
              </w:rPr>
              <w:t>OBJETIVOS</w:t>
            </w:r>
          </w:p>
        </w:tc>
        <w:tc>
          <w:tcPr>
            <w:tcW w:w="1812" w:type="dxa"/>
            <w:vAlign w:val="center"/>
          </w:tcPr>
          <w:p w14:paraId="5957298B" w14:textId="1BE668E7" w:rsidR="248593B6" w:rsidRDefault="248593B6" w:rsidP="7A433B6F">
            <w:pPr>
              <w:keepLines/>
              <w:widowControl w:val="0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7A433B6F">
              <w:rPr>
                <w:b/>
                <w:bCs/>
                <w:color w:val="000000" w:themeColor="text1"/>
                <w:sz w:val="20"/>
                <w:szCs w:val="20"/>
              </w:rPr>
              <w:t xml:space="preserve">DESENHO DE ESTUDO </w:t>
            </w:r>
          </w:p>
        </w:tc>
      </w:tr>
      <w:tr w:rsidR="7A433B6F" w14:paraId="6FB788C0" w14:textId="77777777" w:rsidTr="7A433B6F">
        <w:trPr>
          <w:trHeight w:val="300"/>
          <w:jc w:val="center"/>
        </w:trPr>
        <w:tc>
          <w:tcPr>
            <w:tcW w:w="1950" w:type="dxa"/>
            <w:vAlign w:val="center"/>
          </w:tcPr>
          <w:p w14:paraId="067367D5" w14:textId="1DFBB4FD" w:rsidR="1809E2C4" w:rsidRDefault="1809E2C4" w:rsidP="7A433B6F">
            <w:pPr>
              <w:pStyle w:val="Ttulo1"/>
              <w:keepNext w:val="0"/>
              <w:widowControl w:val="0"/>
              <w:shd w:val="clear" w:color="auto" w:fill="FFFFFF" w:themeFill="background1"/>
              <w:spacing w:before="0" w:after="0"/>
              <w:jc w:val="center"/>
              <w:rPr>
                <w:sz w:val="20"/>
                <w:szCs w:val="20"/>
              </w:rPr>
            </w:pPr>
            <w:r w:rsidRPr="7A433B6F">
              <w:rPr>
                <w:b w:val="0"/>
                <w:bCs w:val="0"/>
                <w:color w:val="000000" w:themeColor="text1"/>
                <w:sz w:val="20"/>
                <w:szCs w:val="20"/>
              </w:rPr>
              <w:t>Discurso de ódio e a luta da comunidade LGBTQIAPN+ pelo direito humano de ser</w:t>
            </w:r>
          </w:p>
          <w:p w14:paraId="7FA1F686" w14:textId="006AB3E4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3DAFE2D1" w14:textId="408054AF" w:rsidR="4C1D73B8" w:rsidRDefault="4C1D73B8" w:rsidP="7A433B6F">
            <w:pPr>
              <w:keepLines/>
              <w:widowControl w:val="0"/>
              <w:jc w:val="center"/>
              <w:rPr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ZANDONÁ</w:t>
            </w:r>
          </w:p>
          <w:p w14:paraId="61F5212D" w14:textId="398BF8EC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14:paraId="1BADD785" w14:textId="2AA3B111" w:rsidR="4C1D73B8" w:rsidRDefault="4C1D73B8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156" w:type="dxa"/>
            <w:vAlign w:val="center"/>
          </w:tcPr>
          <w:p w14:paraId="7317CB92" w14:textId="2EB1256B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Compreender o discurso de ódio e seus impactos na comunidade LGBTQIAPN+, analisando a necessidade de limites à liberdade de expressão para proteger a dignidade humana e combater a discriminação.</w:t>
            </w:r>
          </w:p>
          <w:p w14:paraId="06F71A86" w14:textId="7BE11FEE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7CF28C1" w14:textId="7E090E85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Bibliográfico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descritivo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exploratório</w:t>
            </w:r>
            <w:proofErr w:type="spellEnd"/>
          </w:p>
        </w:tc>
      </w:tr>
      <w:tr w:rsidR="7A433B6F" w14:paraId="4C991C18" w14:textId="77777777" w:rsidTr="7A433B6F">
        <w:trPr>
          <w:trHeight w:val="1815"/>
          <w:jc w:val="center"/>
        </w:trPr>
        <w:tc>
          <w:tcPr>
            <w:tcW w:w="1950" w:type="dxa"/>
            <w:vAlign w:val="center"/>
          </w:tcPr>
          <w:p w14:paraId="03EDAE32" w14:textId="6484D7D7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Discurso de ódio contra a comunidade LGBTQIA+ em redes sociais: A criminalização da homofobia e transfobia como racismo social e a responsabilidade civil e digital das plataformas</w:t>
            </w:r>
          </w:p>
        </w:tc>
        <w:tc>
          <w:tcPr>
            <w:tcW w:w="1425" w:type="dxa"/>
            <w:vAlign w:val="center"/>
          </w:tcPr>
          <w:p w14:paraId="6FE90335" w14:textId="59701D8B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FIGUEIREDO</w:t>
            </w:r>
          </w:p>
        </w:tc>
        <w:tc>
          <w:tcPr>
            <w:tcW w:w="717" w:type="dxa"/>
            <w:vAlign w:val="center"/>
          </w:tcPr>
          <w:p w14:paraId="058402D3" w14:textId="51370467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3156" w:type="dxa"/>
            <w:vAlign w:val="center"/>
          </w:tcPr>
          <w:p w14:paraId="5EAC9731" w14:textId="4F73D755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Analisar o discurso de ódio contra a comunidade LGBTQIA+ nas redes sociais, seus limites à liberdade de expressão e a responsabilização por práticas discriminatórias.</w:t>
            </w:r>
          </w:p>
        </w:tc>
        <w:tc>
          <w:tcPr>
            <w:tcW w:w="1812" w:type="dxa"/>
            <w:vAlign w:val="center"/>
          </w:tcPr>
          <w:p w14:paraId="7ECEF120" w14:textId="46E578D3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Pesquisa de natureza qualitativa, de caráter exploratório e baseada em análise bibliográfica/documental</w:t>
            </w:r>
          </w:p>
          <w:p w14:paraId="25D58075" w14:textId="41CBD139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7A433B6F" w14:paraId="7C356854" w14:textId="77777777" w:rsidTr="7A433B6F">
        <w:trPr>
          <w:trHeight w:val="300"/>
          <w:jc w:val="center"/>
        </w:trPr>
        <w:tc>
          <w:tcPr>
            <w:tcW w:w="1950" w:type="dxa"/>
            <w:vAlign w:val="center"/>
          </w:tcPr>
          <w:p w14:paraId="723F46B9" w14:textId="09B66A93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LGBTfobia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: as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raízes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históricas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da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intolerância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seus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efeitos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sobre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acesso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à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saúde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pública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pela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população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LGBT</w:t>
            </w:r>
          </w:p>
          <w:p w14:paraId="5F0040F1" w14:textId="5A83BB1F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511DAEFF" w14:textId="327F9449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PIPINO e PIPINO</w:t>
            </w:r>
          </w:p>
          <w:p w14:paraId="3CCEE664" w14:textId="4015EEE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14:paraId="5D0E8AFA" w14:textId="35D9C8D9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3156" w:type="dxa"/>
            <w:vAlign w:val="center"/>
          </w:tcPr>
          <w:p w14:paraId="65011D24" w14:textId="073E5D33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Analisar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as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raízes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da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LGBTfobia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no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Brasil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seus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impactos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no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direito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à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saúde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da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população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LGBT+.</w:t>
            </w:r>
          </w:p>
          <w:p w14:paraId="34430D5F" w14:textId="71D34253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1DE575FC" w14:textId="27A78316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Pesquisa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bibliográfica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, do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tipo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revisão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literatura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, com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abordagem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qualitativa</w:t>
            </w:r>
            <w:proofErr w:type="spellEnd"/>
          </w:p>
        </w:tc>
      </w:tr>
      <w:tr w:rsidR="7A433B6F" w14:paraId="235385BF" w14:textId="77777777" w:rsidTr="7A433B6F">
        <w:trPr>
          <w:trHeight w:val="300"/>
          <w:jc w:val="center"/>
        </w:trPr>
        <w:tc>
          <w:tcPr>
            <w:tcW w:w="1950" w:type="dxa"/>
            <w:vAlign w:val="center"/>
          </w:tcPr>
          <w:p w14:paraId="1D1D2619" w14:textId="3E8A1D3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Análise temporal do discurso de ódio online e sua correlação com crimes motivados por LGBTfobia</w:t>
            </w:r>
          </w:p>
          <w:p w14:paraId="4FCEDC63" w14:textId="2DC7768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31003FEF" w14:textId="33FEC5A8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CARDOSO e GARCIA</w:t>
            </w:r>
          </w:p>
          <w:p w14:paraId="2903734F" w14:textId="5F565D03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14:paraId="375BF2E4" w14:textId="008FA860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156" w:type="dxa"/>
            <w:vAlign w:val="center"/>
          </w:tcPr>
          <w:p w14:paraId="288863BC" w14:textId="27987DB5" w:rsidR="7A433B6F" w:rsidRDefault="7A433B6F" w:rsidP="7A433B6F">
            <w:pPr>
              <w:pStyle w:val="Standard"/>
              <w:keepLines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7A433B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Investiga a relação temporal e espacial entre</w:t>
            </w:r>
            <w:r w:rsidR="3B5B28DD" w:rsidRPr="7A433B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os</w:t>
            </w:r>
            <w:r w:rsidRPr="7A433B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discurso</w:t>
            </w:r>
            <w:r w:rsidR="1E1BBDCA" w:rsidRPr="7A433B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Pr="7A433B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de ódio nas redes sociais e como esses discursos influencia crimes offline.</w:t>
            </w:r>
          </w:p>
          <w:p w14:paraId="071391A6" w14:textId="7BB9F217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4C5456BE" w14:textId="2D459A87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Estudo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caso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exploratório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quantitativo</w:t>
            </w:r>
            <w:proofErr w:type="spellEnd"/>
          </w:p>
          <w:p w14:paraId="42FE0331" w14:textId="7A64A3FF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7A433B6F" w14:paraId="3CE61638" w14:textId="77777777" w:rsidTr="7A433B6F">
        <w:trPr>
          <w:trHeight w:val="300"/>
          <w:jc w:val="center"/>
        </w:trPr>
        <w:tc>
          <w:tcPr>
            <w:tcW w:w="1950" w:type="dxa"/>
            <w:vAlign w:val="center"/>
          </w:tcPr>
          <w:p w14:paraId="3683B571" w14:textId="2881FE91" w:rsidR="7A433B6F" w:rsidRDefault="7A433B6F" w:rsidP="7A433B6F">
            <w:pPr>
              <w:pStyle w:val="Standard"/>
              <w:keepLines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7A433B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LGBTfobia em Aplicativos de Mensageria Instantânea: Uma Análise por Redes de </w:t>
            </w:r>
            <w:proofErr w:type="spellStart"/>
            <w:r w:rsidRPr="7A433B6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Co-compartilhamento</w:t>
            </w:r>
            <w:proofErr w:type="spellEnd"/>
          </w:p>
          <w:p w14:paraId="3F5638A0" w14:textId="573EA6FC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0A0BB6AF" w14:textId="2E3F3E8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NASCIMENTO, MONTEIRO e MACHADO</w:t>
            </w:r>
          </w:p>
          <w:p w14:paraId="7331716B" w14:textId="475C8C9F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14:paraId="14481095" w14:textId="1DDC7E76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3156" w:type="dxa"/>
            <w:vAlign w:val="center"/>
          </w:tcPr>
          <w:p w14:paraId="7789617B" w14:textId="4A27A949" w:rsidR="7A433B6F" w:rsidRDefault="7A433B6F" w:rsidP="7A433B6F">
            <w:pPr>
              <w:keepLines/>
              <w:widowControl w:val="0"/>
              <w:jc w:val="center"/>
              <w:rPr>
                <w:color w:val="222222"/>
                <w:sz w:val="20"/>
                <w:szCs w:val="20"/>
              </w:rPr>
            </w:pPr>
            <w:r w:rsidRPr="7A433B6F">
              <w:rPr>
                <w:color w:val="222222"/>
                <w:sz w:val="20"/>
                <w:szCs w:val="20"/>
              </w:rPr>
              <w:t>Propor e aplicar um método para modelar, analisar e caracterizar a dinâmica do compartilhamento de mensagem com discursos de ódio contra LGBTQIA+.</w:t>
            </w:r>
          </w:p>
        </w:tc>
        <w:tc>
          <w:tcPr>
            <w:tcW w:w="1812" w:type="dxa"/>
            <w:vAlign w:val="center"/>
          </w:tcPr>
          <w:p w14:paraId="6B4752D4" w14:textId="0BCDA9B2" w:rsidR="7A433B6F" w:rsidRDefault="7A433B6F" w:rsidP="7A433B6F">
            <w:pPr>
              <w:pStyle w:val="Standard"/>
              <w:keepLines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7A433B6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Estudo observacional, quantitativo e exploratório</w:t>
            </w:r>
          </w:p>
          <w:p w14:paraId="2065082E" w14:textId="79E970F5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7A433B6F" w14:paraId="38ACFFB4" w14:textId="77777777" w:rsidTr="7A433B6F">
        <w:trPr>
          <w:trHeight w:val="300"/>
          <w:jc w:val="center"/>
        </w:trPr>
        <w:tc>
          <w:tcPr>
            <w:tcW w:w="1950" w:type="dxa"/>
            <w:vAlign w:val="center"/>
          </w:tcPr>
          <w:p w14:paraId="16AFB745" w14:textId="0B392664" w:rsidR="7A433B6F" w:rsidRDefault="7A433B6F" w:rsidP="7A433B6F">
            <w:pPr>
              <w:keepLines/>
              <w:widowControl w:val="0"/>
              <w:jc w:val="center"/>
              <w:rPr>
                <w:color w:val="222222"/>
                <w:sz w:val="20"/>
                <w:szCs w:val="20"/>
              </w:rPr>
            </w:pPr>
            <w:r w:rsidRPr="7A433B6F">
              <w:rPr>
                <w:color w:val="222222"/>
                <w:sz w:val="20"/>
                <w:szCs w:val="20"/>
              </w:rPr>
              <w:t>Cidadania punitiva desde baixo: a criminalização da LGBTfobia e a democratização</w:t>
            </w:r>
          </w:p>
          <w:p w14:paraId="18FD7733" w14:textId="658EA62A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1977BC6D" w14:textId="6604B58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lastRenderedPageBreak/>
              <w:t>MARTINS</w:t>
            </w:r>
          </w:p>
          <w:p w14:paraId="6AE44238" w14:textId="3171281B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14:paraId="78ADEEC1" w14:textId="32FC3D5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3156" w:type="dxa"/>
            <w:vAlign w:val="center"/>
          </w:tcPr>
          <w:p w14:paraId="34BC2297" w14:textId="71C66507" w:rsidR="7A433B6F" w:rsidRDefault="7A433B6F" w:rsidP="7A433B6F">
            <w:pPr>
              <w:pStyle w:val="Standard"/>
              <w:keepLines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7A433B6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t>Examinar a influência da democracia brasileira, o neoliberalismo e a política criminal.</w:t>
            </w:r>
          </w:p>
          <w:p w14:paraId="01AA4F10" w14:textId="47ACE548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29A88BDE" w14:textId="788F1E28" w:rsidR="7A433B6F" w:rsidRDefault="7A433B6F" w:rsidP="7A433B6F">
            <w:pPr>
              <w:pStyle w:val="Standard"/>
              <w:keepLines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</w:pPr>
            <w:r w:rsidRPr="7A433B6F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</w:rPr>
              <w:lastRenderedPageBreak/>
              <w:t>Estudo qualitativo, documental e teórico-analítico</w:t>
            </w:r>
          </w:p>
          <w:p w14:paraId="682F8F65" w14:textId="599D8C76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7A433B6F" w14:paraId="5FDB597E" w14:textId="77777777" w:rsidTr="7A433B6F">
        <w:trPr>
          <w:trHeight w:val="300"/>
          <w:jc w:val="center"/>
        </w:trPr>
        <w:tc>
          <w:tcPr>
            <w:tcW w:w="1950" w:type="dxa"/>
            <w:vAlign w:val="center"/>
          </w:tcPr>
          <w:p w14:paraId="57945261" w14:textId="5122DB1E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Violência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População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LGBTQIA+: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impacto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na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Saúde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Mental e </w:t>
            </w:r>
            <w:proofErr w:type="gram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proofErr w:type="gram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importância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da Rede de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Atenção</w:t>
            </w:r>
            <w:proofErr w:type="spellEnd"/>
          </w:p>
          <w:p w14:paraId="7AED630F" w14:textId="78334717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</w:tcPr>
          <w:p w14:paraId="455724BC" w14:textId="2FB6CF2F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 xml:space="preserve">MOURA </w:t>
            </w:r>
            <w:r w:rsidRPr="7A433B6F">
              <w:rPr>
                <w:i/>
                <w:iCs/>
                <w:color w:val="000000" w:themeColor="text1"/>
                <w:sz w:val="20"/>
                <w:szCs w:val="20"/>
              </w:rPr>
              <w:t>et al.</w:t>
            </w:r>
          </w:p>
          <w:p w14:paraId="565BDBDF" w14:textId="2D1EE3E6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17" w:type="dxa"/>
            <w:vAlign w:val="center"/>
          </w:tcPr>
          <w:p w14:paraId="230C1749" w14:textId="2C87567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2022</w:t>
            </w:r>
          </w:p>
          <w:p w14:paraId="289B8366" w14:textId="3FDB2AFB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156" w:type="dxa"/>
            <w:vAlign w:val="center"/>
          </w:tcPr>
          <w:p w14:paraId="71DC7F69" w14:textId="373AC4B9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r w:rsidRPr="7A433B6F">
              <w:rPr>
                <w:color w:val="000000" w:themeColor="text1"/>
                <w:sz w:val="20"/>
                <w:szCs w:val="20"/>
              </w:rPr>
              <w:t>Analisar como a violência direcionadas às pessoas LGBTQIA+ pode impactar a saúde mental.</w:t>
            </w:r>
          </w:p>
          <w:p w14:paraId="2B1B43CD" w14:textId="03FF6CF2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vAlign w:val="center"/>
          </w:tcPr>
          <w:p w14:paraId="72092BF5" w14:textId="39DAFE31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Estudo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bibliográfico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natureza</w:t>
            </w:r>
            <w:proofErr w:type="spellEnd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7A433B6F">
              <w:rPr>
                <w:color w:val="000000" w:themeColor="text1"/>
                <w:sz w:val="20"/>
                <w:szCs w:val="20"/>
                <w:lang w:val="en-US"/>
              </w:rPr>
              <w:t>qualitativa</w:t>
            </w:r>
            <w:proofErr w:type="spellEnd"/>
          </w:p>
          <w:p w14:paraId="217403C3" w14:textId="644FA84B" w:rsidR="7A433B6F" w:rsidRDefault="7A433B6F" w:rsidP="7A433B6F">
            <w:pPr>
              <w:keepLines/>
              <w:widowControl w:val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14:paraId="78A09DC9" w14:textId="7E576693" w:rsidR="7A433B6F" w:rsidRDefault="7A433B6F" w:rsidP="7A433B6F">
      <w:pPr>
        <w:spacing w:line="360" w:lineRule="auto"/>
        <w:ind w:firstLine="720"/>
        <w:jc w:val="both"/>
        <w:rPr>
          <w:color w:val="000000" w:themeColor="text1"/>
          <w:sz w:val="24"/>
          <w:szCs w:val="24"/>
        </w:rPr>
      </w:pPr>
    </w:p>
    <w:p w14:paraId="45F377EB" w14:textId="38EDD2DA" w:rsidR="6D5D126A" w:rsidRDefault="6D5D126A" w:rsidP="7A433B6F">
      <w:pPr>
        <w:widowControl w:val="0"/>
        <w:spacing w:line="360" w:lineRule="auto"/>
        <w:ind w:firstLine="720"/>
        <w:jc w:val="both"/>
      </w:pPr>
      <w:r w:rsidRPr="7A433B6F">
        <w:rPr>
          <w:color w:val="000000" w:themeColor="text1"/>
          <w:sz w:val="24"/>
          <w:szCs w:val="24"/>
        </w:rPr>
        <w:t xml:space="preserve">Os estudos analisados também apontam que a LGBTfobia possui dimensão histórica e produz consequências que ultrapassam o ambiente virtual. </w:t>
      </w:r>
      <w:proofErr w:type="spellStart"/>
      <w:r w:rsidRPr="7A433B6F">
        <w:rPr>
          <w:color w:val="000000" w:themeColor="text1"/>
          <w:sz w:val="24"/>
          <w:szCs w:val="24"/>
        </w:rPr>
        <w:t>Pipino</w:t>
      </w:r>
      <w:proofErr w:type="spellEnd"/>
      <w:r w:rsidRPr="7A433B6F">
        <w:rPr>
          <w:color w:val="000000" w:themeColor="text1"/>
          <w:sz w:val="24"/>
          <w:szCs w:val="24"/>
        </w:rPr>
        <w:t xml:space="preserve"> e </w:t>
      </w:r>
      <w:proofErr w:type="spellStart"/>
      <w:r w:rsidRPr="7A433B6F">
        <w:rPr>
          <w:color w:val="000000" w:themeColor="text1"/>
          <w:sz w:val="24"/>
          <w:szCs w:val="24"/>
        </w:rPr>
        <w:t>Pipino</w:t>
      </w:r>
      <w:proofErr w:type="spellEnd"/>
      <w:r w:rsidRPr="7A433B6F">
        <w:rPr>
          <w:color w:val="000000" w:themeColor="text1"/>
          <w:sz w:val="24"/>
          <w:szCs w:val="24"/>
        </w:rPr>
        <w:t xml:space="preserve"> (2019) relacionam as raízes históricas da LGBTfobia aos impactos sobre o acesso da população LGBT à saúde pública, enquanto Moura et al. (2022) analisam os impactos da violência direcionada à população LGBTQIA+ sobre a saúde mental. No material analisado, essas consequências são relacionadas à ocorrência de episódios de ansiedade, depressão severa e ideação suicida, evidenciando que a violência contra essa população pode repercutir diretamente sobre sua integridade e qualidade de vida.</w:t>
      </w:r>
    </w:p>
    <w:p w14:paraId="7C6165AE" w14:textId="07E464DC" w:rsidR="6D5D126A" w:rsidRDefault="6D5D126A" w:rsidP="7A433B6F">
      <w:pPr>
        <w:widowControl w:val="0"/>
        <w:spacing w:line="360" w:lineRule="auto"/>
        <w:ind w:firstLine="720"/>
        <w:jc w:val="both"/>
      </w:pPr>
      <w:r w:rsidRPr="7A433B6F">
        <w:rPr>
          <w:color w:val="000000" w:themeColor="text1"/>
          <w:sz w:val="24"/>
          <w:szCs w:val="24"/>
        </w:rPr>
        <w:t>No ambiente digital, Cardoso e Garcia (2026) investigam a relação temporal e espacial entre o discurso de ódio nas redes sociais e crimes motivados por LGBTfobia, enquanto Nascimento, Monteiro e Machado (2026) analisam a dinâmica de compartilhamento de mensagens contendo discursos de ódio contra a população LGBTQIA+. A introdução do estudo destaca, ainda, a existência de mais de 1,4 milhão de mensagens válidas analisadas por Nascimento, Monteiro e Machado (2026), bem como a dificuldade de mecanismos algorítmicos tradicionais em identificar manifestações discriminatórias que utilizam narrativas capazes de contornar filtros baseados exclusivamente em palavras ofensivas.</w:t>
      </w:r>
    </w:p>
    <w:p w14:paraId="2EF589B2" w14:textId="0F04AAE0" w:rsidR="6D5D126A" w:rsidRDefault="6D5D126A" w:rsidP="7A433B6F">
      <w:pPr>
        <w:widowControl w:val="0"/>
        <w:spacing w:line="360" w:lineRule="auto"/>
        <w:ind w:firstLine="720"/>
        <w:jc w:val="both"/>
      </w:pPr>
      <w:r w:rsidRPr="7A433B6F">
        <w:rPr>
          <w:color w:val="000000" w:themeColor="text1"/>
          <w:sz w:val="24"/>
          <w:szCs w:val="24"/>
        </w:rPr>
        <w:t>A análise também evidencia a dimensão jurídica e política da problemática. O estudo de Martins (2021) examina a criminalização da LGBTfobia a partir das relações entre democracia brasileira, neoliberalismo e política criminal. Em conjunto com os demais estudos, os resultados indicam que o enfrentamento da discriminação contra a população LGBTQIA+ envolve não apenas a identificação das manifestações de ódio, mas também a discussão sobre os limites da liberdade de expressão, a proteção da dignidade humana e dos demais direitos fundamentais e a necessidade de mecanismos capazes de enfrentar a propagação de conteúdos discriminatórios no ambiente digital.</w:t>
      </w:r>
    </w:p>
    <w:p w14:paraId="75CC4F93" w14:textId="7DEC1502" w:rsidR="7A433B6F" w:rsidRDefault="7A433B6F" w:rsidP="7A433B6F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038798B2" w14:textId="77777777" w:rsidR="009C2E72" w:rsidRDefault="3B80DE58">
      <w:pPr>
        <w:spacing w:line="360" w:lineRule="auto"/>
        <w:rPr>
          <w:b/>
          <w:bCs/>
          <w:sz w:val="24"/>
          <w:szCs w:val="24"/>
        </w:rPr>
      </w:pPr>
      <w:r w:rsidRPr="7A433B6F">
        <w:rPr>
          <w:b/>
          <w:bCs/>
          <w:sz w:val="24"/>
          <w:szCs w:val="24"/>
        </w:rPr>
        <w:lastRenderedPageBreak/>
        <w:t>5 CONSIDERAÇÕES FINAIS</w:t>
      </w:r>
    </w:p>
    <w:p w14:paraId="31C74699" w14:textId="77777777" w:rsidR="00597577" w:rsidRDefault="00597577">
      <w:pPr>
        <w:spacing w:line="360" w:lineRule="auto"/>
      </w:pPr>
    </w:p>
    <w:p w14:paraId="4FAE9DCA" w14:textId="72C717D1" w:rsidR="009C2E72" w:rsidRDefault="538C4500" w:rsidP="7A433B6F">
      <w:pPr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>A análise da literatura permitiu compreender que o discurso de ódio direcionado à população LGBTQIA+ constitui uma problemática que ultrapassa o ambiente virtual e se relaciona à violação de direitos fundamentais, à discriminação e aos impactos sobre a integridade e a saúde mental dessa população. Os estudos analisados demonstram que as redes sociais ampliam a circulação de manifestações discriminatórias, favorecidas pela rapidez da comunicação e pelas dificuldades de identificação de determinados conteúdos pelos mecanismos tradicionais de fiscalização.</w:t>
      </w:r>
    </w:p>
    <w:p w14:paraId="7674203E" w14:textId="0FF0828B" w:rsidR="009C2E72" w:rsidRDefault="538C4500" w:rsidP="7A433B6F">
      <w:pPr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>Nesse contexto, a liberdade de expressão não pode ser analisada de forma isolada diante de manifestações que promovem hostilidade, discriminação ou violência contra pessoas LGBTQIA+. A literatura analisada evidencia a importância de considerar os limites constitucionais da liberdade de expressão em conjunto com a proteção da dignidade humana e dos demais direitos fundamentais, especialmente diante da utilização do ambiente digital para a disseminação de discursos discriminatórios.</w:t>
      </w:r>
    </w:p>
    <w:p w14:paraId="2E25E458" w14:textId="10A0ED5C" w:rsidR="009C2E72" w:rsidRDefault="538C4500" w:rsidP="7A433B6F">
      <w:pPr>
        <w:spacing w:line="360" w:lineRule="auto"/>
        <w:ind w:firstLine="720"/>
        <w:jc w:val="both"/>
        <w:rPr>
          <w:sz w:val="24"/>
          <w:szCs w:val="24"/>
        </w:rPr>
      </w:pPr>
      <w:r w:rsidRPr="7A433B6F">
        <w:rPr>
          <w:sz w:val="24"/>
          <w:szCs w:val="24"/>
        </w:rPr>
        <w:t>Os estudos também demonstram que a LGBTfobia possui raízes históricas e produz consequências que podem alcançar diferentes dimensões da vida da população LGBTQIA+, incluindo a saúde mental e a própria segurança das vítimas. Além disso, a relação identificada entre manifestações de ódio no ambiente digital e possíveis repercussões fora dele reforça a necessidade de ampliar o debate sobre a responsabilidade no uso das redes sociais e sobre os mecanismos de enfrentamento da discriminação.</w:t>
      </w:r>
    </w:p>
    <w:p w14:paraId="03F99D3D" w14:textId="3E734B5B" w:rsidR="009C2E72" w:rsidRDefault="538C4500" w:rsidP="7A433B6F">
      <w:pPr>
        <w:spacing w:line="360" w:lineRule="auto"/>
        <w:ind w:firstLine="720"/>
        <w:jc w:val="both"/>
      </w:pPr>
      <w:r w:rsidRPr="7A433B6F">
        <w:rPr>
          <w:sz w:val="24"/>
          <w:szCs w:val="24"/>
        </w:rPr>
        <w:t>Dessa forma, os achados da revisão apontam para a necessidade de fortalecer o debate jurídico e social acerca da proteção da população LGBTQIA+ no ambiente digital, buscando conciliar a liberdade de expressão com a preservação da dignidade humana e o enfrentamento de práticas discriminatórias. O tema permanece relevante diante da expansão das redes sociais e da necessidade de mecanismos mais eficazes para combater manifestações de ódio e proteger os direitos fundamentais dessa população.</w:t>
      </w:r>
    </w:p>
    <w:p w14:paraId="6023B698" w14:textId="21D083FE" w:rsidR="7A433B6F" w:rsidRDefault="7A433B6F" w:rsidP="7A433B6F">
      <w:pPr>
        <w:spacing w:line="360" w:lineRule="auto"/>
        <w:ind w:firstLine="720"/>
        <w:jc w:val="both"/>
        <w:rPr>
          <w:sz w:val="24"/>
          <w:szCs w:val="24"/>
        </w:rPr>
      </w:pPr>
    </w:p>
    <w:p w14:paraId="1A11E5F5" w14:textId="77777777" w:rsidR="009C2E72" w:rsidRDefault="3B80DE58" w:rsidP="7A433B6F">
      <w:pPr>
        <w:jc w:val="center"/>
        <w:rPr>
          <w:b/>
          <w:bCs/>
          <w:sz w:val="24"/>
          <w:szCs w:val="24"/>
        </w:rPr>
      </w:pPr>
      <w:r w:rsidRPr="7A433B6F">
        <w:rPr>
          <w:b/>
          <w:bCs/>
          <w:sz w:val="24"/>
          <w:szCs w:val="24"/>
        </w:rPr>
        <w:t>REFERÊNCIAS</w:t>
      </w:r>
    </w:p>
    <w:p w14:paraId="34B06312" w14:textId="77777777" w:rsidR="00597577" w:rsidRDefault="00597577" w:rsidP="7A433B6F">
      <w:pPr>
        <w:jc w:val="center"/>
        <w:rPr>
          <w:b/>
          <w:bCs/>
          <w:sz w:val="24"/>
          <w:szCs w:val="24"/>
        </w:rPr>
      </w:pPr>
    </w:p>
    <w:p w14:paraId="60E2F197" w14:textId="01003806" w:rsidR="7C089B9B" w:rsidRDefault="7C089B9B" w:rsidP="7A433B6F">
      <w:r w:rsidRPr="7A433B6F">
        <w:rPr>
          <w:sz w:val="24"/>
          <w:szCs w:val="24"/>
        </w:rPr>
        <w:t xml:space="preserve">CARDOSO, Thaynara Alexandre; GARCIA, Ana Cristina </w:t>
      </w:r>
      <w:proofErr w:type="spellStart"/>
      <w:r w:rsidRPr="7A433B6F">
        <w:rPr>
          <w:sz w:val="24"/>
          <w:szCs w:val="24"/>
        </w:rPr>
        <w:t>Bicharra</w:t>
      </w:r>
      <w:proofErr w:type="spellEnd"/>
      <w:r w:rsidRPr="7A433B6F">
        <w:rPr>
          <w:sz w:val="24"/>
          <w:szCs w:val="24"/>
        </w:rPr>
        <w:t xml:space="preserve">. Análise temporal do discurso de ódio online e sua correlação com crimes motivados por LGBTfobia. In: </w:t>
      </w:r>
      <w:r w:rsidRPr="7A433B6F">
        <w:rPr>
          <w:sz w:val="24"/>
          <w:szCs w:val="24"/>
        </w:rPr>
        <w:lastRenderedPageBreak/>
        <w:t xml:space="preserve">DESENHO DE PESQUISA - SIMPÓSIO BRASILEIRO DE SISTEMAS COLABORATIVOS (SBSC), 21., 2026, Porto Alegre/RS. </w:t>
      </w:r>
      <w:r w:rsidRPr="7A433B6F">
        <w:rPr>
          <w:b/>
          <w:bCs/>
          <w:sz w:val="24"/>
          <w:szCs w:val="24"/>
        </w:rPr>
        <w:t>Anais [...]</w:t>
      </w:r>
      <w:r w:rsidRPr="7A433B6F">
        <w:rPr>
          <w:sz w:val="24"/>
          <w:szCs w:val="24"/>
        </w:rPr>
        <w:t xml:space="preserve">. Porto Alegre: Sociedade Brasileira de Computação, 2026. p. 11-16. DOI: https://doi.org/10.5753/sbsc_estendido.2026.20077. </w:t>
      </w:r>
    </w:p>
    <w:p w14:paraId="2A4072EB" w14:textId="0C4E266E" w:rsidR="7A433B6F" w:rsidRDefault="7A433B6F" w:rsidP="7A433B6F">
      <w:pPr>
        <w:rPr>
          <w:sz w:val="24"/>
          <w:szCs w:val="24"/>
        </w:rPr>
      </w:pPr>
    </w:p>
    <w:p w14:paraId="496FDF94" w14:textId="7950CA9B" w:rsidR="20DC60F7" w:rsidRDefault="20DC60F7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FERREIRA PIPINO, M. V.; FERREIRA PIPINO, M. B. LGBTFOBIA: as raízes históricas da intolerância e seus efeitos sobre o acesso à saúde pública pela população LGBT. Revista </w:t>
      </w:r>
      <w:proofErr w:type="spellStart"/>
      <w:r w:rsidRPr="7A433B6F">
        <w:rPr>
          <w:sz w:val="24"/>
          <w:szCs w:val="24"/>
        </w:rPr>
        <w:t>Remecs</w:t>
      </w:r>
      <w:proofErr w:type="spellEnd"/>
      <w:r w:rsidRPr="7A433B6F">
        <w:rPr>
          <w:sz w:val="24"/>
          <w:szCs w:val="24"/>
        </w:rPr>
        <w:t xml:space="preserve"> - </w:t>
      </w:r>
      <w:r w:rsidRPr="7A433B6F">
        <w:rPr>
          <w:b/>
          <w:bCs/>
          <w:sz w:val="24"/>
          <w:szCs w:val="24"/>
        </w:rPr>
        <w:t>Revista Multidisciplinar de Estudos Científicos em Saúde</w:t>
      </w:r>
      <w:r w:rsidRPr="7A433B6F">
        <w:rPr>
          <w:sz w:val="24"/>
          <w:szCs w:val="24"/>
        </w:rPr>
        <w:t>, [S. l.], p. 22-23, 2019. DOI: 10.24281/rremecs.2018.09.15.saspnufu1.22.23. Disponível em: https://www.revistaremecs.com.br/index.php/remecs/article/view/140. Acesso em: 19 ago. 2026.</w:t>
      </w:r>
    </w:p>
    <w:p w14:paraId="3440EF7A" w14:textId="4466CA9E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 </w:t>
      </w:r>
    </w:p>
    <w:p w14:paraId="2FE41807" w14:textId="63060E71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FIGUEIREDO, </w:t>
      </w:r>
      <w:proofErr w:type="spellStart"/>
      <w:r w:rsidRPr="7A433B6F">
        <w:rPr>
          <w:sz w:val="24"/>
          <w:szCs w:val="24"/>
        </w:rPr>
        <w:t>Tarciano</w:t>
      </w:r>
      <w:proofErr w:type="spellEnd"/>
      <w:r w:rsidRPr="7A433B6F">
        <w:rPr>
          <w:sz w:val="24"/>
          <w:szCs w:val="24"/>
        </w:rPr>
        <w:t>. Discurso de ódio contra a comunidade LGBTQIA+ em redes sociais: a criminalização da homofobia e transfobia como racismo social e a responsabilidade civil e digital das plataformas.</w:t>
      </w:r>
      <w:r w:rsidRPr="7A433B6F">
        <w:rPr>
          <w:b/>
          <w:bCs/>
          <w:sz w:val="24"/>
          <w:szCs w:val="24"/>
        </w:rPr>
        <w:t xml:space="preserve"> </w:t>
      </w:r>
      <w:proofErr w:type="spellStart"/>
      <w:r w:rsidRPr="7A433B6F">
        <w:rPr>
          <w:b/>
          <w:bCs/>
          <w:sz w:val="24"/>
          <w:szCs w:val="24"/>
        </w:rPr>
        <w:t>Jusbrasil</w:t>
      </w:r>
      <w:proofErr w:type="spellEnd"/>
      <w:r w:rsidR="1E13722F" w:rsidRPr="7A433B6F">
        <w:rPr>
          <w:sz w:val="24"/>
          <w:szCs w:val="24"/>
        </w:rPr>
        <w:t>,</w:t>
      </w:r>
      <w:r w:rsidRPr="7A433B6F">
        <w:rPr>
          <w:sz w:val="24"/>
          <w:szCs w:val="24"/>
        </w:rPr>
        <w:t xml:space="preserve"> 20 nov. 2025. Disponível em: https://www.jusbrasil.com.br/artigos/discurso-de-odio-contra-a-comunidade-lgbtqia-em-redes-sociais-a-criminalizacao-da-homofobia-e-transfobia-como-racismo-social-e-a-responsabilidade-civil-e-digital-das-plataformas/5310615333. Acesso em: 19 ago. 2026. </w:t>
      </w:r>
    </w:p>
    <w:p w14:paraId="66E400D6" w14:textId="7CEF6FDF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 </w:t>
      </w:r>
    </w:p>
    <w:p w14:paraId="64F5B363" w14:textId="06F835BE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>LIMA, T. C. S. de; MIOTO, R. C. T. Procedimentos metodológicos na construção do conhecimento científico: a pesquisa bibliográfica.</w:t>
      </w:r>
      <w:r w:rsidRPr="7A433B6F">
        <w:rPr>
          <w:b/>
          <w:bCs/>
          <w:sz w:val="24"/>
          <w:szCs w:val="24"/>
        </w:rPr>
        <w:t xml:space="preserve"> Revista </w:t>
      </w:r>
      <w:proofErr w:type="spellStart"/>
      <w:r w:rsidRPr="7A433B6F">
        <w:rPr>
          <w:b/>
          <w:bCs/>
          <w:sz w:val="24"/>
          <w:szCs w:val="24"/>
        </w:rPr>
        <w:t>Katálysi</w:t>
      </w:r>
      <w:r w:rsidR="62E3F08A" w:rsidRPr="7A433B6F">
        <w:rPr>
          <w:b/>
          <w:bCs/>
          <w:sz w:val="24"/>
          <w:szCs w:val="24"/>
        </w:rPr>
        <w:t>s</w:t>
      </w:r>
      <w:proofErr w:type="spellEnd"/>
      <w:r w:rsidRPr="7A433B6F">
        <w:rPr>
          <w:sz w:val="24"/>
          <w:szCs w:val="24"/>
        </w:rPr>
        <w:t xml:space="preserve">, Florianópolis, v. 10, n. esp., p. 37-45, 2007. Disponível em: SciELO. Acesso em: 25 ago. 2026. </w:t>
      </w:r>
    </w:p>
    <w:p w14:paraId="16063EC5" w14:textId="1861E9FC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 </w:t>
      </w:r>
    </w:p>
    <w:p w14:paraId="0EECC23E" w14:textId="742A1894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MOURA, Luiz Wescley </w:t>
      </w:r>
      <w:proofErr w:type="spellStart"/>
      <w:r w:rsidRPr="7A433B6F">
        <w:rPr>
          <w:sz w:val="24"/>
          <w:szCs w:val="24"/>
        </w:rPr>
        <w:t>Fontelene</w:t>
      </w:r>
      <w:proofErr w:type="spellEnd"/>
      <w:r w:rsidRPr="7A433B6F">
        <w:rPr>
          <w:sz w:val="24"/>
          <w:szCs w:val="24"/>
        </w:rPr>
        <w:t xml:space="preserve"> et al. Violência e População LGBTQIA+: Impacto na Saúde Mental e a importância da Rede de Atenção</w:t>
      </w:r>
      <w:r w:rsidRPr="7A433B6F">
        <w:rPr>
          <w:b/>
          <w:bCs/>
          <w:sz w:val="24"/>
          <w:szCs w:val="24"/>
        </w:rPr>
        <w:t xml:space="preserve">. </w:t>
      </w:r>
      <w:proofErr w:type="spellStart"/>
      <w:r w:rsidRPr="7A433B6F">
        <w:rPr>
          <w:b/>
          <w:bCs/>
          <w:sz w:val="24"/>
          <w:szCs w:val="24"/>
        </w:rPr>
        <w:t>Research</w:t>
      </w:r>
      <w:proofErr w:type="spellEnd"/>
      <w:r w:rsidRPr="7A433B6F">
        <w:rPr>
          <w:b/>
          <w:bCs/>
          <w:sz w:val="24"/>
          <w:szCs w:val="24"/>
        </w:rPr>
        <w:t xml:space="preserve">, Society and </w:t>
      </w:r>
      <w:proofErr w:type="spellStart"/>
      <w:r w:rsidRPr="7A433B6F">
        <w:rPr>
          <w:b/>
          <w:bCs/>
          <w:sz w:val="24"/>
          <w:szCs w:val="24"/>
        </w:rPr>
        <w:t>Development</w:t>
      </w:r>
      <w:proofErr w:type="spellEnd"/>
      <w:r w:rsidRPr="7A433B6F">
        <w:rPr>
          <w:sz w:val="24"/>
          <w:szCs w:val="24"/>
        </w:rPr>
        <w:t xml:space="preserve">, v. 11, n. 9, p. e0211931369-e0211931369, 2022. </w:t>
      </w:r>
    </w:p>
    <w:p w14:paraId="17A952FD" w14:textId="5A7F9418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 </w:t>
      </w:r>
    </w:p>
    <w:p w14:paraId="0B7D178D" w14:textId="12ADAE77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NASCIMENTO, Fernanda Ferreira do; MONTEIRO, José Maria; MACHADO, </w:t>
      </w:r>
      <w:proofErr w:type="spellStart"/>
      <w:r w:rsidRPr="7A433B6F">
        <w:rPr>
          <w:sz w:val="24"/>
          <w:szCs w:val="24"/>
        </w:rPr>
        <w:t>Javam</w:t>
      </w:r>
      <w:proofErr w:type="spellEnd"/>
      <w:r w:rsidRPr="7A433B6F">
        <w:rPr>
          <w:sz w:val="24"/>
          <w:szCs w:val="24"/>
        </w:rPr>
        <w:t xml:space="preserve">. LGBTfobia em Aplicativos de Mensageria Instantânea: Uma Análise por Redes de </w:t>
      </w:r>
      <w:proofErr w:type="spellStart"/>
      <w:r w:rsidRPr="7A433B6F">
        <w:rPr>
          <w:sz w:val="24"/>
          <w:szCs w:val="24"/>
        </w:rPr>
        <w:t>Co-compartilhamento</w:t>
      </w:r>
      <w:proofErr w:type="spellEnd"/>
      <w:r w:rsidRPr="7A433B6F">
        <w:rPr>
          <w:sz w:val="24"/>
          <w:szCs w:val="24"/>
        </w:rPr>
        <w:t>. In: SIMPÓSIO BRASILEIRO DE BANCO DE DADOS (SBBD), 41., 2026, São Carlos/SP</w:t>
      </w:r>
      <w:r w:rsidR="5494D0E0" w:rsidRPr="7A433B6F">
        <w:rPr>
          <w:sz w:val="24"/>
          <w:szCs w:val="24"/>
        </w:rPr>
        <w:t>.</w:t>
      </w:r>
      <w:r w:rsidRPr="7A433B6F">
        <w:rPr>
          <w:b/>
          <w:bCs/>
          <w:sz w:val="24"/>
          <w:szCs w:val="24"/>
        </w:rPr>
        <w:t xml:space="preserve"> Anais [...]</w:t>
      </w:r>
      <w:r w:rsidRPr="7A433B6F">
        <w:rPr>
          <w:sz w:val="24"/>
          <w:szCs w:val="24"/>
        </w:rPr>
        <w:t xml:space="preserve">. Porto Alegre: Sociedade Brasileira de Computação, 2026. p. 289-302. ISSN 2763-8979. DOI: https://doi.org/10.5753/sbbd.2026.249212. </w:t>
      </w:r>
    </w:p>
    <w:p w14:paraId="4439D7D9" w14:textId="476F710E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 </w:t>
      </w:r>
    </w:p>
    <w:p w14:paraId="1398F7AF" w14:textId="4AE197AE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NOGUEIRA MARTINS, Alexandre. Cidadania punitiva desde baixo: a criminalização da </w:t>
      </w:r>
      <w:proofErr w:type="spellStart"/>
      <w:r w:rsidRPr="7A433B6F">
        <w:rPr>
          <w:sz w:val="24"/>
          <w:szCs w:val="24"/>
        </w:rPr>
        <w:t>Lgbtfobia</w:t>
      </w:r>
      <w:proofErr w:type="spellEnd"/>
      <w:r w:rsidRPr="7A433B6F">
        <w:rPr>
          <w:sz w:val="24"/>
          <w:szCs w:val="24"/>
        </w:rPr>
        <w:t xml:space="preserve"> e a democratização neoliberal no Brasil. </w:t>
      </w:r>
      <w:r w:rsidRPr="7A433B6F">
        <w:rPr>
          <w:b/>
          <w:bCs/>
          <w:sz w:val="24"/>
          <w:szCs w:val="24"/>
        </w:rPr>
        <w:t>Cadernos Gestão Pública e Cidadania</w:t>
      </w:r>
      <w:r w:rsidRPr="7A433B6F">
        <w:rPr>
          <w:sz w:val="24"/>
          <w:szCs w:val="24"/>
        </w:rPr>
        <w:t xml:space="preserve">, São Paulo, v. 26, n. 85, 2021. DOI: 10.12660/cgpc.v26n85.83205. Disponível em: https://periodicos.fgv.br/cgpc/article/view/83205. Acesso em: 20 ago. 2026. </w:t>
      </w:r>
    </w:p>
    <w:p w14:paraId="0B8C4855" w14:textId="61750905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 </w:t>
      </w:r>
    </w:p>
    <w:p w14:paraId="521638E1" w14:textId="1B002A7D" w:rsidR="7C089B9B" w:rsidRDefault="7C089B9B" w:rsidP="7A433B6F">
      <w:r w:rsidRPr="7A433B6F">
        <w:rPr>
          <w:sz w:val="24"/>
          <w:szCs w:val="24"/>
        </w:rPr>
        <w:t>SUPREMO TRIBUNAL FEDERAL.</w:t>
      </w:r>
      <w:r w:rsidRPr="7A433B6F">
        <w:rPr>
          <w:b/>
          <w:bCs/>
          <w:sz w:val="24"/>
          <w:szCs w:val="24"/>
        </w:rPr>
        <w:t xml:space="preserve"> Ação Direta de Inconstitucionalidade por Omissão nº 26/DF</w:t>
      </w:r>
      <w:r w:rsidRPr="7A433B6F">
        <w:rPr>
          <w:sz w:val="24"/>
          <w:szCs w:val="24"/>
        </w:rPr>
        <w:t xml:space="preserve">. Relator: Min. Celso de Mello. Julgado em: 13 jun. 2019. Disponível em: http://stf.jus.br. Acesso em: 25 ago. 2026. </w:t>
      </w:r>
    </w:p>
    <w:p w14:paraId="12E862E6" w14:textId="46377C6C" w:rsidR="7A433B6F" w:rsidRDefault="7A433B6F" w:rsidP="7A433B6F">
      <w:pPr>
        <w:rPr>
          <w:sz w:val="24"/>
          <w:szCs w:val="24"/>
        </w:rPr>
      </w:pPr>
    </w:p>
    <w:p w14:paraId="2D7353A1" w14:textId="674546DF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SUPREMO TRIBUNAL FEDERAL. </w:t>
      </w:r>
      <w:r w:rsidRPr="7A433B6F">
        <w:rPr>
          <w:b/>
          <w:bCs/>
          <w:sz w:val="24"/>
          <w:szCs w:val="24"/>
        </w:rPr>
        <w:t>Mandado de Injunção nº 4.733/DF</w:t>
      </w:r>
      <w:r w:rsidRPr="7A433B6F">
        <w:rPr>
          <w:sz w:val="24"/>
          <w:szCs w:val="24"/>
        </w:rPr>
        <w:t xml:space="preserve">. Relator: Min. Edson Fachin. Acórdão publicado em: 21 ago. 2023. Disponível em: http://stf.jus.br. Acesso em: 25 ago. 2026. </w:t>
      </w:r>
    </w:p>
    <w:p w14:paraId="2B5A259D" w14:textId="7BB65003" w:rsidR="7C089B9B" w:rsidRDefault="7C089B9B" w:rsidP="7A433B6F">
      <w:pPr>
        <w:rPr>
          <w:sz w:val="24"/>
          <w:szCs w:val="24"/>
        </w:rPr>
      </w:pPr>
      <w:r w:rsidRPr="7A433B6F">
        <w:rPr>
          <w:sz w:val="24"/>
          <w:szCs w:val="24"/>
        </w:rPr>
        <w:t xml:space="preserve"> </w:t>
      </w:r>
    </w:p>
    <w:p w14:paraId="5EDAA217" w14:textId="2A66EC62" w:rsidR="009C2E72" w:rsidRDefault="042AB297" w:rsidP="7A433B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  <w:lang w:val="en-US"/>
        </w:rPr>
      </w:pPr>
      <w:r w:rsidRPr="7A433B6F">
        <w:rPr>
          <w:color w:val="000000" w:themeColor="text1"/>
          <w:sz w:val="24"/>
          <w:szCs w:val="24"/>
          <w:lang w:val="en-US"/>
        </w:rPr>
        <w:lastRenderedPageBreak/>
        <w:t>ZANDONÁ, Gabriela Trentin. Hate speech and the LGBTQIAPN+ community’s fight for the human right to be.</w:t>
      </w:r>
      <w:r w:rsidRPr="7A433B6F">
        <w:rPr>
          <w:b/>
          <w:bCs/>
          <w:color w:val="000000" w:themeColor="text1"/>
          <w:sz w:val="24"/>
          <w:szCs w:val="24"/>
          <w:lang w:val="en-US"/>
        </w:rPr>
        <w:t xml:space="preserve"> Seven Editora</w:t>
      </w:r>
      <w:r w:rsidRPr="7A433B6F">
        <w:rPr>
          <w:color w:val="000000" w:themeColor="text1"/>
          <w:sz w:val="24"/>
          <w:szCs w:val="24"/>
          <w:lang w:val="en-US"/>
        </w:rPr>
        <w:t xml:space="preserve">, [S. l.], p. 841-854, 2026. </w:t>
      </w:r>
      <w:proofErr w:type="spellStart"/>
      <w:r w:rsidRPr="7A433B6F">
        <w:rPr>
          <w:color w:val="000000" w:themeColor="text1"/>
          <w:sz w:val="24"/>
          <w:szCs w:val="24"/>
          <w:lang w:val="en-US"/>
        </w:rPr>
        <w:t>Disponível</w:t>
      </w:r>
      <w:proofErr w:type="spellEnd"/>
      <w:r w:rsidRPr="7A433B6F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A433B6F">
        <w:rPr>
          <w:color w:val="000000" w:themeColor="text1"/>
          <w:sz w:val="24"/>
          <w:szCs w:val="24"/>
          <w:lang w:val="en-US"/>
        </w:rPr>
        <w:t>em</w:t>
      </w:r>
      <w:proofErr w:type="spellEnd"/>
      <w:r w:rsidRPr="7A433B6F">
        <w:rPr>
          <w:color w:val="000000" w:themeColor="text1"/>
          <w:sz w:val="24"/>
          <w:szCs w:val="24"/>
          <w:lang w:val="en-US"/>
        </w:rPr>
        <w:t xml:space="preserve">: https://sevenpubl.com.br/editora/article/view/9091. </w:t>
      </w:r>
      <w:proofErr w:type="spellStart"/>
      <w:r w:rsidRPr="7A433B6F">
        <w:rPr>
          <w:color w:val="000000" w:themeColor="text1"/>
          <w:sz w:val="24"/>
          <w:szCs w:val="24"/>
          <w:lang w:val="en-US"/>
        </w:rPr>
        <w:t>Acesso</w:t>
      </w:r>
      <w:proofErr w:type="spellEnd"/>
      <w:r w:rsidRPr="7A433B6F">
        <w:rPr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7A433B6F">
        <w:rPr>
          <w:color w:val="000000" w:themeColor="text1"/>
          <w:sz w:val="24"/>
          <w:szCs w:val="24"/>
          <w:lang w:val="en-US"/>
        </w:rPr>
        <w:t>em</w:t>
      </w:r>
      <w:proofErr w:type="spellEnd"/>
      <w:r w:rsidRPr="7A433B6F">
        <w:rPr>
          <w:color w:val="000000" w:themeColor="text1"/>
          <w:sz w:val="24"/>
          <w:szCs w:val="24"/>
          <w:lang w:val="en-US"/>
        </w:rPr>
        <w:t>: 19 ago. 2026.</w:t>
      </w:r>
    </w:p>
    <w:p w14:paraId="0489352F" w14:textId="77777777" w:rsidR="009C2E72" w:rsidRDefault="009C2E72" w:rsidP="7A433B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1ECA03F9" w14:textId="77777777" w:rsidR="009C2E72" w:rsidRDefault="009C2E72" w:rsidP="7A433B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47072E44" w14:textId="77777777" w:rsidR="009C2E72" w:rsidRDefault="009C2E72" w:rsidP="7A433B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/>
          <w:sz w:val="24"/>
          <w:szCs w:val="24"/>
        </w:rPr>
      </w:pPr>
    </w:p>
    <w:p w14:paraId="7986B320" w14:textId="7FE16607" w:rsidR="009C2E72" w:rsidRDefault="009C2E72" w:rsidP="7A433B6F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rStyle w:val="Refdenotaderodap"/>
          <w:color w:val="000000"/>
          <w:sz w:val="24"/>
          <w:szCs w:val="24"/>
        </w:rPr>
      </w:pPr>
    </w:p>
    <w:sectPr w:rsidR="009C2E72" w:rsidSect="007E29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40"/>
      <w:pgMar w:top="2552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09645" w14:textId="77777777" w:rsidR="00A06E9B" w:rsidRDefault="00A06E9B">
      <w:r>
        <w:separator/>
      </w:r>
    </w:p>
  </w:endnote>
  <w:endnote w:type="continuationSeparator" w:id="0">
    <w:p w14:paraId="7AE48EAF" w14:textId="77777777" w:rsidR="00A06E9B" w:rsidRDefault="00A06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F9E7D4E-128B-4F80-AA88-C712E96A079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B352CEE7-80F5-4A86-B581-7EBA92D5BB6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4B2E00D-7A39-4CB4-82E2-6AA7F1FA224F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54E332C-8877-4B41-9A3E-C55E3CB1971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8E39" w14:textId="77777777" w:rsidR="007E299D" w:rsidRDefault="007E299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09ADB" w14:textId="77777777" w:rsidR="009C2E72" w:rsidRDefault="00941C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780B759B" wp14:editId="6AABB9C9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418B44" w14:textId="77777777" w:rsidR="009C2E72" w:rsidRDefault="009C2E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6888306" w14:textId="77777777" w:rsidR="009C2E72" w:rsidRDefault="009C2E7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B8ED3" w14:textId="77777777" w:rsidR="007E299D" w:rsidRDefault="007E299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32748" w14:textId="77777777" w:rsidR="00A06E9B" w:rsidRDefault="00A06E9B">
      <w:r>
        <w:separator/>
      </w:r>
    </w:p>
  </w:footnote>
  <w:footnote w:type="continuationSeparator" w:id="0">
    <w:p w14:paraId="52191101" w14:textId="77777777" w:rsidR="00A06E9B" w:rsidRDefault="00A06E9B">
      <w:r>
        <w:continuationSeparator/>
      </w:r>
    </w:p>
  </w:footnote>
  <w:footnote w:id="1">
    <w:p w14:paraId="52C12B9D" w14:textId="38BAECEF" w:rsidR="7A433B6F" w:rsidRDefault="7A433B6F" w:rsidP="7A433B6F">
      <w:pPr>
        <w:pStyle w:val="Textodenotaderodap"/>
      </w:pPr>
      <w:r w:rsidRPr="7A433B6F">
        <w:rPr>
          <w:rStyle w:val="Refdenotaderodap"/>
        </w:rPr>
        <w:footnoteRef/>
      </w:r>
      <w:r>
        <w:t xml:space="preserve"> Graduando(s) em Direito - Centro Universitário Chrisfapi</w:t>
      </w:r>
    </w:p>
    <w:p w14:paraId="1681FA20" w14:textId="750EF17B" w:rsidR="7A433B6F" w:rsidRDefault="7A433B6F" w:rsidP="7A433B6F">
      <w:pPr>
        <w:pStyle w:val="Textodenotaderodap"/>
      </w:pPr>
    </w:p>
  </w:footnote>
  <w:footnote w:id="2">
    <w:p w14:paraId="5D8F104C" w14:textId="09D01C78" w:rsidR="7A433B6F" w:rsidRDefault="7A433B6F" w:rsidP="7A433B6F">
      <w:pPr>
        <w:pStyle w:val="Textodenotaderodap"/>
      </w:pPr>
      <w:r w:rsidRPr="7A433B6F">
        <w:rPr>
          <w:rStyle w:val="Refdenotaderodap"/>
        </w:rPr>
        <w:footnoteRef/>
      </w:r>
      <w:r>
        <w:t xml:space="preserve"> Doutor em Biotecnologia (UFPI) Docente do Centro Universitário Chrisfapi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31FC" w14:textId="77777777" w:rsidR="007E299D" w:rsidRDefault="007E299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EEC74" w14:textId="77777777" w:rsidR="009C2E72" w:rsidRDefault="00941C9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4EE41D3" wp14:editId="636014D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31285" w14:textId="77777777" w:rsidR="007E299D" w:rsidRDefault="007E299D">
    <w:pPr>
      <w:pStyle w:val="Cabealh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lYWJeAPEXwRH6" int2:id="zJ4kevOl">
      <int2:state int2:value="Rejected" int2:type="spell"/>
    </int2:textHash>
    <int2:textHash int2:hashCode="QtZS5PlMymzgEh" int2:id="TIPPKgFf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E72"/>
    <w:rsid w:val="001A1DB5"/>
    <w:rsid w:val="00597577"/>
    <w:rsid w:val="005F452E"/>
    <w:rsid w:val="007E299D"/>
    <w:rsid w:val="00941C9B"/>
    <w:rsid w:val="009C2E72"/>
    <w:rsid w:val="00A06E9B"/>
    <w:rsid w:val="00B25477"/>
    <w:rsid w:val="00BA7C8C"/>
    <w:rsid w:val="00C08F07"/>
    <w:rsid w:val="00DB7674"/>
    <w:rsid w:val="00E4281A"/>
    <w:rsid w:val="00F860A4"/>
    <w:rsid w:val="02A44EB2"/>
    <w:rsid w:val="0405C746"/>
    <w:rsid w:val="04136D4F"/>
    <w:rsid w:val="042AB297"/>
    <w:rsid w:val="04454A67"/>
    <w:rsid w:val="056AB006"/>
    <w:rsid w:val="083B67FD"/>
    <w:rsid w:val="0871E5A6"/>
    <w:rsid w:val="0879AF45"/>
    <w:rsid w:val="08EF1D84"/>
    <w:rsid w:val="09EE7E98"/>
    <w:rsid w:val="0A4C51E9"/>
    <w:rsid w:val="0ACC989C"/>
    <w:rsid w:val="0B470874"/>
    <w:rsid w:val="0B9B5602"/>
    <w:rsid w:val="0BB6D30D"/>
    <w:rsid w:val="0BCAC128"/>
    <w:rsid w:val="0C539682"/>
    <w:rsid w:val="0CE36063"/>
    <w:rsid w:val="0D02E387"/>
    <w:rsid w:val="0D7EC279"/>
    <w:rsid w:val="0DD2A2D8"/>
    <w:rsid w:val="0E4F8778"/>
    <w:rsid w:val="101B4227"/>
    <w:rsid w:val="103060CA"/>
    <w:rsid w:val="11FC9DAE"/>
    <w:rsid w:val="1247BCA6"/>
    <w:rsid w:val="13400FE3"/>
    <w:rsid w:val="13685E44"/>
    <w:rsid w:val="13CF6EF6"/>
    <w:rsid w:val="14E6127F"/>
    <w:rsid w:val="16E571AC"/>
    <w:rsid w:val="17204094"/>
    <w:rsid w:val="17FF7524"/>
    <w:rsid w:val="18087B9E"/>
    <w:rsid w:val="1809E2C4"/>
    <w:rsid w:val="1A12671D"/>
    <w:rsid w:val="1A32E1C9"/>
    <w:rsid w:val="1BFC359D"/>
    <w:rsid w:val="1C099C81"/>
    <w:rsid w:val="1C42A898"/>
    <w:rsid w:val="1CBD4869"/>
    <w:rsid w:val="1D376765"/>
    <w:rsid w:val="1E13722F"/>
    <w:rsid w:val="1E1BBDCA"/>
    <w:rsid w:val="1EA57B32"/>
    <w:rsid w:val="1F7F1125"/>
    <w:rsid w:val="206433C6"/>
    <w:rsid w:val="20DC60F7"/>
    <w:rsid w:val="21E18A1F"/>
    <w:rsid w:val="23132E63"/>
    <w:rsid w:val="23419077"/>
    <w:rsid w:val="23956003"/>
    <w:rsid w:val="23B24E2A"/>
    <w:rsid w:val="240B8AA2"/>
    <w:rsid w:val="244FE95D"/>
    <w:rsid w:val="248593B6"/>
    <w:rsid w:val="24C12FA1"/>
    <w:rsid w:val="250ED0F5"/>
    <w:rsid w:val="256F8F1F"/>
    <w:rsid w:val="27272CDD"/>
    <w:rsid w:val="2A963188"/>
    <w:rsid w:val="2A9D9EE4"/>
    <w:rsid w:val="2AEA4245"/>
    <w:rsid w:val="2B4DEA6B"/>
    <w:rsid w:val="2B6F4C8F"/>
    <w:rsid w:val="2DEFA547"/>
    <w:rsid w:val="2E4FC682"/>
    <w:rsid w:val="2E67827C"/>
    <w:rsid w:val="2F60684A"/>
    <w:rsid w:val="302436B2"/>
    <w:rsid w:val="31C25424"/>
    <w:rsid w:val="31C6350C"/>
    <w:rsid w:val="320F94D5"/>
    <w:rsid w:val="3239BD60"/>
    <w:rsid w:val="329664A2"/>
    <w:rsid w:val="32D08E1F"/>
    <w:rsid w:val="33454954"/>
    <w:rsid w:val="33C21D12"/>
    <w:rsid w:val="342B7613"/>
    <w:rsid w:val="3495EBA0"/>
    <w:rsid w:val="361D15D0"/>
    <w:rsid w:val="37BE4CB3"/>
    <w:rsid w:val="37D2F6F7"/>
    <w:rsid w:val="391E6259"/>
    <w:rsid w:val="3A4E5D84"/>
    <w:rsid w:val="3AF4147E"/>
    <w:rsid w:val="3B5201A7"/>
    <w:rsid w:val="3B5B28DD"/>
    <w:rsid w:val="3B80DE58"/>
    <w:rsid w:val="3BD30921"/>
    <w:rsid w:val="3C737E47"/>
    <w:rsid w:val="3C8F7C0A"/>
    <w:rsid w:val="3CAD46C8"/>
    <w:rsid w:val="3CF903B9"/>
    <w:rsid w:val="3D4DB6E0"/>
    <w:rsid w:val="3EB738C4"/>
    <w:rsid w:val="3F504FD0"/>
    <w:rsid w:val="3FD59F25"/>
    <w:rsid w:val="3FDADB9C"/>
    <w:rsid w:val="40B74BE0"/>
    <w:rsid w:val="429E4AC8"/>
    <w:rsid w:val="43167D6F"/>
    <w:rsid w:val="43937322"/>
    <w:rsid w:val="4553996A"/>
    <w:rsid w:val="456A1C22"/>
    <w:rsid w:val="459A5095"/>
    <w:rsid w:val="45AC843A"/>
    <w:rsid w:val="45B9580C"/>
    <w:rsid w:val="46882612"/>
    <w:rsid w:val="474A61EA"/>
    <w:rsid w:val="48458AE4"/>
    <w:rsid w:val="49F85600"/>
    <w:rsid w:val="4A27E020"/>
    <w:rsid w:val="4AB3D408"/>
    <w:rsid w:val="4AB68874"/>
    <w:rsid w:val="4AD7FB31"/>
    <w:rsid w:val="4B2AD29B"/>
    <w:rsid w:val="4C1D73B8"/>
    <w:rsid w:val="4C26538D"/>
    <w:rsid w:val="4CD9DCA5"/>
    <w:rsid w:val="4D7FF6AB"/>
    <w:rsid w:val="4DCB7FFE"/>
    <w:rsid w:val="4E64AA25"/>
    <w:rsid w:val="4FAB6629"/>
    <w:rsid w:val="51DD2A88"/>
    <w:rsid w:val="51FBDA77"/>
    <w:rsid w:val="51FD215A"/>
    <w:rsid w:val="538C4500"/>
    <w:rsid w:val="53E3B340"/>
    <w:rsid w:val="541115CD"/>
    <w:rsid w:val="542095B6"/>
    <w:rsid w:val="546714D5"/>
    <w:rsid w:val="5473447D"/>
    <w:rsid w:val="5494D0E0"/>
    <w:rsid w:val="558CCAFC"/>
    <w:rsid w:val="55BE6CA4"/>
    <w:rsid w:val="563689BE"/>
    <w:rsid w:val="5641E7AF"/>
    <w:rsid w:val="56BF55B8"/>
    <w:rsid w:val="57799744"/>
    <w:rsid w:val="587965E7"/>
    <w:rsid w:val="59E361DE"/>
    <w:rsid w:val="5A16A754"/>
    <w:rsid w:val="5B2045E7"/>
    <w:rsid w:val="5BF2983F"/>
    <w:rsid w:val="5CBEF9AD"/>
    <w:rsid w:val="5E633032"/>
    <w:rsid w:val="5EC1A75D"/>
    <w:rsid w:val="60B8087C"/>
    <w:rsid w:val="60C9073B"/>
    <w:rsid w:val="61CA719D"/>
    <w:rsid w:val="62E3F08A"/>
    <w:rsid w:val="6384A3EF"/>
    <w:rsid w:val="639767CA"/>
    <w:rsid w:val="63A4CD9A"/>
    <w:rsid w:val="6417B3B0"/>
    <w:rsid w:val="64B73BDB"/>
    <w:rsid w:val="6621501D"/>
    <w:rsid w:val="66463AFF"/>
    <w:rsid w:val="68E8E9FB"/>
    <w:rsid w:val="693092B5"/>
    <w:rsid w:val="6A13856B"/>
    <w:rsid w:val="6AD7C90E"/>
    <w:rsid w:val="6BDFBDF4"/>
    <w:rsid w:val="6C130B4D"/>
    <w:rsid w:val="6D5D126A"/>
    <w:rsid w:val="6E0F7AB4"/>
    <w:rsid w:val="6E9CEFA2"/>
    <w:rsid w:val="6FCBE249"/>
    <w:rsid w:val="70905BAA"/>
    <w:rsid w:val="70ED09C8"/>
    <w:rsid w:val="71931472"/>
    <w:rsid w:val="71ADDDA2"/>
    <w:rsid w:val="7348E83B"/>
    <w:rsid w:val="73B07B89"/>
    <w:rsid w:val="741B5CDC"/>
    <w:rsid w:val="74A10C0A"/>
    <w:rsid w:val="75A30778"/>
    <w:rsid w:val="75AC9A81"/>
    <w:rsid w:val="75B3BFB9"/>
    <w:rsid w:val="75C807CD"/>
    <w:rsid w:val="76001B37"/>
    <w:rsid w:val="76DFFD39"/>
    <w:rsid w:val="76E057FF"/>
    <w:rsid w:val="76F6FC5B"/>
    <w:rsid w:val="77ECA73F"/>
    <w:rsid w:val="780D58C8"/>
    <w:rsid w:val="78F772ED"/>
    <w:rsid w:val="7905C21B"/>
    <w:rsid w:val="790DBA98"/>
    <w:rsid w:val="79573E07"/>
    <w:rsid w:val="7971871F"/>
    <w:rsid w:val="7978BC94"/>
    <w:rsid w:val="79F679B5"/>
    <w:rsid w:val="7A433B6F"/>
    <w:rsid w:val="7B0DD9D1"/>
    <w:rsid w:val="7B9E8CB4"/>
    <w:rsid w:val="7C089B9B"/>
    <w:rsid w:val="7C82ABB4"/>
    <w:rsid w:val="7CF376F7"/>
    <w:rsid w:val="7D45530B"/>
    <w:rsid w:val="7E1D6846"/>
    <w:rsid w:val="7E9DBA15"/>
    <w:rsid w:val="7F396412"/>
    <w:rsid w:val="7F94B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E99E60"/>
  <w15:docId w15:val="{1ADB17FD-DC45-4DF7-8894-1E114AC6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7A433B6F"/>
  </w:style>
  <w:style w:type="paragraph" w:styleId="Rodap">
    <w:name w:val="footer"/>
    <w:basedOn w:val="Normal"/>
    <w:link w:val="RodapChar"/>
    <w:uiPriority w:val="99"/>
    <w:unhideWhenUsed/>
    <w:rsid w:val="007E299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7A433B6F"/>
  </w:style>
  <w:style w:type="paragraph" w:customStyle="1" w:styleId="Standard">
    <w:name w:val="Standard"/>
    <w:basedOn w:val="Normal"/>
    <w:uiPriority w:val="1"/>
    <w:rsid w:val="7A433B6F"/>
    <w:pPr>
      <w:spacing w:after="160" w:line="276" w:lineRule="auto"/>
    </w:pPr>
    <w:rPr>
      <w:rFonts w:ascii="Aptos" w:eastAsia="Aptos" w:hAnsi="Aptos" w:cs="Aptos"/>
      <w:sz w:val="24"/>
      <w:szCs w:val="24"/>
      <w:lang w:eastAsia="zh-CN"/>
    </w:rPr>
  </w:style>
  <w:style w:type="paragraph" w:styleId="Textodenotadefim">
    <w:name w:val="endnote text"/>
    <w:basedOn w:val="Normal"/>
    <w:uiPriority w:val="99"/>
    <w:semiHidden/>
    <w:unhideWhenUsed/>
    <w:rsid w:val="7A433B6F"/>
    <w:rPr>
      <w:sz w:val="20"/>
      <w:szCs w:val="20"/>
    </w:rPr>
  </w:style>
  <w:style w:type="character" w:styleId="Refdenotadefim">
    <w:name w:val="endnote reference"/>
    <w:uiPriority w:val="99"/>
    <w:semiHidden/>
    <w:unhideWhenUsed/>
    <w:rsid w:val="7A433B6F"/>
    <w:rPr>
      <w:vertAlign w:val="superscript"/>
    </w:rPr>
  </w:style>
  <w:style w:type="paragraph" w:styleId="Textodenotaderodap">
    <w:name w:val="footnote text"/>
    <w:basedOn w:val="Normal"/>
    <w:uiPriority w:val="99"/>
    <w:semiHidden/>
    <w:unhideWhenUsed/>
    <w:rsid w:val="7A433B6F"/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7A433B6F"/>
    <w:rPr>
      <w:vertAlign w:val="superscript"/>
    </w:rPr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20/10/relationships/intelligence" Target="intelligence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2538</Words>
  <Characters>15712</Characters>
  <Application>Microsoft Office Word</Application>
  <DocSecurity>0</DocSecurity>
  <Lines>436</Lines>
  <Paragraphs>99</Paragraphs>
  <ScaleCrop>false</ScaleCrop>
  <Company/>
  <LinksUpToDate>false</LinksUpToDate>
  <CharactersWithSpaces>18151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Guilherme Lopes</cp:lastModifiedBy>
  <cp:revision>3</cp:revision>
  <dcterms:created xsi:type="dcterms:W3CDTF">2026-09-01T23:52:00Z</dcterms:created>
  <dcterms:modified xsi:type="dcterms:W3CDTF">2026-09-02T00:12:00Z</dcterms:modified>
</cp:coreProperties>
</file>