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A7D26" w14:textId="2634D81B" w:rsidR="0063107C" w:rsidRPr="00BD6D9B" w:rsidRDefault="0063107C" w:rsidP="00007CB2">
      <w:pPr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0A49BF0E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BCE75CF" w14:textId="77777777" w:rsidR="00007CB2" w:rsidRPr="004B2BD6" w:rsidRDefault="00007CB2" w:rsidP="00007CB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SÍNDROME DE LI-FRAUMENI: UMA REVISÃO SOBRE O RASTREAMENTO NO BRASIL</w:t>
      </w:r>
    </w:p>
    <w:p w14:paraId="5EC8B84B" w14:textId="6E22CDA0" w:rsidR="00E9749F" w:rsidRPr="00C45D74" w:rsidRDefault="00007CB2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BD6">
        <w:rPr>
          <w:rFonts w:ascii="Times New Roman" w:hAnsi="Times New Roman" w:cs="Times New Roman"/>
          <w:b/>
          <w:bCs/>
          <w:sz w:val="24"/>
          <w:szCs w:val="24"/>
        </w:rPr>
        <w:t>INTRODUÇÃO: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síndrome de Li-Fraumeni (LFS) se caracteriza por ser hereditária e ter relação intrínseca com a predisposição ao câncer. Ademais, é importante ressaltar que tal síndrome segue o padrão de herança genética autossômica dominante, é clínica e geneticamente heterogênea e causada por mutações no gene supressor de tumor TP53. A LFS eleva o risco de desenvolvimento de um grande espectro de tumores agressivos, alguns muito raros, em idade muito jovem, sendo relevante destacar os tumores típicos: sarcomas de partes moles e ósseos, leucemias, tumores de do sistema nervoso central (SNC), tumores adrenocorticais e tumores de mama. Ainda que, seja uma síndrome rara na população mundial, é altamente prevalente na população brasileira.</w:t>
      </w:r>
      <w:r w:rsidRPr="00D42F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OBJETIVO</w:t>
      </w:r>
      <w:r w:rsidRPr="004B2BD6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Avaliar o benefício do rastreamento da Síndrome de Li-Fraumeni no Brasil. </w:t>
      </w:r>
      <w:r>
        <w:rPr>
          <w:rFonts w:ascii="Times New Roman" w:hAnsi="Times New Roman" w:cs="Times New Roman"/>
          <w:b/>
          <w:bCs/>
          <w:sz w:val="24"/>
          <w:szCs w:val="24"/>
        </w:rPr>
        <w:t>METODOLOGIA</w:t>
      </w:r>
      <w:r w:rsidRPr="004B2BD6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Ao passo que, esse trabalho se trata de uma revisão narrativa de literatura, na qual realizou-se uma análise nas bases de dados Google Acadêmico (</w:t>
      </w:r>
      <w:r w:rsidRPr="00007CB2">
        <w:rPr>
          <w:rFonts w:ascii="Times New Roman" w:hAnsi="Times New Roman" w:cs="Times New Roman"/>
          <w:i/>
          <w:sz w:val="24"/>
          <w:szCs w:val="24"/>
        </w:rPr>
        <w:t>Google Scholar</w:t>
      </w:r>
      <w:r>
        <w:rPr>
          <w:rFonts w:ascii="Times New Roman" w:hAnsi="Times New Roman" w:cs="Times New Roman"/>
          <w:sz w:val="24"/>
          <w:szCs w:val="24"/>
        </w:rPr>
        <w:t xml:space="preserve">), na Biblioteca Virtual em Saúde (BVS) e PubMED, sendo usado descritores como: “Síndrome de Li-Fraumeni”, “Câncer”, “Rastreamento”, “Perfil genético no Brasil”. Com isso, determinou-se para busca o intervalo de tempo de 2009 a 2023. </w:t>
      </w:r>
      <w:r w:rsidRPr="008D72CE">
        <w:rPr>
          <w:rFonts w:ascii="Times New Roman" w:hAnsi="Times New Roman" w:cs="Times New Roman"/>
          <w:b/>
          <w:bCs/>
          <w:sz w:val="24"/>
          <w:szCs w:val="24"/>
        </w:rPr>
        <w:t>RESULTADOS</w:t>
      </w:r>
      <w:r w:rsidRPr="00E7680C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Diante do exposto, permitiu-se inferir que, ainda que a Síndrome de Li-Fraumeni seja rara, ela possui significativa incidência em regiões do Brasil, no sul e sudeste, estima-se que 1 a cada 300 pessoas são afetadas pela mutação na linha germinativa de TP53. Sendo importante ressaltar que os pacientes portadores dessa síndrome têm risco aumentado de desenvolvimento de múltiplos tumores primários e em idades jovens. No que tange ao diagnóstico da LF</w:t>
      </w:r>
      <w:r w:rsidR="00503DAD">
        <w:rPr>
          <w:rFonts w:ascii="Times New Roman" w:hAnsi="Times New Roman" w:cs="Times New Roman"/>
          <w:sz w:val="24"/>
          <w:szCs w:val="24"/>
        </w:rPr>
        <w:t xml:space="preserve">S, é estabelecido em um paciente </w:t>
      </w:r>
      <w:r>
        <w:rPr>
          <w:rFonts w:ascii="Times New Roman" w:hAnsi="Times New Roman" w:cs="Times New Roman"/>
          <w:sz w:val="24"/>
          <w:szCs w:val="24"/>
        </w:rPr>
        <w:t>que atende a todos os três critérios clássicos e/ou tem uma variante patogênica de linhagem germinativa heterozigótica em TP53,</w:t>
      </w:r>
      <w:r w:rsidR="00503DAD">
        <w:rPr>
          <w:rFonts w:ascii="Times New Roman" w:hAnsi="Times New Roman" w:cs="Times New Roman"/>
          <w:sz w:val="24"/>
          <w:szCs w:val="24"/>
        </w:rPr>
        <w:t xml:space="preserve"> tais critérios são: um paciente</w:t>
      </w:r>
      <w:r>
        <w:rPr>
          <w:rFonts w:ascii="Times New Roman" w:hAnsi="Times New Roman" w:cs="Times New Roman"/>
          <w:sz w:val="24"/>
          <w:szCs w:val="24"/>
        </w:rPr>
        <w:t xml:space="preserve"> com sarcoma diagnosticado antes dos 45 anos; um parente de primeiro grau com qualquer tipo de câncer diagnosticado antes dos 45 anos; um parente de primeiro ou segundo grau com qualquer câncer diagnosticado antes dos 45 anos ou um sarcoma diagnosticado em qualquer idade. Por conseguinte, é relevante pressupor que o rastreamento sistemático e precoce para os pacientes portadores da síndrome, no território brasileiro apresenta índices de benefício, devido a sua alta incidência e por ser uma síndrome que tende a acometer famílias.</w:t>
      </w:r>
      <w:r w:rsidRPr="00B53C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CONCLUSÃO: </w:t>
      </w:r>
      <w:r>
        <w:rPr>
          <w:rFonts w:ascii="Times New Roman" w:hAnsi="Times New Roman" w:cs="Times New Roman"/>
          <w:sz w:val="24"/>
          <w:szCs w:val="24"/>
        </w:rPr>
        <w:t>Conclui-se, dessa forma, que existe um senso comum equivocado em relação ao rastreamento de doenças genéticas raras, entretanto a alta incidência de tal síndrome que se associa intrinsecamente com um alto risco de câncer ao longo da vida, em regiões brasileiras, traz a prerrogativa da importância em rastrear os pacientes portadores e suas famílias.</w:t>
      </w:r>
    </w:p>
    <w:p w14:paraId="7CADBAB3" w14:textId="784DEA3E" w:rsidR="00C45D74" w:rsidRPr="00AE7CE0" w:rsidRDefault="00C45D74" w:rsidP="00E9749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49F">
        <w:rPr>
          <w:rFonts w:ascii="Times New Roman" w:hAnsi="Times New Roman" w:cs="Times New Roman"/>
          <w:b/>
          <w:bCs/>
          <w:sz w:val="24"/>
          <w:szCs w:val="24"/>
        </w:rPr>
        <w:t>Palavras-chaves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007CB2">
        <w:rPr>
          <w:rFonts w:ascii="Times New Roman" w:eastAsia="Times New Roman" w:hAnsi="Times New Roman" w:cs="Times New Roman"/>
          <w:sz w:val="24"/>
          <w:szCs w:val="24"/>
        </w:rPr>
        <w:t>Síndrome</w:t>
      </w:r>
      <w:r w:rsidR="00AE7CE0">
        <w:rPr>
          <w:rFonts w:ascii="Times New Roman" w:eastAsia="Times New Roman" w:hAnsi="Times New Roman" w:cs="Times New Roman"/>
          <w:sz w:val="24"/>
          <w:szCs w:val="24"/>
        </w:rPr>
        <w:t xml:space="preserve"> de Li-Fraumeni; Rastreamento; </w:t>
      </w:r>
      <w:r w:rsidR="00007CB2">
        <w:rPr>
          <w:rFonts w:ascii="Times New Roman" w:eastAsia="Times New Roman" w:hAnsi="Times New Roman" w:cs="Times New Roman"/>
          <w:sz w:val="24"/>
          <w:szCs w:val="24"/>
        </w:rPr>
        <w:t>C</w:t>
      </w:r>
      <w:r w:rsidR="00007CB2" w:rsidRPr="00E15888">
        <w:rPr>
          <w:rFonts w:ascii="Times New Roman" w:eastAsia="Times New Roman" w:hAnsi="Times New Roman" w:cs="Times New Roman"/>
          <w:sz w:val="24"/>
          <w:szCs w:val="24"/>
        </w:rPr>
        <w:t>âncer.</w:t>
      </w:r>
    </w:p>
    <w:p w14:paraId="2FE06DD9" w14:textId="777777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E1EAE8" w14:textId="4FE2EB62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BF9B5C8" w14:textId="3FEF4B01" w:rsidR="004B2BD6" w:rsidRPr="001236DF" w:rsidRDefault="004B2BD6" w:rsidP="001236DF">
      <w:pPr>
        <w:rPr>
          <w:rFonts w:ascii="Times New Roman" w:hAnsi="Times New Roman" w:cs="Times New Roman"/>
          <w:sz w:val="24"/>
          <w:szCs w:val="24"/>
        </w:rPr>
      </w:pPr>
    </w:p>
    <w:sectPr w:rsidR="004B2BD6" w:rsidRPr="001236DF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311DE" w14:textId="77777777" w:rsidR="00F03A02" w:rsidRDefault="00F03A02" w:rsidP="007218E2">
      <w:pPr>
        <w:spacing w:after="0" w:line="240" w:lineRule="auto"/>
      </w:pPr>
      <w:r>
        <w:separator/>
      </w:r>
    </w:p>
  </w:endnote>
  <w:endnote w:type="continuationSeparator" w:id="0">
    <w:p w14:paraId="1EF72C9B" w14:textId="77777777" w:rsidR="00F03A02" w:rsidRDefault="00F03A02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7E3DC3" w14:textId="77777777" w:rsidR="00F03A02" w:rsidRDefault="00F03A02" w:rsidP="007218E2">
      <w:pPr>
        <w:spacing w:after="0" w:line="240" w:lineRule="auto"/>
      </w:pPr>
      <w:r>
        <w:separator/>
      </w:r>
    </w:p>
  </w:footnote>
  <w:footnote w:type="continuationSeparator" w:id="0">
    <w:p w14:paraId="4A7C7F56" w14:textId="77777777" w:rsidR="00F03A02" w:rsidRDefault="00F03A02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BD6"/>
    <w:rsid w:val="00007CB2"/>
    <w:rsid w:val="00077963"/>
    <w:rsid w:val="000B2334"/>
    <w:rsid w:val="001236DF"/>
    <w:rsid w:val="002F0D0B"/>
    <w:rsid w:val="003A4751"/>
    <w:rsid w:val="003B64B3"/>
    <w:rsid w:val="004B2BD6"/>
    <w:rsid w:val="00503DAD"/>
    <w:rsid w:val="005966D2"/>
    <w:rsid w:val="0063107C"/>
    <w:rsid w:val="007218E2"/>
    <w:rsid w:val="009D62B9"/>
    <w:rsid w:val="00AE7CE0"/>
    <w:rsid w:val="00B27934"/>
    <w:rsid w:val="00BD6D9B"/>
    <w:rsid w:val="00C45D74"/>
    <w:rsid w:val="00DB4416"/>
    <w:rsid w:val="00E9749F"/>
    <w:rsid w:val="00F03A02"/>
    <w:rsid w:val="00F30932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457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gabimoraesalves16@gmail.com</cp:lastModifiedBy>
  <cp:revision>2</cp:revision>
  <dcterms:created xsi:type="dcterms:W3CDTF">2023-05-07T17:48:00Z</dcterms:created>
  <dcterms:modified xsi:type="dcterms:W3CDTF">2023-05-07T17:48:00Z</dcterms:modified>
</cp:coreProperties>
</file>