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BE3FD" w14:textId="251436FF" w:rsidR="0064586B" w:rsidRDefault="00D445B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D2F54" wp14:editId="58FEA08A">
                <wp:simplePos x="0" y="0"/>
                <wp:positionH relativeFrom="column">
                  <wp:posOffset>38100</wp:posOffset>
                </wp:positionH>
                <wp:positionV relativeFrom="paragraph">
                  <wp:posOffset>1352550</wp:posOffset>
                </wp:positionV>
                <wp:extent cx="5010150" cy="84772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D3E63" w14:textId="0786D094" w:rsidR="00B36A7F" w:rsidRPr="00D445B3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D445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Mateus Ribeiro Fernandes Teixeira</w:t>
                            </w:r>
                            <w:r w:rsidR="00D445B3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445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Letícia </w:t>
                            </w:r>
                            <w:proofErr w:type="spellStart"/>
                            <w:r w:rsidR="00D445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Figueirôa</w:t>
                            </w:r>
                            <w:proofErr w:type="spellEnd"/>
                            <w:r w:rsidR="00D445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Silva</w:t>
                            </w:r>
                            <w:r w:rsidR="00D445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445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Bruno Leal Martins</w:t>
                            </w:r>
                            <w:r w:rsidR="00D445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D445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 Gabriela Medeiros Cunha de Araujo</w:t>
                            </w:r>
                            <w:r w:rsidR="00D445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D445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Vinícius Lacerda Wanderley</w:t>
                            </w:r>
                            <w:r w:rsidR="00D445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D2F54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06.5pt;width:394.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" filled="f" stroked="f" strokeweight=".5pt">
                <v:textbox>
                  <w:txbxContent>
                    <w:p w14:paraId="011D3E63" w14:textId="0786D094" w:rsidR="00B36A7F" w:rsidRPr="00D445B3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D445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Mateus Ribeiro Fernandes Teixeira</w:t>
                      </w:r>
                      <w:r w:rsidR="00D445B3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445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Letícia </w:t>
                      </w:r>
                      <w:proofErr w:type="spellStart"/>
                      <w:r w:rsidR="00D445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Figueirôa</w:t>
                      </w:r>
                      <w:proofErr w:type="spellEnd"/>
                      <w:r w:rsidR="00D445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Silva</w:t>
                      </w:r>
                      <w:r w:rsidR="00D445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445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Bruno Leal Martins</w:t>
                      </w:r>
                      <w:r w:rsidR="00D445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D445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Maria Gabriela Medeiros Cunha de Araujo</w:t>
                      </w:r>
                      <w:r w:rsidR="00D445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D445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Vinícius Lacerda Wanderley</w:t>
                      </w:r>
                      <w:r w:rsidR="00D445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47465" wp14:editId="17409E23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0382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21C7B" w14:textId="77777777" w:rsidR="00D445B3" w:rsidRPr="00D445B3" w:rsidRDefault="00D445B3" w:rsidP="00D445B3">
                            <w:pPr>
                              <w:jc w:val="center"/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D445B3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Morbimortalidade da Fibrilação Atrial Idiopática: Revisão de Literatura Sistemática</w:t>
                            </w:r>
                          </w:p>
                          <w:p w14:paraId="454F7B48" w14:textId="086D3D95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47465" id="Caixa de Texto 19" o:spid="_x0000_s1027" type="#_x0000_t202" style="position:absolute;margin-left:14.25pt;margin-top:22.5pt;width:375.7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" filled="f" stroked="f" strokeweight=".5pt">
                <v:textbox>
                  <w:txbxContent>
                    <w:p w14:paraId="2B221C7B" w14:textId="77777777" w:rsidR="00D445B3" w:rsidRPr="00D445B3" w:rsidRDefault="00D445B3" w:rsidP="00D445B3">
                      <w:pPr>
                        <w:jc w:val="center"/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D445B3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A Morbimortalidade da Fibrilação Atrial Idiopática: Revisão de Literatura Sistemática</w:t>
                      </w:r>
                    </w:p>
                    <w:p w14:paraId="454F7B48" w14:textId="086D3D95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645B0" wp14:editId="2E7C568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2DDAE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45B0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1EC2DDAE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10D1A8" wp14:editId="67481EF4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D85978" wp14:editId="4E09D29A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73AF8" w14:textId="567DDDB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9E70AE" w14:textId="3D232315" w:rsidR="00621C4F" w:rsidRDefault="00166691" w:rsidP="00621C4F">
                            <w:pPr>
                              <w:spacing w:line="240" w:lineRule="auto"/>
                              <w:jc w:val="both"/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21C4F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A fibrilação atrial é a arritmia cardíaca mais prevalente, a qual apresenta o tipo idiopática definida pela ausência de doenças secundárias que garantem substrato para sua evolução. Esse tipo apresenta incidência de até 30%, tornando-se relevante a determinação do seu aspecto de morbimortalidade.</w:t>
                            </w:r>
                          </w:p>
                          <w:p w14:paraId="0805C455" w14:textId="77777777" w:rsidR="007C4CE2" w:rsidRPr="00621C4F" w:rsidRDefault="007C4CE2" w:rsidP="00621C4F">
                            <w:pPr>
                              <w:spacing w:line="240" w:lineRule="auto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636EB53" w14:textId="563CF80F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F75F3D8" w14:textId="6049B357" w:rsidR="00621C4F" w:rsidRDefault="00621C4F" w:rsidP="00621C4F">
                            <w:pPr>
                              <w:spacing w:line="240" w:lineRule="auto"/>
                              <w:jc w:val="both"/>
                              <w:rPr>
                                <w:rStyle w:val="nfase"/>
                                <w:rFonts w:ascii="Bookman Old Style" w:hAnsi="Bookman Old Style"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21C4F">
                              <w:rPr>
                                <w:rStyle w:val="nfase"/>
                                <w:rFonts w:ascii="Bookman Old Style" w:hAnsi="Bookman Old Style"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  <w:t>Caracterizar a morbimortalidade advinda da fibrilação atrial idiopática, conforme o número de internação, número de acidente tromboembólico e número de óbitos</w:t>
                            </w:r>
                            <w:r>
                              <w:rPr>
                                <w:rStyle w:val="nfase"/>
                                <w:rFonts w:ascii="Bookman Old Style" w:hAnsi="Bookman Old Style"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671EEDE" w14:textId="77777777" w:rsidR="007C4CE2" w:rsidRPr="00621C4F" w:rsidRDefault="007C4CE2" w:rsidP="00621C4F">
                            <w:pPr>
                              <w:spacing w:line="240" w:lineRule="auto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C02E2E3" w14:textId="089FB612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6E9DF17" w14:textId="780CBE98" w:rsidR="00621C4F" w:rsidRDefault="00621C4F" w:rsidP="00621C4F">
                            <w:pPr>
                              <w:spacing w:line="240" w:lineRule="auto"/>
                              <w:jc w:val="both"/>
                              <w:rPr>
                                <w:rStyle w:val="nfase"/>
                                <w:rFonts w:ascii="Bookman Old Style" w:hAnsi="Bookman Old Style"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21C4F">
                              <w:rPr>
                                <w:rStyle w:val="nfase"/>
                                <w:rFonts w:ascii="Bookman Old Style" w:hAnsi="Bookman Old Style"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de literatura sistemática de cunho descritivo e quantitativo realizada entre os meses de </w:t>
                            </w:r>
                            <w:r w:rsidR="00AA1B75">
                              <w:rPr>
                                <w:rStyle w:val="nfase"/>
                                <w:rFonts w:ascii="Bookman Old Style" w:hAnsi="Bookman Old Style"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  <w:t>fevereiro</w:t>
                            </w:r>
                            <w:r w:rsidRPr="00621C4F">
                              <w:rPr>
                                <w:rStyle w:val="nfase"/>
                                <w:rFonts w:ascii="Bookman Old Style" w:hAnsi="Bookman Old Style"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AA1B75">
                              <w:rPr>
                                <w:rStyle w:val="nfase"/>
                                <w:rFonts w:ascii="Bookman Old Style" w:hAnsi="Bookman Old Style"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  <w:t>abril</w:t>
                            </w:r>
                            <w:r w:rsidRPr="00621C4F">
                              <w:rPr>
                                <w:rStyle w:val="nfase"/>
                                <w:rFonts w:ascii="Bookman Old Style" w:hAnsi="Bookman Old Style"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2021. A base de dados bibliográficos é advinda do </w:t>
                            </w:r>
                            <w:proofErr w:type="spellStart"/>
                            <w:r w:rsidRPr="00621C4F">
                              <w:rPr>
                                <w:rStyle w:val="nfase"/>
                                <w:rFonts w:ascii="Bookman Old Style" w:hAnsi="Bookman Old Style"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  <w:t>PebMed</w:t>
                            </w:r>
                            <w:proofErr w:type="spellEnd"/>
                            <w:r w:rsidRPr="00621C4F">
                              <w:rPr>
                                <w:rStyle w:val="nfase"/>
                                <w:rFonts w:ascii="Bookman Old Style" w:hAnsi="Bookman Old Style"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21C4F">
                              <w:rPr>
                                <w:rStyle w:val="nfase"/>
                                <w:rFonts w:ascii="Bookman Old Style" w:hAnsi="Bookman Old Style"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621C4F">
                              <w:rPr>
                                <w:rStyle w:val="nfase"/>
                                <w:rFonts w:ascii="Bookman Old Style" w:hAnsi="Bookman Old Style"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621C4F">
                              <w:rPr>
                                <w:rStyle w:val="nfase"/>
                                <w:rFonts w:ascii="Bookman Old Style" w:hAnsi="Bookman Old Style"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  <w:t>ScienceDirect</w:t>
                            </w:r>
                            <w:proofErr w:type="spellEnd"/>
                            <w:r w:rsidRPr="00621C4F">
                              <w:rPr>
                                <w:rStyle w:val="nfase"/>
                                <w:rFonts w:ascii="Bookman Old Style" w:hAnsi="Bookman Old Style"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  <w:t>, selecionando artigos através das seguintes variáveis: amostragem das pesquisas, publicações entre o período de 2010 e 2020 e o fator de impacto. O estudo compreende variáveis quantitativas discretas: número de internação, número de acidente tromboembólico e número de óbitos. A análise dos dados coletados fora realizada através de estatística descritiva por meio de tabela de frequência e representação gráfica pelo gráfico de barras.</w:t>
                            </w:r>
                          </w:p>
                          <w:p w14:paraId="0EA431EF" w14:textId="77777777" w:rsidR="007C4CE2" w:rsidRPr="00621C4F" w:rsidRDefault="007C4CE2" w:rsidP="00621C4F">
                            <w:pPr>
                              <w:spacing w:line="240" w:lineRule="auto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371B1FA" w14:textId="64E84E2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D65F5A3" w14:textId="4C1C5BCA" w:rsidR="00621C4F" w:rsidRDefault="00621C4F" w:rsidP="00621C4F">
                            <w:pPr>
                              <w:spacing w:line="240" w:lineRule="auto"/>
                              <w:jc w:val="both"/>
                              <w:rPr>
                                <w:rStyle w:val="nfaseSutil"/>
                                <w:rFonts w:ascii="Bookman Old Style" w:hAnsi="Bookman Old Style"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21C4F">
                              <w:rPr>
                                <w:rStyle w:val="nfaseSutil"/>
                                <w:rFonts w:ascii="Bookman Old Style" w:hAnsi="Bookman Old Style"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  <w:t>A amostragem da pesquisa apresentou 482 pacientes, evidenciando 294 com episódio paroxístico e 188 com quadro persistente. Nesse contexto, pode-se referir que 61% da amostra apresentaram quadro benigno, sem a realização de medidas terapêuticas, internações ou complicações associadas. Uma vez que o episódio paroxístico é definido pela duração menor que uma semana com reversão de ritmo sinusal de forma espontânea. Contudo, o quadro persistente é evidenciado pela arritmia que dura mais que uma semana ou quando necessita de intervenção para resolução. Sendo assim, o restante da amostragem fora composto por 39%, constando 53 hospitalizações, 12 acidentes tromboembólicos e 3 óbitos. Com isso, obteve-se uma taxa de 10% de hospitalização, 2% de acidente tromboembólico e 0,6% de óbitos.</w:t>
                            </w:r>
                          </w:p>
                          <w:p w14:paraId="76FA3689" w14:textId="77777777" w:rsidR="007C4CE2" w:rsidRPr="00621C4F" w:rsidRDefault="007C4CE2" w:rsidP="00621C4F">
                            <w:pPr>
                              <w:spacing w:line="240" w:lineRule="auto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C8C3368" w14:textId="399CF340" w:rsidR="00621C4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83750CA" w14:textId="780B2405" w:rsidR="007C4CE2" w:rsidRPr="00B36A7F" w:rsidRDefault="0016669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Portanto, nota-se que a fibrilação atrial idiopática apresenta melhor prognóstico no tipo paroxística. A maior morbimortalidade no tipo persistente ratifica o conceito que o aspecto idiopático pode ser um evento precoce de doença estrutural cardíaca, resultando maior necessidade de acompanhamento</w:t>
                            </w:r>
                            <w:r w:rsidR="00621C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6CB01B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AACBDE6" w14:textId="0B76517D" w:rsidR="00B36A7F" w:rsidRDefault="004A621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Fibrilação Atrial. Morbidade. Mortalidade.</w:t>
                            </w:r>
                          </w:p>
                          <w:p w14:paraId="6FFDDBF8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8ECBADE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CC9C791" w14:textId="3BC7B65D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1364F1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</w:t>
                            </w:r>
                            <w:r w:rsidR="001364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João Pessoa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364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  <w:p w14:paraId="53F9D553" w14:textId="11A8E054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1364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iscente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="004A62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A62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Patos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P</w:t>
                            </w:r>
                            <w:r w:rsidR="001364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  <w:p w14:paraId="1BFF1694" w14:textId="6ACA91AF" w:rsidR="001364F1" w:rsidRPr="001364F1" w:rsidRDefault="001364F1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666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Pr="001364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Federal da Paraíba, PB</w:t>
                            </w:r>
                          </w:p>
                          <w:p w14:paraId="4B4BB702" w14:textId="45EC743C" w:rsidR="001364F1" w:rsidRPr="001364F1" w:rsidRDefault="001364F1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Orientador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85978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24673AF8" w14:textId="567DDDB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69E70AE" w14:textId="3D232315" w:rsidR="00621C4F" w:rsidRDefault="00166691" w:rsidP="00621C4F">
                      <w:pPr>
                        <w:spacing w:line="240" w:lineRule="auto"/>
                        <w:jc w:val="both"/>
                        <w:rPr>
                          <w:rStyle w:val="Forte"/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21C4F">
                        <w:rPr>
                          <w:rStyle w:val="Forte"/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A fibrilação atrial é a arritmia cardíaca mais prevalente, a qual apresenta o tipo idiopática definida pela ausência de doenças secundárias que garantem substrato para sua evolução. Esse tipo apresenta incidência de até 30%, tornando-se relevante a determinação do seu aspecto de morbimortalidade.</w:t>
                      </w:r>
                    </w:p>
                    <w:p w14:paraId="0805C455" w14:textId="77777777" w:rsidR="007C4CE2" w:rsidRPr="00621C4F" w:rsidRDefault="007C4CE2" w:rsidP="00621C4F">
                      <w:pPr>
                        <w:spacing w:line="240" w:lineRule="auto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636EB53" w14:textId="563CF80F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F75F3D8" w14:textId="6049B357" w:rsidR="00621C4F" w:rsidRDefault="00621C4F" w:rsidP="00621C4F">
                      <w:pPr>
                        <w:spacing w:line="240" w:lineRule="auto"/>
                        <w:jc w:val="both"/>
                        <w:rPr>
                          <w:rStyle w:val="nfase"/>
                          <w:rFonts w:ascii="Bookman Old Style" w:hAnsi="Bookman Old Style"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21C4F">
                        <w:rPr>
                          <w:rStyle w:val="nfase"/>
                          <w:rFonts w:ascii="Bookman Old Style" w:hAnsi="Bookman Old Style"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  <w:t>Caracterizar a morbimortalidade advinda da fibrilação atrial idiopática, conforme o número de internação, número de acidente tromboembólico e número de óbitos</w:t>
                      </w:r>
                      <w:r>
                        <w:rPr>
                          <w:rStyle w:val="nfase"/>
                          <w:rFonts w:ascii="Bookman Old Style" w:hAnsi="Bookman Old Style"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671EEDE" w14:textId="77777777" w:rsidR="007C4CE2" w:rsidRPr="00621C4F" w:rsidRDefault="007C4CE2" w:rsidP="00621C4F">
                      <w:pPr>
                        <w:spacing w:line="240" w:lineRule="auto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C02E2E3" w14:textId="089FB612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6E9DF17" w14:textId="780CBE98" w:rsidR="00621C4F" w:rsidRDefault="00621C4F" w:rsidP="00621C4F">
                      <w:pPr>
                        <w:spacing w:line="240" w:lineRule="auto"/>
                        <w:jc w:val="both"/>
                        <w:rPr>
                          <w:rStyle w:val="nfase"/>
                          <w:rFonts w:ascii="Bookman Old Style" w:hAnsi="Bookman Old Style"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21C4F">
                        <w:rPr>
                          <w:rStyle w:val="nfase"/>
                          <w:rFonts w:ascii="Bookman Old Style" w:hAnsi="Bookman Old Style"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de literatura sistemática de cunho descritivo e quantitativo realizada entre os meses de </w:t>
                      </w:r>
                      <w:r w:rsidR="00AA1B75">
                        <w:rPr>
                          <w:rStyle w:val="nfase"/>
                          <w:rFonts w:ascii="Bookman Old Style" w:hAnsi="Bookman Old Style"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  <w:t>fevereiro</w:t>
                      </w:r>
                      <w:r w:rsidRPr="00621C4F">
                        <w:rPr>
                          <w:rStyle w:val="nfase"/>
                          <w:rFonts w:ascii="Bookman Old Style" w:hAnsi="Bookman Old Style"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="00AA1B75">
                        <w:rPr>
                          <w:rStyle w:val="nfase"/>
                          <w:rFonts w:ascii="Bookman Old Style" w:hAnsi="Bookman Old Style"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  <w:t>abril</w:t>
                      </w:r>
                      <w:r w:rsidRPr="00621C4F">
                        <w:rPr>
                          <w:rStyle w:val="nfase"/>
                          <w:rFonts w:ascii="Bookman Old Style" w:hAnsi="Bookman Old Style"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  <w:t xml:space="preserve"> de 2021. A base de dados bibliográficos é advinda do </w:t>
                      </w:r>
                      <w:proofErr w:type="spellStart"/>
                      <w:r w:rsidRPr="00621C4F">
                        <w:rPr>
                          <w:rStyle w:val="nfase"/>
                          <w:rFonts w:ascii="Bookman Old Style" w:hAnsi="Bookman Old Style"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  <w:t>PebMed</w:t>
                      </w:r>
                      <w:proofErr w:type="spellEnd"/>
                      <w:r w:rsidRPr="00621C4F">
                        <w:rPr>
                          <w:rStyle w:val="nfase"/>
                          <w:rFonts w:ascii="Bookman Old Style" w:hAnsi="Bookman Old Style"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21C4F">
                        <w:rPr>
                          <w:rStyle w:val="nfase"/>
                          <w:rFonts w:ascii="Bookman Old Style" w:hAnsi="Bookman Old Style"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621C4F">
                        <w:rPr>
                          <w:rStyle w:val="nfase"/>
                          <w:rFonts w:ascii="Bookman Old Style" w:hAnsi="Bookman Old Style"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621C4F">
                        <w:rPr>
                          <w:rStyle w:val="nfase"/>
                          <w:rFonts w:ascii="Bookman Old Style" w:hAnsi="Bookman Old Style"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  <w:t>ScienceDirect</w:t>
                      </w:r>
                      <w:proofErr w:type="spellEnd"/>
                      <w:r w:rsidRPr="00621C4F">
                        <w:rPr>
                          <w:rStyle w:val="nfase"/>
                          <w:rFonts w:ascii="Bookman Old Style" w:hAnsi="Bookman Old Style"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  <w:t>, selecionando artigos através das seguintes variáveis: amostragem das pesquisas, publicações entre o período de 2010 e 2020 e o fator de impacto. O estudo compreende variáveis quantitativas discretas: número de internação, número de acidente tromboembólico e número de óbitos. A análise dos dados coletados fora realizada através de estatística descritiva por meio de tabela de frequência e representação gráfica pelo gráfico de barras.</w:t>
                      </w:r>
                    </w:p>
                    <w:p w14:paraId="0EA431EF" w14:textId="77777777" w:rsidR="007C4CE2" w:rsidRPr="00621C4F" w:rsidRDefault="007C4CE2" w:rsidP="00621C4F">
                      <w:pPr>
                        <w:spacing w:line="240" w:lineRule="auto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371B1FA" w14:textId="64E84E2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D65F5A3" w14:textId="4C1C5BCA" w:rsidR="00621C4F" w:rsidRDefault="00621C4F" w:rsidP="00621C4F">
                      <w:pPr>
                        <w:spacing w:line="240" w:lineRule="auto"/>
                        <w:jc w:val="both"/>
                        <w:rPr>
                          <w:rStyle w:val="nfaseSutil"/>
                          <w:rFonts w:ascii="Bookman Old Style" w:hAnsi="Bookman Old Style"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21C4F">
                        <w:rPr>
                          <w:rStyle w:val="nfaseSutil"/>
                          <w:rFonts w:ascii="Bookman Old Style" w:hAnsi="Bookman Old Style"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  <w:t>A amostragem da pesquisa apresentou 482 pacientes, evidenciando 294 com episódio paroxístico e 188 com quadro persistente. Nesse contexto, pode-se referir que 61% da amostra apresentaram quadro benigno, sem a realização de medidas terapêuticas, internações ou complicações associadas. Uma vez que o episódio paroxístico é definido pela duração menor que uma semana com reversão de ritmo sinusal de forma espontânea. Contudo, o quadro persistente é evidenciado pela arritmia que dura mais que uma semana ou quando necessita de intervenção para resolução. Sendo assim, o restante da amostragem fora composto por 39%, constando 53 hospitalizações, 12 acidentes tromboembólicos e 3 óbitos. Com isso, obteve-se uma taxa de 10% de hospitalização, 2% de acidente tromboembólico e 0,6% de óbitos.</w:t>
                      </w:r>
                    </w:p>
                    <w:p w14:paraId="76FA3689" w14:textId="77777777" w:rsidR="007C4CE2" w:rsidRPr="00621C4F" w:rsidRDefault="007C4CE2" w:rsidP="00621C4F">
                      <w:pPr>
                        <w:spacing w:line="240" w:lineRule="auto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C8C3368" w14:textId="399CF340" w:rsidR="00621C4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83750CA" w14:textId="780B2405" w:rsidR="007C4CE2" w:rsidRPr="00B36A7F" w:rsidRDefault="0016669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Portanto, nota-se que a fibrilação atrial idiopática apresenta melhor prognóstico no tipo paroxística. A maior morbimortalidade no tipo persistente ratifica o conceito que o aspecto idiopático pode ser um evento precoce de doença estrutural cardíaca, resultando maior necessidade de acompanhamento</w:t>
                      </w:r>
                      <w:r w:rsidR="00621C4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E6CB01B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AACBDE6" w14:textId="0B76517D" w:rsidR="00B36A7F" w:rsidRDefault="004A6215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Fibrilação Atrial. Morbidade. Mortalidade.</w:t>
                      </w:r>
                    </w:p>
                    <w:p w14:paraId="6FFDDBF8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8ECBADE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CC9C791" w14:textId="3BC7B65D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1364F1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</w:t>
                      </w:r>
                      <w:r w:rsidR="001364F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de João Pessoa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1364F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  <w:p w14:paraId="53F9D553" w14:textId="11A8E054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1364F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iscente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="004A621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4A621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Patos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P</w:t>
                      </w:r>
                      <w:r w:rsidR="001364F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</w:t>
                      </w:r>
                    </w:p>
                    <w:p w14:paraId="1BFF1694" w14:textId="6ACA91AF" w:rsidR="001364F1" w:rsidRPr="001364F1" w:rsidRDefault="001364F1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6669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Pr="001364F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Federal da Paraíba, PB</w:t>
                      </w:r>
                    </w:p>
                    <w:p w14:paraId="4B4BB702" w14:textId="45EC743C" w:rsidR="001364F1" w:rsidRPr="001364F1" w:rsidRDefault="001364F1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Orientador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BF7E6CB" wp14:editId="305DCB4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B49B8" w14:textId="77777777" w:rsidR="0070737D" w:rsidRDefault="0070737D" w:rsidP="000B32CF">
      <w:pPr>
        <w:spacing w:after="0" w:line="240" w:lineRule="auto"/>
      </w:pPr>
      <w:r>
        <w:separator/>
      </w:r>
    </w:p>
  </w:endnote>
  <w:endnote w:type="continuationSeparator" w:id="0">
    <w:p w14:paraId="225DF186" w14:textId="77777777" w:rsidR="0070737D" w:rsidRDefault="0070737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7455E" w14:textId="77777777" w:rsidR="0070737D" w:rsidRDefault="0070737D" w:rsidP="000B32CF">
      <w:pPr>
        <w:spacing w:after="0" w:line="240" w:lineRule="auto"/>
      </w:pPr>
      <w:r>
        <w:separator/>
      </w:r>
    </w:p>
  </w:footnote>
  <w:footnote w:type="continuationSeparator" w:id="0">
    <w:p w14:paraId="4C36CF3D" w14:textId="77777777" w:rsidR="0070737D" w:rsidRDefault="0070737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364F1"/>
    <w:rsid w:val="00166691"/>
    <w:rsid w:val="004A6215"/>
    <w:rsid w:val="00621C4F"/>
    <w:rsid w:val="0070737D"/>
    <w:rsid w:val="007C4CE2"/>
    <w:rsid w:val="008C3D90"/>
    <w:rsid w:val="00910A25"/>
    <w:rsid w:val="009C2829"/>
    <w:rsid w:val="009C55E6"/>
    <w:rsid w:val="00AA1B75"/>
    <w:rsid w:val="00B36A7F"/>
    <w:rsid w:val="00BB621E"/>
    <w:rsid w:val="00BF7B8E"/>
    <w:rsid w:val="00D4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ED90F5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166691"/>
    <w:rPr>
      <w:b/>
      <w:bCs/>
    </w:rPr>
  </w:style>
  <w:style w:type="character" w:styleId="nfaseSutil">
    <w:name w:val="Subtle Emphasis"/>
    <w:basedOn w:val="Fontepargpadro"/>
    <w:uiPriority w:val="19"/>
    <w:qFormat/>
    <w:rsid w:val="00621C4F"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sid w:val="00621C4F"/>
    <w:rPr>
      <w:i/>
      <w:iCs/>
    </w:rPr>
  </w:style>
  <w:style w:type="character" w:styleId="nfaseIntensa">
    <w:name w:val="Intense Emphasis"/>
    <w:basedOn w:val="Fontepargpadro"/>
    <w:uiPriority w:val="21"/>
    <w:qFormat/>
    <w:rsid w:val="00621C4F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Leila Ribeiro</cp:lastModifiedBy>
  <cp:revision>6</cp:revision>
  <dcterms:created xsi:type="dcterms:W3CDTF">2021-05-28T17:53:00Z</dcterms:created>
  <dcterms:modified xsi:type="dcterms:W3CDTF">2021-05-28T18:21:00Z</dcterms:modified>
</cp:coreProperties>
</file>